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ind w:firstLine="0"/>
        <w:jc w:val="center"/>
      </w:pPr>
      <w:r>
        <w:rPr>
          <w:b/>
          <w:color w:val="1F4E79"/>
          <w:sz w:val="26"/>
        </w:rPr>
        <w:t>АНАЛИТИЧЕСКИЙ ЦЕНТР «РЗМ-АНАЛИТИКА»</w:t>
      </w:r>
    </w:p>
    <w:p/>
    <w:p/>
    <w:p/>
    <w:p/>
    <w:p/>
    <w:p>
      <w:pPr>
        <w:ind w:firstLine="0"/>
        <w:jc w:val="center"/>
      </w:pPr>
      <w:r>
        <w:rPr>
          <w:b/>
          <w:sz w:val="52"/>
        </w:rPr>
        <w:t>Обзор рынка редкоземельных металлов</w:t>
      </w:r>
    </w:p>
    <w:p>
      <w:pPr>
        <w:ind w:firstLine="0"/>
        <w:jc w:val="center"/>
      </w:pPr>
      <w:r>
        <w:rPr>
          <w:b/>
          <w:sz w:val="52"/>
        </w:rPr>
        <w:t>в России и мире</w:t>
      </w:r>
    </w:p>
    <w:p/>
    <w:p>
      <w:pPr>
        <w:ind w:firstLine="0"/>
        <w:jc w:val="center"/>
      </w:pPr>
      <w:r>
        <w:rPr>
          <w:sz w:val="24"/>
        </w:rPr>
        <w:t>Комплексное аналитическое исследование:</w:t>
      </w:r>
    </w:p>
    <w:p>
      <w:pPr>
        <w:ind w:firstLine="0"/>
        <w:jc w:val="center"/>
      </w:pPr>
      <w:r>
        <w:rPr>
          <w:sz w:val="24"/>
        </w:rPr>
        <w:t>сырьевая база, добыча, разделение, металлургия, магниты,</w:t>
      </w:r>
    </w:p>
    <w:p>
      <w:pPr>
        <w:ind w:firstLine="0"/>
        <w:jc w:val="center"/>
      </w:pPr>
      <w:r>
        <w:rPr>
          <w:sz w:val="24"/>
        </w:rPr>
        <w:t>внешняя торговля, цены, регулирование и прогноз до 2035 года</w:t>
      </w:r>
    </w:p>
    <w:p/>
    <w:p/>
    <w:p/>
    <w:p/>
    <w:p>
      <w:pPr>
        <w:ind w:firstLine="0"/>
        <w:jc w:val="center"/>
      </w:pPr>
      <w:r>
        <w:rPr>
          <w:sz w:val="28"/>
        </w:rPr>
        <w:t>1 издание</w:t>
      </w:r>
    </w:p>
    <w:p>
      <w:pPr>
        <w:ind w:firstLine="0"/>
        <w:jc w:val="center"/>
      </w:pPr>
      <w:r>
        <w:rPr>
          <w:sz w:val="28"/>
        </w:rPr>
      </w:r>
    </w:p>
    <w:p>
      <w:pPr>
        <w:ind w:firstLine="0"/>
        <w:jc w:val="center"/>
      </w:pPr>
      <w:r>
        <w:rPr>
          <w:sz w:val="28"/>
        </w:rPr>
      </w:r>
    </w:p>
    <w:p>
      <w:pPr>
        <w:ind w:firstLine="0"/>
        <w:jc w:val="center"/>
      </w:pPr>
      <w:r>
        <w:rPr>
          <w:sz w:val="28"/>
        </w:rPr>
        <w:t>Москва</w:t>
      </w:r>
    </w:p>
    <w:p>
      <w:pPr>
        <w:ind w:firstLine="0"/>
        <w:jc w:val="center"/>
      </w:pPr>
      <w:r>
        <w:rPr>
          <w:sz w:val="28"/>
        </w:rPr>
        <w:t>июль 2026</w:t>
      </w:r>
    </w:p>
    <w:p>
      <w:r>
        <w:br w:type="page"/>
      </w:r>
    </w:p>
    <w:p>
      <w:pPr>
        <w:ind w:firstLine="0"/>
        <w:jc w:val="center"/>
      </w:pPr>
      <w:r>
        <w:rPr>
          <w:b/>
          <w:color w:val="1F4E79"/>
          <w:sz w:val="32"/>
        </w:rPr>
        <w:t>СОДЕРЖАНИЕ</w:t>
      </w:r>
    </w:p>
    <w:p>
      <w:pPr>
        <w:ind w:firstLine="0"/>
      </w:pPr>
      <w:r>
        <w:fldChar w:fldCharType="begin"/>
      </w:r>
      <w:r>
        <w:instrText xml:space="preserve">TOC \o "1-3" \h \z \u</w:instrText>
      </w:r>
      <w:r>
        <w:fldChar w:fldCharType="separate"/>
      </w:r>
      <w:r>
        <w:t>Обновите поле в Word: Ctrl+A, затем F9</w:t>
      </w:r>
      <w:r>
        <w:fldChar w:fldCharType="end"/>
      </w:r>
    </w:p>
    <w:p>
      <w:r>
        <w:br w:type="page"/>
      </w:r>
    </w:p>
    <w:p>
      <w:pPr>
        <w:ind w:firstLine="0"/>
        <w:jc w:val="center"/>
      </w:pPr>
      <w:r>
        <w:rPr>
          <w:b/>
          <w:color w:val="1F4E79"/>
          <w:sz w:val="30"/>
        </w:rPr>
        <w:t>СПИСОК ТАБЛИЦ</w:t>
      </w:r>
    </w:p>
    <w:p>
      <w:pPr>
        <w:spacing w:after="20"/>
        <w:ind w:firstLine="0"/>
      </w:pPr>
      <w:r>
        <w:rPr>
          <w:sz w:val="24"/>
        </w:rPr>
        <w:t>Таблица 1. Редкоземельные элементы: основные характеристики</w:t>
      </w:r>
    </w:p>
    <w:p>
      <w:pPr>
        <w:spacing w:after="20"/>
        <w:ind w:firstLine="0"/>
      </w:pPr>
      <w:r>
        <w:rPr>
          <w:sz w:val="24"/>
        </w:rPr>
        <w:t>Таблица 2. Сопоставление классификаций редкоземельных элементов</w:t>
      </w:r>
    </w:p>
    <w:p>
      <w:pPr>
        <w:spacing w:after="20"/>
        <w:ind w:firstLine="0"/>
      </w:pPr>
      <w:r>
        <w:rPr>
          <w:sz w:val="24"/>
        </w:rPr>
        <w:t>Таблица 3. Основные промышленные минералы редкоземельных металлов</w:t>
      </w:r>
    </w:p>
    <w:p>
      <w:pPr>
        <w:spacing w:after="20"/>
        <w:ind w:firstLine="0"/>
      </w:pPr>
      <w:r>
        <w:rPr>
          <w:sz w:val="24"/>
        </w:rPr>
        <w:t>Таблица 4. Типовое распределение редкоземельных элементов в основных типах сырья, % от TREO</w:t>
      </w:r>
    </w:p>
    <w:p>
      <w:pPr>
        <w:spacing w:after="20"/>
        <w:ind w:firstLine="0"/>
      </w:pPr>
      <w:r>
        <w:rPr>
          <w:sz w:val="24"/>
        </w:rPr>
        <w:t>Таблица 5. Технологические переделы редкоземельного производства и товарные формы продукции</w:t>
      </w:r>
    </w:p>
    <w:p>
      <w:pPr>
        <w:spacing w:after="20"/>
        <w:ind w:firstLine="0"/>
      </w:pPr>
      <w:r>
        <w:rPr>
          <w:sz w:val="24"/>
        </w:rPr>
        <w:t>Таблица 6. Основные коды ТН ВЭД ЕАЭС и HS, применяемые к редкоземельной продукции</w:t>
      </w:r>
    </w:p>
    <w:p>
      <w:pPr>
        <w:spacing w:after="20"/>
        <w:ind w:firstLine="0"/>
      </w:pPr>
      <w:r>
        <w:rPr>
          <w:sz w:val="24"/>
        </w:rPr>
        <w:t>Таблица 7. Соотношение физической и стоимостной структуры мирового производства РЗМ, 2024 г. (оценка)</w:t>
      </w:r>
    </w:p>
    <w:p>
      <w:pPr>
        <w:spacing w:after="20"/>
        <w:ind w:firstLine="0"/>
      </w:pPr>
      <w:r>
        <w:rPr>
          <w:sz w:val="24"/>
        </w:rPr>
        <w:t>Таблица 8. Сопоставление рынка РЗМ с другими сырьевыми рынками, 2024 г. (оценка)</w:t>
      </w:r>
    </w:p>
    <w:p>
      <w:pPr>
        <w:spacing w:after="20"/>
        <w:ind w:firstLine="0"/>
      </w:pPr>
      <w:r>
        <w:rPr>
          <w:sz w:val="24"/>
        </w:rPr>
        <w:t>Таблица 9. Мировые запасы редкоземельных металлов по странам, тыс. т TREO</w:t>
      </w:r>
    </w:p>
    <w:p>
      <w:pPr>
        <w:spacing w:after="20"/>
        <w:ind w:firstLine="0"/>
      </w:pPr>
      <w:r>
        <w:rPr>
          <w:sz w:val="24"/>
        </w:rPr>
        <w:t>Таблица 10. Сравнительная характеристика промышленных типов месторождений РЗМ</w:t>
      </w:r>
    </w:p>
    <w:p>
      <w:pPr>
        <w:spacing w:after="20"/>
        <w:ind w:firstLine="0"/>
      </w:pPr>
      <w:r>
        <w:rPr>
          <w:sz w:val="24"/>
        </w:rPr>
        <w:t>Таблица 11. Основные редкоземельные месторождения КНР</w:t>
      </w:r>
    </w:p>
    <w:p>
      <w:pPr>
        <w:spacing w:after="20"/>
        <w:ind w:firstLine="0"/>
      </w:pPr>
      <w:r>
        <w:rPr>
          <w:sz w:val="24"/>
        </w:rPr>
        <w:t>Таблица 12. Ключевые редкоземельные проекты и месторождения стран Запада и Австралии</w:t>
      </w:r>
    </w:p>
    <w:p>
      <w:pPr>
        <w:spacing w:after="20"/>
        <w:ind w:firstLine="0"/>
      </w:pPr>
      <w:r>
        <w:rPr>
          <w:sz w:val="24"/>
        </w:rPr>
        <w:t>Таблица 13. Редкоземельные проекты стран Азии, Африки и Латинской Америки</w:t>
      </w:r>
    </w:p>
    <w:p>
      <w:pPr>
        <w:spacing w:after="20"/>
        <w:ind w:firstLine="0"/>
      </w:pPr>
      <w:r>
        <w:rPr>
          <w:sz w:val="24"/>
        </w:rPr>
        <w:t>Таблица 14. Расчётная обеспеченность мировых запасов по отдельным элементам</w:t>
      </w:r>
    </w:p>
    <w:p>
      <w:pPr>
        <w:spacing w:after="20"/>
        <w:ind w:firstLine="0"/>
      </w:pPr>
      <w:r>
        <w:rPr>
          <w:sz w:val="24"/>
        </w:rPr>
        <w:t>Таблица 15. Содержание редкоземельных элементов во вторичном сырье</w:t>
      </w:r>
    </w:p>
    <w:p>
      <w:pPr>
        <w:spacing w:after="20"/>
        <w:ind w:firstLine="0"/>
      </w:pPr>
      <w:r>
        <w:rPr>
          <w:sz w:val="24"/>
        </w:rPr>
        <w:t>Таблица 16. Мировая добыча редкоземельных металлов по странам в 2010–2025 гг., т TREO</w:t>
      </w:r>
    </w:p>
    <w:p>
      <w:pPr>
        <w:spacing w:after="20"/>
        <w:ind w:firstLine="0"/>
      </w:pPr>
      <w:r>
        <w:rPr>
          <w:sz w:val="24"/>
        </w:rPr>
        <w:t>Таблица 17. Мировые мощности по разделению редкоземельных элементов, 2025 г., т TREO/год</w:t>
      </w:r>
    </w:p>
    <w:p>
      <w:pPr>
        <w:spacing w:after="20"/>
        <w:ind w:firstLine="0"/>
      </w:pPr>
      <w:r>
        <w:rPr>
          <w:sz w:val="24"/>
        </w:rPr>
        <w:t>Таблица 18. Мировые мощности по производству редкоземельных металлов и сплавов NdFeB, 2025 г., т/год</w:t>
      </w:r>
    </w:p>
    <w:p>
      <w:pPr>
        <w:spacing w:after="20"/>
        <w:ind w:firstLine="0"/>
      </w:pPr>
      <w:r>
        <w:rPr>
          <w:sz w:val="24"/>
        </w:rPr>
        <w:t>Таблица 19. Мировое производство спечённых магнитов NdFeB по странам, 2018–2025 гг., тыс. т</w:t>
      </w:r>
    </w:p>
    <w:p>
      <w:pPr>
        <w:spacing w:after="20"/>
        <w:ind w:firstLine="0"/>
      </w:pPr>
      <w:r>
        <w:rPr>
          <w:sz w:val="24"/>
        </w:rPr>
        <w:t>Таблица 20. Баланс мирового рынка по ключевым редкоземельным элементам, 2024 г., т оксида</w:t>
      </w:r>
    </w:p>
    <w:p>
      <w:pPr>
        <w:spacing w:after="20"/>
        <w:ind w:firstLine="0"/>
      </w:pPr>
      <w:r>
        <w:rPr>
          <w:sz w:val="24"/>
        </w:rPr>
        <w:t>Таблица 21. Сопоставление квот КНР на добычу и разделение РЗМ, 2016–2025 гг., т TREO</w:t>
      </w:r>
    </w:p>
    <w:p>
      <w:pPr>
        <w:spacing w:after="20"/>
        <w:ind w:firstLine="0"/>
      </w:pPr>
      <w:r>
        <w:rPr>
          <w:sz w:val="24"/>
        </w:rPr>
        <w:t>Таблица 22. Импорт редкоземельного сырья в КНР по странам происхождения, 2019–2024 гг., т физического веса</w:t>
      </w:r>
    </w:p>
    <w:p>
      <w:pPr>
        <w:spacing w:after="20"/>
        <w:ind w:firstLine="0"/>
      </w:pPr>
      <w:r>
        <w:rPr>
          <w:sz w:val="24"/>
        </w:rPr>
        <w:t>Таблица 23. Крупнейшие мировые производители редкоземельной продукции, 2024 г.</w:t>
      </w:r>
    </w:p>
    <w:p>
      <w:pPr>
        <w:spacing w:after="20"/>
        <w:ind w:firstLine="0"/>
      </w:pPr>
      <w:r>
        <w:rPr>
          <w:sz w:val="24"/>
        </w:rPr>
        <w:t>Таблица 24. Распределение квот КНР на добычу РЗМ между группами, 2021–2024 гг., т TREO</w:t>
      </w:r>
    </w:p>
    <w:p>
      <w:pPr>
        <w:spacing w:after="20"/>
        <w:ind w:firstLine="0"/>
      </w:pPr>
      <w:r>
        <w:rPr>
          <w:sz w:val="24"/>
        </w:rPr>
        <w:t>Таблица 25. Основные показатели China Northern Rare Earth Group, 2019–2024 гг.</w:t>
      </w:r>
    </w:p>
    <w:p>
      <w:pPr>
        <w:spacing w:after="20"/>
        <w:ind w:firstLine="0"/>
      </w:pPr>
      <w:r>
        <w:rPr>
          <w:sz w:val="24"/>
        </w:rPr>
        <w:t>Таблица 26. Крупнейшие производители спечённых магнитов NdFeB в КНР, 2024 г.</w:t>
      </w:r>
    </w:p>
    <w:p>
      <w:pPr>
        <w:spacing w:after="20"/>
        <w:ind w:firstLine="0"/>
      </w:pPr>
      <w:r>
        <w:rPr>
          <w:sz w:val="24"/>
        </w:rPr>
        <w:t>Таблица 27. Основные операционные и финансовые показатели Lynas Rare Earths, 2019–2025 фин. гг.</w:t>
      </w:r>
    </w:p>
    <w:p>
      <w:pPr>
        <w:spacing w:after="20"/>
        <w:ind w:firstLine="0"/>
      </w:pPr>
      <w:r>
        <w:rPr>
          <w:sz w:val="24"/>
        </w:rPr>
        <w:t>Таблица 28. Основные показатели MP Materials Corp., 2020–2025 гг.</w:t>
      </w:r>
    </w:p>
    <w:p>
      <w:pPr>
        <w:spacing w:after="20"/>
        <w:ind w:firstLine="0"/>
      </w:pPr>
      <w:r>
        <w:rPr>
          <w:sz w:val="24"/>
        </w:rPr>
        <w:t>Таблица 29. Основные показатели Neo Performance Materials, 2021–2024 гг.</w:t>
      </w:r>
    </w:p>
    <w:p>
      <w:pPr>
        <w:spacing w:after="20"/>
        <w:ind w:firstLine="0"/>
      </w:pPr>
      <w:r>
        <w:rPr>
          <w:sz w:val="24"/>
        </w:rPr>
        <w:t>Таблица 30. Ключевые проекты создания редкоземельных мощностей вне КНР, 2025–2030 гг.</w:t>
      </w:r>
    </w:p>
    <w:p>
      <w:pPr>
        <w:spacing w:after="20"/>
        <w:ind w:firstLine="0"/>
      </w:pPr>
      <w:r>
        <w:rPr>
          <w:sz w:val="24"/>
        </w:rPr>
        <w:t>Таблица 31. Сопоставление позиций ключевых производителей редкоземельной продукции</w:t>
      </w:r>
    </w:p>
    <w:p>
      <w:pPr>
        <w:spacing w:after="20"/>
        <w:ind w:firstLine="0"/>
      </w:pPr>
      <w:r>
        <w:rPr>
          <w:sz w:val="24"/>
        </w:rPr>
        <w:t>Таблица 32. Ориентировочная структура себестоимости производства оксида NdPr на различных типах предприятий, $/кг NdPr</w:t>
      </w:r>
    </w:p>
    <w:p>
      <w:pPr>
        <w:spacing w:after="20"/>
        <w:ind w:firstLine="0"/>
      </w:pPr>
      <w:r>
        <w:rPr>
          <w:sz w:val="24"/>
        </w:rPr>
        <w:t>Таблица 33. Структура мирового потребления РЗМ по отраслям, 2015–2030 гг., тыс. т TREO</w:t>
      </w:r>
    </w:p>
    <w:p>
      <w:pPr>
        <w:spacing w:after="20"/>
        <w:ind w:firstLine="0"/>
      </w:pPr>
      <w:r>
        <w:rPr>
          <w:sz w:val="24"/>
        </w:rPr>
        <w:t>Таблица 34. Марки магнитов NdFeB и удельный расход редкоземельных элементов</w:t>
      </w:r>
    </w:p>
    <w:p>
      <w:pPr>
        <w:spacing w:after="20"/>
        <w:ind w:firstLine="0"/>
      </w:pPr>
      <w:r>
        <w:rPr>
          <w:sz w:val="24"/>
        </w:rPr>
        <w:t>Таблица 35. Удельное потребление редкоземельных магнитов в транспортных средствах</w:t>
      </w:r>
    </w:p>
    <w:p>
      <w:pPr>
        <w:spacing w:after="20"/>
        <w:ind w:firstLine="0"/>
      </w:pPr>
      <w:r>
        <w:rPr>
          <w:sz w:val="24"/>
        </w:rPr>
        <w:t>Таблица 36. Удельное потребление редкоземельных магнитов в ветроэнергетике</w:t>
      </w:r>
    </w:p>
    <w:p>
      <w:pPr>
        <w:spacing w:after="20"/>
        <w:ind w:firstLine="0"/>
      </w:pPr>
      <w:r>
        <w:rPr>
          <w:sz w:val="24"/>
        </w:rPr>
        <w:t>Таблица 37. Потребление редкоземельных магнитов по сегментам конечного применения, 2024 г.</w:t>
      </w:r>
    </w:p>
    <w:p>
      <w:pPr>
        <w:spacing w:after="20"/>
        <w:ind w:firstLine="0"/>
      </w:pPr>
      <w:r>
        <w:rPr>
          <w:sz w:val="24"/>
        </w:rPr>
        <w:t>Таблица 38. Потребление редкоземельных элементов в каталитических системах, 2020–2030 гг., т TREO</w:t>
      </w:r>
    </w:p>
    <w:p>
      <w:pPr>
        <w:spacing w:after="20"/>
        <w:ind w:firstLine="0"/>
      </w:pPr>
      <w:r>
        <w:rPr>
          <w:sz w:val="24"/>
        </w:rPr>
        <w:t>Таблица 39. Потребление редкоземельных полировальных материалов, 2020–2030 гг., т TREO</w:t>
      </w:r>
    </w:p>
    <w:p>
      <w:pPr>
        <w:spacing w:after="20"/>
        <w:ind w:firstLine="0"/>
      </w:pPr>
      <w:r>
        <w:rPr>
          <w:sz w:val="24"/>
        </w:rPr>
        <w:t>Таблица 40. Потребление РЗМ в металлургии, сплавах и керамике, 2024 г., т TREO</w:t>
      </w:r>
    </w:p>
    <w:p>
      <w:pPr>
        <w:spacing w:after="20"/>
        <w:ind w:firstLine="0"/>
      </w:pPr>
      <w:r>
        <w:rPr>
          <w:sz w:val="24"/>
        </w:rPr>
        <w:t>Таблица 41. Потребление РЗМ в оптике, люминофорах и лазерной технике, 2024 г.</w:t>
      </w:r>
    </w:p>
    <w:p>
      <w:pPr>
        <w:spacing w:after="20"/>
        <w:ind w:firstLine="0"/>
      </w:pPr>
      <w:r>
        <w:rPr>
          <w:sz w:val="24"/>
        </w:rPr>
        <w:t>Таблица 42. Поэлементная структура мирового потребления РЗМ, 2024 г., т оксида</w:t>
      </w:r>
    </w:p>
    <w:p>
      <w:pPr>
        <w:spacing w:after="20"/>
        <w:ind w:firstLine="0"/>
      </w:pPr>
      <w:r>
        <w:rPr>
          <w:sz w:val="24"/>
        </w:rPr>
        <w:t>Таблица 43. Динамика среднегодовых цен на основные редкоземельные оксиды, 2010–2025 гг., $/кг (FOB Китай, чистота 99%)</w:t>
      </w:r>
    </w:p>
    <w:p>
      <w:pPr>
        <w:spacing w:after="20"/>
        <w:ind w:firstLine="0"/>
      </w:pPr>
      <w:r>
        <w:rPr>
          <w:sz w:val="24"/>
        </w:rPr>
        <w:t>Таблица 44. Расчёт корзиночной стоимости для основных типов сырья при ценах 2024 и 2025 гг., $/кг TREO</w:t>
      </w:r>
    </w:p>
    <w:p>
      <w:pPr>
        <w:spacing w:after="20"/>
        <w:ind w:firstLine="0"/>
      </w:pPr>
      <w:r>
        <w:rPr>
          <w:sz w:val="24"/>
        </w:rPr>
        <w:t>Таблица 45. Сопоставление внутрикитайских и внешних цен на редкоземельные оксиды, IV квартал 2025 г., $/кг</w:t>
      </w:r>
    </w:p>
    <w:p>
      <w:pPr>
        <w:spacing w:after="20"/>
        <w:ind w:firstLine="0"/>
      </w:pPr>
      <w:r>
        <w:rPr>
          <w:sz w:val="24"/>
        </w:rPr>
        <w:t>Таблица 46. Цены на редкоземельные металлы и сплавы, 2023–2025 гг., $/кг</w:t>
      </w:r>
    </w:p>
    <w:p>
      <w:pPr>
        <w:spacing w:after="20"/>
        <w:ind w:firstLine="0"/>
      </w:pPr>
      <w:r>
        <w:rPr>
          <w:sz w:val="24"/>
        </w:rPr>
        <w:t>Таблица 47. Ориентировочные цены на спечённые магниты NdFeB по классам, 2024–2025 гг., $/кг</w:t>
      </w:r>
    </w:p>
    <w:p>
      <w:pPr>
        <w:spacing w:after="20"/>
        <w:ind w:firstLine="0"/>
      </w:pPr>
      <w:r>
        <w:rPr>
          <w:sz w:val="24"/>
        </w:rPr>
        <w:t>Таблица 48. Основные факторы, определяющие ценовую динамику рынка РЗМ</w:t>
      </w:r>
    </w:p>
    <w:p>
      <w:pPr>
        <w:spacing w:after="20"/>
        <w:ind w:firstLine="0"/>
      </w:pPr>
      <w:r>
        <w:rPr>
          <w:sz w:val="24"/>
        </w:rPr>
        <w:t>Таблица 49. Сопоставление ценовых уровней с порогами рентабельности не-китайских производителей, $/кг NdPr</w:t>
      </w:r>
    </w:p>
    <w:p>
      <w:pPr>
        <w:spacing w:after="20"/>
        <w:ind w:firstLine="0"/>
      </w:pPr>
      <w:r>
        <w:rPr>
          <w:sz w:val="24"/>
        </w:rPr>
        <w:t>Таблица 50. Хронология ключевых мер регулирования редкоземельной отрасли КНР</w:t>
      </w:r>
    </w:p>
    <w:p>
      <w:pPr>
        <w:spacing w:after="20"/>
        <w:ind w:firstLine="0"/>
      </w:pPr>
      <w:r>
        <w:rPr>
          <w:sz w:val="24"/>
        </w:rPr>
        <w:t>Таблица 51. Основные меры государственной поддержки редкоземельной отрасли в США</w:t>
      </w:r>
    </w:p>
    <w:p>
      <w:pPr>
        <w:spacing w:after="20"/>
        <w:ind w:firstLine="0"/>
      </w:pPr>
      <w:r>
        <w:rPr>
          <w:sz w:val="24"/>
        </w:rPr>
        <w:t>Таблица 52. Целевые показатели Регламента ЕС о критическом сырье и оценка их достижимости для РЗМ</w:t>
      </w:r>
    </w:p>
    <w:p>
      <w:pPr>
        <w:spacing w:after="20"/>
        <w:ind w:firstLine="0"/>
      </w:pPr>
      <w:r>
        <w:rPr>
          <w:sz w:val="24"/>
        </w:rPr>
        <w:t>Таблица 53. Сопоставление национальных стратегий в области редкоземельного сырья</w:t>
      </w:r>
    </w:p>
    <w:p>
      <w:pPr>
        <w:spacing w:after="20"/>
        <w:ind w:firstLine="0"/>
      </w:pPr>
      <w:r>
        <w:rPr>
          <w:sz w:val="24"/>
        </w:rPr>
        <w:t>Таблица 54. Сопоставление регуляторных условий реализации редкоземельных проектов</w:t>
      </w:r>
    </w:p>
    <w:p>
      <w:pPr>
        <w:spacing w:after="20"/>
        <w:ind w:firstLine="0"/>
      </w:pPr>
      <w:r>
        <w:rPr>
          <w:sz w:val="24"/>
        </w:rPr>
        <w:t>Таблица 55. Ключевые допущения сценариев прогноза мирового рынка РЗМ до 2035 г.</w:t>
      </w:r>
    </w:p>
    <w:p>
      <w:pPr>
        <w:spacing w:after="20"/>
        <w:ind w:firstLine="0"/>
      </w:pPr>
      <w:r>
        <w:rPr>
          <w:sz w:val="24"/>
        </w:rPr>
        <w:t>Таблица 56. Прогноз мирового спроса на РЗМ по отраслям до 2035 г., тыс. т TREO (базовый сценарий)</w:t>
      </w:r>
    </w:p>
    <w:p>
      <w:pPr>
        <w:spacing w:after="20"/>
        <w:ind w:firstLine="0"/>
      </w:pPr>
      <w:r>
        <w:rPr>
          <w:sz w:val="24"/>
        </w:rPr>
        <w:t>Таблица 57. Прогноз мирового спроса на ключевые элементы до 2035 г., т оксида (базовый сценарий)</w:t>
      </w:r>
    </w:p>
    <w:p>
      <w:pPr>
        <w:spacing w:after="20"/>
        <w:ind w:firstLine="0"/>
      </w:pPr>
      <w:r>
        <w:rPr>
          <w:sz w:val="24"/>
        </w:rPr>
        <w:t>Таблица 58. Прогноз мирового предложения РЗМ по источникам до 2035 г., тыс. т TREO (базовый сценарий)</w:t>
      </w:r>
    </w:p>
    <w:p>
      <w:pPr>
        <w:spacing w:after="20"/>
        <w:ind w:firstLine="0"/>
      </w:pPr>
      <w:r>
        <w:rPr>
          <w:sz w:val="24"/>
        </w:rPr>
        <w:t>Таблица 59. Прогнозный баланс мирового рынка по критическим элементам до 2035 г., т оксида (базовый сценарий)</w:t>
      </w:r>
    </w:p>
    <w:p>
      <w:pPr>
        <w:spacing w:after="20"/>
        <w:ind w:firstLine="0"/>
      </w:pPr>
      <w:r>
        <w:rPr>
          <w:sz w:val="24"/>
        </w:rPr>
        <w:t>Таблица 60. Прогноз цен на основные редкоземельные оксиды до 2035 г., $/кг (базовый сценарий, в ценах 2025 г.)</w:t>
      </w:r>
    </w:p>
    <w:p>
      <w:pPr>
        <w:spacing w:after="20"/>
        <w:ind w:firstLine="0"/>
      </w:pPr>
      <w:r>
        <w:rPr>
          <w:sz w:val="24"/>
        </w:rPr>
        <w:t>Таблица 61. Карта ключевых неопределённостей прогноза мирового рынка РЗМ</w:t>
      </w:r>
    </w:p>
    <w:p>
      <w:pPr>
        <w:spacing w:after="20"/>
        <w:ind w:firstLine="0"/>
      </w:pPr>
      <w:r>
        <w:rPr>
          <w:sz w:val="24"/>
        </w:rPr>
        <w:t>Таблица 62. Структура балансовых запасов редкоземельных металлов Российской Федерации по типам объектов</w:t>
      </w:r>
    </w:p>
    <w:p>
      <w:pPr>
        <w:spacing w:after="20"/>
        <w:ind w:firstLine="0"/>
      </w:pPr>
      <w:r>
        <w:rPr>
          <w:sz w:val="24"/>
        </w:rPr>
        <w:t>Таблица 63. Характеристика запасов Ловозёрского месторождения</w:t>
      </w:r>
    </w:p>
    <w:p>
      <w:pPr>
        <w:spacing w:after="20"/>
        <w:ind w:firstLine="0"/>
      </w:pPr>
      <w:r>
        <w:rPr>
          <w:sz w:val="24"/>
        </w:rPr>
        <w:t>Таблица 64. Динамика производства лопаритового концентрата ООО «Ловозёрский ГОК», 2002–2025 гг., т</w:t>
      </w:r>
    </w:p>
    <w:p>
      <w:pPr>
        <w:spacing w:after="20"/>
        <w:ind w:firstLine="0"/>
      </w:pPr>
      <w:r>
        <w:rPr>
          <w:sz w:val="24"/>
        </w:rPr>
        <w:t>Таблица 65. Сопоставление ключевых российских редкоземельных объектов</w:t>
      </w:r>
    </w:p>
    <w:p>
      <w:pPr>
        <w:spacing w:after="20"/>
        <w:ind w:firstLine="0"/>
      </w:pPr>
      <w:r>
        <w:rPr>
          <w:sz w:val="24"/>
        </w:rPr>
        <w:t>Таблица 66. Оценка редкоземельного потенциала фосфатного сырья Российской Федерации</w:t>
      </w:r>
    </w:p>
    <w:p>
      <w:pPr>
        <w:spacing w:after="20"/>
        <w:ind w:firstLine="0"/>
      </w:pPr>
      <w:r>
        <w:rPr>
          <w:sz w:val="24"/>
        </w:rPr>
        <w:t>Таблица 67. Расчётная структура корзины редкоземельного сырья российских объектов, % от TREO</w:t>
      </w:r>
    </w:p>
    <w:p>
      <w:pPr>
        <w:spacing w:after="20"/>
        <w:ind w:firstLine="0"/>
      </w:pPr>
      <w:r>
        <w:rPr>
          <w:sz w:val="24"/>
        </w:rPr>
        <w:t>Таблица 68. Сырьевая база редкоземельных металлов стран ЕАЭС (кроме РФ)</w:t>
      </w:r>
    </w:p>
    <w:p>
      <w:pPr>
        <w:spacing w:after="20"/>
        <w:ind w:firstLine="0"/>
      </w:pPr>
      <w:r>
        <w:rPr>
          <w:sz w:val="24"/>
        </w:rPr>
        <w:t>Таблица 69. Сопоставление структуры редкоземельной отрасли СССР (конец 1980-х гг.) и Российской Федерации (2025 г.)</w:t>
      </w:r>
    </w:p>
    <w:p>
      <w:pPr>
        <w:spacing w:after="20"/>
        <w:ind w:firstLine="0"/>
      </w:pPr>
      <w:r>
        <w:rPr>
          <w:sz w:val="24"/>
        </w:rPr>
        <w:t>Таблица 70. Производство редкоземельной продукции в Российской Федерации, 2002–2025 гг., т TREO</w:t>
      </w:r>
    </w:p>
    <w:p>
      <w:pPr>
        <w:spacing w:after="20"/>
        <w:ind w:firstLine="0"/>
      </w:pPr>
      <w:r>
        <w:rPr>
          <w:sz w:val="24"/>
        </w:rPr>
        <w:t>Таблица 71. Номенклатура редкоземельной продукции, производимой в Российской Федерации, 2025 г.</w:t>
      </w:r>
    </w:p>
    <w:p>
      <w:pPr>
        <w:spacing w:after="20"/>
        <w:ind w:firstLine="0"/>
      </w:pPr>
      <w:r>
        <w:rPr>
          <w:sz w:val="24"/>
        </w:rPr>
        <w:t>Таблица 72. Территориальная структура редкоземельной отрасли Российской Федерации</w:t>
      </w:r>
    </w:p>
    <w:p>
      <w:pPr>
        <w:spacing w:after="20"/>
        <w:ind w:firstLine="0"/>
      </w:pPr>
      <w:r>
        <w:rPr>
          <w:sz w:val="24"/>
        </w:rPr>
        <w:t>Таблица 73. Сопоставление целевых показателей развития редкоземельной отрасли РФ с фактическим состоянием</w:t>
      </w:r>
    </w:p>
    <w:p>
      <w:pPr>
        <w:spacing w:after="20"/>
        <w:ind w:firstLine="0"/>
      </w:pPr>
      <w:r>
        <w:rPr>
          <w:sz w:val="24"/>
        </w:rPr>
        <w:t>Таблица 74. Сопутствующая продукция, производимая при переработке лопаритового концентрата</w:t>
      </w:r>
    </w:p>
    <w:p>
      <w:pPr>
        <w:spacing w:after="20"/>
        <w:ind w:firstLine="0"/>
      </w:pPr>
      <w:r>
        <w:rPr>
          <w:sz w:val="24"/>
        </w:rPr>
        <w:t>Таблица 75. Основные производственные показатели ООО «Ловозёрский ГОК», 2018–2025 гг.</w:t>
      </w:r>
    </w:p>
    <w:p>
      <w:pPr>
        <w:spacing w:after="20"/>
        <w:ind w:firstLine="0"/>
      </w:pPr>
      <w:r>
        <w:rPr>
          <w:sz w:val="24"/>
        </w:rPr>
        <w:t>Таблица 76. Основные показатели АО «Соликамский магниевый завод», 2016–2025 гг.</w:t>
      </w:r>
    </w:p>
    <w:p>
      <w:pPr>
        <w:spacing w:after="20"/>
        <w:ind w:firstLine="0"/>
      </w:pPr>
      <w:r>
        <w:rPr>
          <w:sz w:val="24"/>
        </w:rPr>
        <w:t>Таблица 77. Предприятия редкометалльного контура ГК «Росатом»</w:t>
      </w:r>
    </w:p>
    <w:p>
      <w:pPr>
        <w:spacing w:after="20"/>
        <w:ind w:firstLine="0"/>
      </w:pPr>
      <w:r>
        <w:rPr>
          <w:sz w:val="24"/>
        </w:rPr>
        <w:t>Таблица 78. Основные параметры Томторского проекта (участок Буранный)</w:t>
      </w:r>
    </w:p>
    <w:p>
      <w:pPr>
        <w:spacing w:after="20"/>
        <w:ind w:firstLine="0"/>
      </w:pPr>
      <w:r>
        <w:rPr>
          <w:sz w:val="24"/>
        </w:rPr>
        <w:t>Таблица 79. Перспективные редкоземельные проекты Российской Федерации</w:t>
      </w:r>
    </w:p>
    <w:p>
      <w:pPr>
        <w:spacing w:after="20"/>
        <w:ind w:firstLine="0"/>
      </w:pPr>
      <w:r>
        <w:rPr>
          <w:sz w:val="24"/>
        </w:rPr>
        <w:t>Таблица 80. Проекты создания производства постоянных магнитов в Российской Федерации</w:t>
      </w:r>
    </w:p>
    <w:p>
      <w:pPr>
        <w:spacing w:after="20"/>
        <w:ind w:firstLine="0"/>
      </w:pPr>
      <w:r>
        <w:rPr>
          <w:sz w:val="24"/>
        </w:rPr>
        <w:t>Таблица 81. Ключевые научные и проектные организации редкоземельного профиля в Российской Федерации</w:t>
      </w:r>
    </w:p>
    <w:p>
      <w:pPr>
        <w:spacing w:after="20"/>
        <w:ind w:firstLine="0"/>
      </w:pPr>
      <w:r>
        <w:rPr>
          <w:sz w:val="24"/>
        </w:rPr>
        <w:t>Таблица 82. Оценка технологической готовности российских решений по переделам (шкала TRL)</w:t>
      </w:r>
    </w:p>
    <w:p>
      <w:pPr>
        <w:spacing w:after="20"/>
        <w:ind w:firstLine="0"/>
      </w:pPr>
      <w:r>
        <w:rPr>
          <w:sz w:val="24"/>
        </w:rPr>
        <w:t>Таблица 83. Технологические схемы переработки редкоземельного сырья различных типов</w:t>
      </w:r>
    </w:p>
    <w:p>
      <w:pPr>
        <w:spacing w:after="20"/>
        <w:ind w:firstLine="0"/>
      </w:pPr>
      <w:r>
        <w:rPr>
          <w:sz w:val="24"/>
        </w:rPr>
        <w:t>Таблица 84. Сопоставление технологических подходов к извлечению РЗМ из фосфатного сырья</w:t>
      </w:r>
    </w:p>
    <w:p>
      <w:pPr>
        <w:spacing w:after="20"/>
        <w:ind w:firstLine="0"/>
      </w:pPr>
      <w:r>
        <w:rPr>
          <w:sz w:val="24"/>
        </w:rPr>
        <w:t>Таблица 85. Оценка потребности в диспрозии и тербии для производства магнитов в РФ при различном уровне освоения технологии</w:t>
      </w:r>
    </w:p>
    <w:p>
      <w:pPr>
        <w:spacing w:after="20"/>
        <w:ind w:firstLine="0"/>
      </w:pPr>
      <w:r>
        <w:rPr>
          <w:sz w:val="24"/>
        </w:rPr>
        <w:t>Таблица 86. Распределение патентной активности в области редкоземельных технологий по странам, 2015–2024 гг., число патентных семей</w:t>
      </w:r>
    </w:p>
    <w:p>
      <w:pPr>
        <w:spacing w:after="20"/>
        <w:ind w:firstLine="0"/>
      </w:pPr>
      <w:r>
        <w:rPr>
          <w:sz w:val="24"/>
        </w:rPr>
        <w:t>Таблица 87. Приоритетные направления НИОКР для российской редкоземельной отрасли</w:t>
      </w:r>
    </w:p>
    <w:p>
      <w:pPr>
        <w:spacing w:after="20"/>
        <w:ind w:firstLine="0"/>
      </w:pPr>
      <w:r>
        <w:rPr>
          <w:sz w:val="24"/>
        </w:rPr>
        <w:t>Таблица 88. Оценка кадровой потребности редкоземельной отрасли РФ при реализации целевых показателей</w:t>
      </w:r>
    </w:p>
    <w:p>
      <w:pPr>
        <w:spacing w:after="20"/>
        <w:ind w:firstLine="0"/>
      </w:pPr>
      <w:r>
        <w:rPr>
          <w:sz w:val="24"/>
        </w:rPr>
        <w:t>Таблица 89. Экспорт редкоземельной продукции из Российской Федерации, 2010–2025 гг.</w:t>
      </w:r>
    </w:p>
    <w:p>
      <w:pPr>
        <w:spacing w:after="20"/>
        <w:ind w:firstLine="0"/>
      </w:pPr>
      <w:r>
        <w:rPr>
          <w:sz w:val="24"/>
        </w:rPr>
        <w:t>Таблица 90. Географическая структура экспорта редкоземельной продукции из РФ, 2018–2025 гг., т физического веса</w:t>
      </w:r>
    </w:p>
    <w:p>
      <w:pPr>
        <w:spacing w:after="20"/>
        <w:ind w:firstLine="0"/>
      </w:pPr>
      <w:r>
        <w:rPr>
          <w:sz w:val="24"/>
        </w:rPr>
        <w:t>Таблица 91. Импорт редкоземельной продукции в Российскую Федерацию по товарным группам, 2018–2025 гг., т</w:t>
      </w:r>
    </w:p>
    <w:p>
      <w:pPr>
        <w:spacing w:after="20"/>
        <w:ind w:firstLine="0"/>
      </w:pPr>
      <w:r>
        <w:rPr>
          <w:sz w:val="24"/>
        </w:rPr>
        <w:t>Таблица 92. Стоимостные показатели импорта редкоземельной продукции в РФ, 2018–2025 гг., млн $</w:t>
      </w:r>
    </w:p>
    <w:p>
      <w:pPr>
        <w:spacing w:after="20"/>
        <w:ind w:firstLine="0"/>
      </w:pPr>
      <w:r>
        <w:rPr>
          <w:sz w:val="24"/>
        </w:rPr>
        <w:t>Таблица 93. Географическая структура импорта редкоземельной продукции в РФ, 2025 г. (оценка)</w:t>
      </w:r>
    </w:p>
    <w:p>
      <w:pPr>
        <w:spacing w:after="20"/>
        <w:ind w:firstLine="0"/>
      </w:pPr>
      <w:r>
        <w:rPr>
          <w:sz w:val="24"/>
        </w:rPr>
        <w:t>Таблица 94. Уровень импортозависимости Российской Федерации по видам редкоземельной продукции, 2025 г.</w:t>
      </w:r>
    </w:p>
    <w:p>
      <w:pPr>
        <w:spacing w:after="20"/>
        <w:ind w:firstLine="0"/>
      </w:pPr>
      <w:r>
        <w:rPr>
          <w:sz w:val="24"/>
        </w:rPr>
        <w:t>Таблица 95. Оценка рисков внешнеторговых операций РФ с редкоземельной продукцией</w:t>
      </w:r>
    </w:p>
    <w:p>
      <w:pPr>
        <w:spacing w:after="20"/>
        <w:ind w:firstLine="0"/>
      </w:pPr>
      <w:r>
        <w:rPr>
          <w:sz w:val="24"/>
        </w:rPr>
        <w:t>Таблица 96. Прогноз внешнеторговых показателей РФ по редкоземельной продукции до 2035 г. (базовый сценарий)</w:t>
      </w:r>
    </w:p>
    <w:p>
      <w:pPr>
        <w:spacing w:after="20"/>
        <w:ind w:firstLine="0"/>
      </w:pPr>
      <w:r>
        <w:rPr>
          <w:sz w:val="24"/>
        </w:rPr>
        <w:t>Таблица 97. Баланс производства и потребления редкоземельной продукции в РФ, 2015–2025 гг., т TREO</w:t>
      </w:r>
    </w:p>
    <w:p>
      <w:pPr>
        <w:spacing w:after="20"/>
        <w:ind w:firstLine="0"/>
      </w:pPr>
      <w:r>
        <w:rPr>
          <w:sz w:val="24"/>
        </w:rPr>
        <w:t>Таблица 98. Структура «видимого» потребления РЗМ в РФ по элементам, 2025 г., т оксида</w:t>
      </w:r>
    </w:p>
    <w:p>
      <w:pPr>
        <w:spacing w:after="20"/>
        <w:ind w:firstLine="0"/>
      </w:pPr>
      <w:r>
        <w:rPr>
          <w:sz w:val="24"/>
        </w:rPr>
        <w:t>Таблица 99. Структура потребления редкоземельной продукции в РФ по отраслям, 2020–2025 гг., т TREO</w:t>
      </w:r>
    </w:p>
    <w:p>
      <w:pPr>
        <w:spacing w:after="20"/>
        <w:ind w:firstLine="0"/>
      </w:pPr>
      <w:r>
        <w:rPr>
          <w:sz w:val="24"/>
        </w:rPr>
        <w:t>Таблица 100. Основные предприятия-потребители редкоземельной продукции в оптической и стекольной промышленности РФ</w:t>
      </w:r>
    </w:p>
    <w:p>
      <w:pPr>
        <w:spacing w:after="20"/>
        <w:ind w:firstLine="0"/>
      </w:pPr>
      <w:r>
        <w:rPr>
          <w:sz w:val="24"/>
        </w:rPr>
        <w:t>Таблица 101. Потребление редкоземельных материалов в атомной отрасли РФ</w:t>
      </w:r>
    </w:p>
    <w:p>
      <w:pPr>
        <w:spacing w:after="20"/>
        <w:ind w:firstLine="0"/>
      </w:pPr>
      <w:r>
        <w:rPr>
          <w:sz w:val="24"/>
        </w:rPr>
        <w:t>Таблица 102. Основные показатели АО «ЛЗОС», 2019–2024 гг.</w:t>
      </w:r>
    </w:p>
    <w:p>
      <w:pPr>
        <w:spacing w:after="20"/>
        <w:ind w:firstLine="0"/>
      </w:pPr>
      <w:r>
        <w:rPr>
          <w:sz w:val="24"/>
        </w:rPr>
        <w:t>Таблица 103. Крупнейшие предприятия-потребители редкоземельной продукции в Российской Федерации</w:t>
      </w:r>
    </w:p>
    <w:p>
      <w:pPr>
        <w:spacing w:after="20"/>
        <w:ind w:firstLine="0"/>
      </w:pPr>
      <w:r>
        <w:rPr>
          <w:sz w:val="24"/>
        </w:rPr>
        <w:t>Таблица 104. Прогноз внутреннего потребления редкоземельной продукции в РФ до 2035 г., т TREO</w:t>
      </w:r>
    </w:p>
    <w:p>
      <w:pPr>
        <w:spacing w:after="20"/>
        <w:ind w:firstLine="0"/>
      </w:pPr>
      <w:r>
        <w:rPr>
          <w:sz w:val="24"/>
        </w:rPr>
        <w:t>Таблица 105. Основные элементы нормативно-правового регулирования редкоземельной отрасли РФ</w:t>
      </w:r>
    </w:p>
    <w:p>
      <w:pPr>
        <w:spacing w:after="20"/>
        <w:ind w:firstLine="0"/>
      </w:pPr>
      <w:r>
        <w:rPr>
          <w:sz w:val="24"/>
        </w:rPr>
        <w:t>Таблица 106. Сопоставление подходов государственной политики в редкоземельной сфере, 2013–2020 и 2023–2035 гг.</w:t>
      </w:r>
    </w:p>
    <w:p>
      <w:pPr>
        <w:spacing w:after="20"/>
        <w:ind w:firstLine="0"/>
      </w:pPr>
      <w:r>
        <w:rPr>
          <w:sz w:val="24"/>
        </w:rPr>
        <w:t>Таблица 107. Механизмы государственной поддержки редкоземельных проектов в Российской Федерации</w:t>
      </w:r>
    </w:p>
    <w:p>
      <w:pPr>
        <w:spacing w:after="20"/>
        <w:ind w:firstLine="0"/>
      </w:pPr>
      <w:r>
        <w:rPr>
          <w:sz w:val="24"/>
        </w:rPr>
        <w:t>Таблица 108. Налоговая нагрузка на редкоземельные проекты в Российской Федерации</w:t>
      </w:r>
    </w:p>
    <w:p>
      <w:pPr>
        <w:spacing w:after="20"/>
        <w:ind w:firstLine="0"/>
      </w:pPr>
      <w:r>
        <w:rPr>
          <w:sz w:val="24"/>
        </w:rPr>
        <w:t>Таблица 109. Состояние технического регулирования редкоземельной продукции в РФ</w:t>
      </w:r>
    </w:p>
    <w:p>
      <w:pPr>
        <w:spacing w:after="20"/>
        <w:ind w:firstLine="0"/>
      </w:pPr>
      <w:r>
        <w:rPr>
          <w:sz w:val="24"/>
        </w:rPr>
        <w:t>Таблица 110. Направления международного сотрудничества России в редкоземельной сфере</w:t>
      </w:r>
    </w:p>
    <w:p>
      <w:pPr>
        <w:spacing w:after="20"/>
        <w:ind w:firstLine="0"/>
      </w:pPr>
      <w:r>
        <w:rPr>
          <w:sz w:val="24"/>
        </w:rPr>
        <w:t>Таблица 111. Оценка институциональных условий развития редкоземельной отрасли РФ в сопоставлении с зарубежными юрисдикциями (шкала 1–5)</w:t>
      </w:r>
    </w:p>
    <w:p>
      <w:pPr>
        <w:spacing w:after="20"/>
        <w:ind w:firstLine="0"/>
      </w:pPr>
      <w:r>
        <w:rPr>
          <w:sz w:val="24"/>
        </w:rPr>
        <w:t>Таблица 112. Сценарные допущения прогноза развития редкоземельной отрасли РФ до 2035 г.</w:t>
      </w:r>
    </w:p>
    <w:p>
      <w:pPr>
        <w:spacing w:after="20"/>
        <w:ind w:firstLine="0"/>
      </w:pPr>
      <w:r>
        <w:rPr>
          <w:sz w:val="24"/>
        </w:rPr>
        <w:t>Таблица 113. Прогноз производства редкоземельного сырья в РФ по проектам, тыс. т TREO (базовый сценарий)</w:t>
      </w:r>
    </w:p>
    <w:p>
      <w:pPr>
        <w:spacing w:after="20"/>
        <w:ind w:firstLine="0"/>
      </w:pPr>
      <w:r>
        <w:rPr>
          <w:sz w:val="24"/>
        </w:rPr>
        <w:t>Таблица 114. Оценка вероятности реализации ключевых российских редкоземельных проектов</w:t>
      </w:r>
    </w:p>
    <w:p>
      <w:pPr>
        <w:spacing w:after="20"/>
        <w:ind w:firstLine="0"/>
      </w:pPr>
      <w:r>
        <w:rPr>
          <w:sz w:val="24"/>
        </w:rPr>
        <w:t>Таблица 115. Прогноз производства редкоземельной продукции в РФ по переделам, т (базовый сценарий)</w:t>
      </w:r>
    </w:p>
    <w:p>
      <w:pPr>
        <w:spacing w:after="20"/>
        <w:ind w:firstLine="0"/>
      </w:pPr>
      <w:r>
        <w:rPr>
          <w:sz w:val="24"/>
        </w:rPr>
        <w:t>Таблица 116. Прогнозный баланс РФ по критическим редкоземельным элементам, т оксида (базовый сценарий)</w:t>
      </w:r>
    </w:p>
    <w:p>
      <w:pPr>
        <w:spacing w:after="20"/>
        <w:ind w:firstLine="0"/>
      </w:pPr>
      <w:r>
        <w:rPr>
          <w:sz w:val="24"/>
        </w:rPr>
        <w:t>Таблица 117. Прогноз объёма рынка редкоземельной продукции Российской Федерации, млрд руб.</w:t>
      </w:r>
    </w:p>
    <w:p>
      <w:pPr>
        <w:spacing w:after="20"/>
        <w:ind w:firstLine="0"/>
      </w:pPr>
      <w:r>
        <w:rPr>
          <w:sz w:val="24"/>
        </w:rPr>
        <w:t>Таблица 118. Критические условия достижения целевых показателей развития редкоземельной отрасли РФ</w:t>
      </w:r>
    </w:p>
    <w:p>
      <w:pPr>
        <w:spacing w:after="20"/>
        <w:ind w:firstLine="0"/>
      </w:pPr>
      <w:r>
        <w:rPr>
          <w:sz w:val="24"/>
        </w:rPr>
        <w:t>Таблица 119. Сводный прогноз ключевых показателей редкоземельной отрасли РФ до 2035 г.</w:t>
      </w:r>
    </w:p>
    <w:p>
      <w:pPr>
        <w:spacing w:after="20"/>
        <w:ind w:firstLine="0"/>
      </w:pPr>
      <w:r>
        <w:rPr>
          <w:sz w:val="24"/>
        </w:rPr>
        <w:t>Таблица 120. Удельные капитальные затраты на создание редкоземельных мощностей по переделам</w:t>
      </w:r>
    </w:p>
    <w:p>
      <w:pPr>
        <w:spacing w:after="20"/>
        <w:ind w:firstLine="0"/>
      </w:pPr>
      <w:r>
        <w:rPr>
          <w:sz w:val="24"/>
        </w:rPr>
        <w:t>Таблица 121. Оценка потребности в капитале для реализации российской редкоземельной программы, млрд руб.</w:t>
      </w:r>
    </w:p>
    <w:p>
      <w:pPr>
        <w:spacing w:after="20"/>
        <w:ind w:firstLine="0"/>
      </w:pPr>
      <w:r>
        <w:rPr>
          <w:sz w:val="24"/>
        </w:rPr>
        <w:t>Таблица 122. Сопоставительная экономика моделей развития редкоземельного производства (расчёт на 5 тыс. т TREO сырья)</w:t>
      </w:r>
    </w:p>
    <w:p>
      <w:pPr>
        <w:spacing w:after="20"/>
        <w:ind w:firstLine="0"/>
      </w:pPr>
      <w:r>
        <w:rPr>
          <w:sz w:val="24"/>
        </w:rPr>
        <w:t>Таблица 123. Анализ чувствительности показателей проекта полного цикла к ключевым факторам</w:t>
      </w:r>
    </w:p>
    <w:p>
      <w:pPr>
        <w:spacing w:after="20"/>
        <w:ind w:firstLine="0"/>
      </w:pPr>
      <w:r>
        <w:rPr>
          <w:sz w:val="24"/>
        </w:rPr>
        <w:t>Таблица 124. Карта рисков редкоземельных проектов в Российской Федерации</w:t>
      </w:r>
    </w:p>
    <w:p>
      <w:pPr>
        <w:spacing w:after="20"/>
        <w:ind w:firstLine="0"/>
      </w:pPr>
      <w:r>
        <w:rPr>
          <w:sz w:val="24"/>
        </w:rPr>
        <w:t>Таблица 125. SWOT-анализ редкоземельной отрасли Российской Федерации</w:t>
      </w:r>
    </w:p>
    <w:p>
      <w:pPr>
        <w:spacing w:after="20"/>
        <w:ind w:firstLine="0"/>
      </w:pPr>
      <w:r>
        <w:rPr>
          <w:sz w:val="24"/>
        </w:rPr>
        <w:t>Таблица 126. Сводная оценка стратегических приоритетов развития редкоземельной отрасли РФ</w:t>
      </w:r>
    </w:p>
    <w:p>
      <w:pPr>
        <w:spacing w:after="20"/>
        <w:ind w:firstLine="0"/>
      </w:pPr>
      <w:r>
        <w:rPr>
          <w:sz w:val="24"/>
        </w:rPr>
        <w:t>Таблица 127. Российские производители редкоземельной продукции и операторы проектов</w:t>
      </w:r>
    </w:p>
    <w:p>
      <w:pPr>
        <w:spacing w:after="20"/>
        <w:ind w:firstLine="0"/>
      </w:pPr>
      <w:r>
        <w:rPr>
          <w:sz w:val="24"/>
        </w:rPr>
        <w:t>Таблица 128. Ключевые зарубежные производители редкоземельной продукции</w:t>
      </w:r>
    </w:p>
    <w:p>
      <w:pPr>
        <w:spacing w:after="20"/>
        <w:ind w:firstLine="0"/>
      </w:pPr>
      <w:r>
        <w:rPr>
          <w:sz w:val="24"/>
        </w:rPr>
        <w:t>Таблица 129. Основные российские предприятия — потребители редкоземельной продукции</w:t>
      </w:r>
    </w:p>
    <w:p>
      <w:pPr>
        <w:spacing w:after="20"/>
        <w:ind w:firstLine="0"/>
      </w:pPr>
      <w:r>
        <w:rPr>
          <w:sz w:val="24"/>
        </w:rPr>
        <w:t>Таблица 130. Месторождения редкоземельных металлов Российской Федерации</w:t>
      </w:r>
    </w:p>
    <w:p>
      <w:pPr>
        <w:spacing w:after="20"/>
        <w:ind w:firstLine="0"/>
      </w:pPr>
      <w:r>
        <w:rPr>
          <w:sz w:val="24"/>
        </w:rPr>
        <w:t>Таблица 131. Крупнейшие месторождения редкоземельных металлов мира</w:t>
      </w:r>
    </w:p>
    <w:p>
      <w:pPr>
        <w:spacing w:after="20"/>
        <w:ind w:firstLine="0"/>
      </w:pPr>
      <w:r>
        <w:rPr>
          <w:sz w:val="24"/>
        </w:rPr>
        <w:t>Таблица 132. Расширенный перечень кодов ТН ВЭД ЕАЭС, применяемых к редкоземельной продукции</w:t>
      </w:r>
    </w:p>
    <w:p>
      <w:pPr>
        <w:spacing w:after="20"/>
        <w:ind w:firstLine="0"/>
      </w:pPr>
      <w:r>
        <w:rPr>
          <w:sz w:val="24"/>
        </w:rPr>
        <w:t>Таблица 133. Пересчётные коэффициенты для редкоземельных соединений</w:t>
      </w:r>
    </w:p>
    <w:p>
      <w:pPr>
        <w:spacing w:after="20"/>
        <w:ind w:firstLine="0"/>
      </w:pPr>
      <w:r>
        <w:rPr>
          <w:sz w:val="24"/>
        </w:rPr>
        <w:t>Таблица 134. Глоссарий основных терминов редкоземельной отрасли</w:t>
      </w:r>
    </w:p>
    <w:p>
      <w:pPr>
        <w:spacing w:after="20"/>
        <w:ind w:firstLine="0"/>
      </w:pPr>
      <w:r>
        <w:rPr>
          <w:sz w:val="24"/>
        </w:rPr>
        <w:t>Таблица 135. Хронология ключевых событий мирового рынка редкоземельных металлов, 2010–2025 гг.</w:t>
      </w:r>
    </w:p>
    <w:p>
      <w:pPr>
        <w:spacing w:after="20"/>
        <w:ind w:firstLine="0"/>
      </w:pPr>
      <w:r>
        <w:rPr>
          <w:sz w:val="24"/>
        </w:rPr>
        <w:t>Таблица 136. Перечень таблиц и рисунков по главам отчёта</w:t>
      </w:r>
    </w:p>
    <w:p>
      <w:pPr>
        <w:spacing w:after="20"/>
        <w:ind w:firstLine="0"/>
      </w:pPr>
      <w:r>
        <w:rPr>
          <w:sz w:val="24"/>
        </w:rPr>
        <w:t>Таблица 137. Промышленные и потенциальные источники скандия</w:t>
      </w:r>
    </w:p>
    <w:p>
      <w:pPr>
        <w:spacing w:after="20"/>
        <w:ind w:firstLine="0"/>
      </w:pPr>
      <w:r>
        <w:rPr>
          <w:sz w:val="24"/>
        </w:rPr>
        <w:t>Таблица 138. Мировое производство и потребление оксида скандия, 2018–2030 гг., т</w:t>
      </w:r>
    </w:p>
    <w:p>
      <w:pPr>
        <w:spacing w:after="20"/>
        <w:ind w:firstLine="0"/>
      </w:pPr>
      <w:r>
        <w:rPr>
          <w:sz w:val="24"/>
        </w:rPr>
        <w:t>Таблица 139. Структура мирового потребления скандия по направлениям, 2024 и 2030 гг.</w:t>
      </w:r>
    </w:p>
    <w:p>
      <w:pPr>
        <w:spacing w:after="20"/>
        <w:ind w:firstLine="0"/>
      </w:pPr>
      <w:r>
        <w:rPr>
          <w:sz w:val="24"/>
        </w:rPr>
        <w:t>Таблица 140. Оценка потенциала российского скандиевого направления</w:t>
      </w:r>
    </w:p>
    <w:p>
      <w:pPr>
        <w:spacing w:after="20"/>
        <w:ind w:firstLine="0"/>
      </w:pPr>
      <w:r>
        <w:rPr>
          <w:sz w:val="24"/>
        </w:rPr>
        <w:t>Таблица 141. Параметры модели прогнозирования спроса на редкоземельные магниты</w:t>
      </w:r>
    </w:p>
    <w:p>
      <w:pPr>
        <w:spacing w:after="20"/>
        <w:ind w:firstLine="0"/>
      </w:pPr>
      <w:r>
        <w:rPr>
          <w:sz w:val="24"/>
        </w:rPr>
        <w:t>Таблица 142. Коэффициенты вероятности реализации проектов по стадиям</w:t>
      </w:r>
    </w:p>
    <w:p>
      <w:pPr>
        <w:spacing w:after="20"/>
        <w:ind w:firstLine="0"/>
      </w:pPr>
      <w:r>
        <w:rPr>
          <w:sz w:val="24"/>
        </w:rPr>
        <w:t>Таблица 143. Типовая траектория выхода редкоземельных производств на проектную мощность, % от проектной</w:t>
      </w:r>
    </w:p>
    <w:p>
      <w:pPr>
        <w:spacing w:after="20"/>
        <w:ind w:firstLine="0"/>
      </w:pPr>
      <w:r>
        <w:rPr>
          <w:sz w:val="24"/>
        </w:rPr>
        <w:t>Таблица 144. Параметры ценовой модели по ключевым элементам</w:t>
      </w:r>
    </w:p>
    <w:p>
      <w:pPr>
        <w:spacing w:after="20"/>
        <w:ind w:firstLine="0"/>
      </w:pPr>
      <w:r>
        <w:rPr>
          <w:sz w:val="24"/>
        </w:rPr>
        <w:t>Таблица 145. Сопоставительная характеристика рынков критического сырья, 2024 г.</w:t>
      </w:r>
    </w:p>
    <w:p>
      <w:pPr>
        <w:spacing w:after="20"/>
        <w:ind w:firstLine="0"/>
      </w:pPr>
      <w:r>
        <w:rPr>
          <w:sz w:val="24"/>
        </w:rPr>
        <w:t>Таблица 146. Позиции Российской Федерации на рынках критического сырья</w:t>
      </w:r>
    </w:p>
    <w:p>
      <w:pPr>
        <w:spacing w:after="20"/>
        <w:ind w:firstLine="0"/>
      </w:pPr>
      <w:r>
        <w:rPr>
          <w:sz w:val="24"/>
        </w:rPr>
        <w:t>Таблица 147. Сопоставление сроков и капиталоёмкости создания производств критического сырья в РФ</w:t>
      </w:r>
    </w:p>
    <w:p>
      <w:pPr>
        <w:spacing w:after="20"/>
        <w:ind w:firstLine="0"/>
      </w:pPr>
      <w:r>
        <w:rPr>
          <w:sz w:val="24"/>
        </w:rPr>
        <w:t>Таблица 148. Итоговая сопоставительная оценка приоритетности направлений развития редкометалльной промышленности РФ</w:t>
      </w:r>
    </w:p>
    <w:p>
      <w:pPr>
        <w:spacing w:after="20"/>
        <w:ind w:firstLine="0"/>
      </w:pPr>
      <w:r>
        <w:rPr>
          <w:sz w:val="24"/>
        </w:rPr>
        <w:t>Таблица 149. Мировая добыча редкоземельных металлов, 2002–2025 гг., тыс. т TREO (сводный ряд)</w:t>
      </w:r>
    </w:p>
    <w:p>
      <w:pPr>
        <w:spacing w:after="20"/>
        <w:ind w:firstLine="0"/>
      </w:pPr>
      <w:r>
        <w:rPr>
          <w:sz w:val="24"/>
        </w:rPr>
        <w:t>Таблица 150. Цены на редкоземельные оксиды, 2016–2025 гг., $/кг (сводный ряд, FOB Китай)</w:t>
      </w:r>
    </w:p>
    <w:p>
      <w:pPr>
        <w:spacing w:after="20"/>
        <w:ind w:firstLine="0"/>
      </w:pPr>
      <w:r>
        <w:rPr>
          <w:sz w:val="24"/>
        </w:rPr>
        <w:t>Таблица 151. Сводные показатели редкоземельной отрасли Российской Федерации, 2015–2025 гг.</w:t>
      </w:r>
    </w:p>
    <w:p>
      <w:pPr>
        <w:spacing w:after="20"/>
        <w:ind w:firstLine="0"/>
      </w:pPr>
      <w:r>
        <w:rPr>
          <w:sz w:val="24"/>
        </w:rPr>
        <w:t>Таблица 152. Сводный прогноз мирового рынка редкоземельных металлов до 2035 г. (базовый сценарий)</w:t>
      </w:r>
    </w:p>
    <w:p>
      <w:pPr>
        <w:spacing w:after="20"/>
        <w:ind w:firstLine="0"/>
      </w:pPr>
      <w:r>
        <w:rPr>
          <w:sz w:val="24"/>
        </w:rPr>
        <w:t>Таблица 153. Сводная таблица ключевых выводов отчёта по разделам</w:t>
      </w:r>
    </w:p>
    <w:p>
      <w:pPr>
        <w:spacing w:after="20"/>
        <w:ind w:firstLine="0"/>
      </w:pPr>
      <w:r>
        <w:rPr>
          <w:sz w:val="24"/>
        </w:rPr>
        <w:t>Таблица 154. Сводный перечень допущений, принятых при построении прогнозов</w:t>
      </w:r>
    </w:p>
    <w:p>
      <w:r>
        <w:br w:type="page"/>
      </w:r>
    </w:p>
    <w:p>
      <w:pPr>
        <w:ind w:firstLine="0"/>
        <w:jc w:val="center"/>
      </w:pPr>
      <w:r>
        <w:rPr>
          <w:b/>
          <w:color w:val="1F4E79"/>
          <w:sz w:val="30"/>
        </w:rPr>
        <w:t>СПИСОК РИСУНКОВ</w:t>
      </w:r>
    </w:p>
    <w:p>
      <w:pPr>
        <w:spacing w:after="20"/>
        <w:ind w:firstLine="0"/>
      </w:pPr>
      <w:r>
        <w:rPr>
          <w:sz w:val="24"/>
        </w:rPr>
        <w:t>Рисунок 1. Распространённость редкоземельных элементов в земной коре (кларки), г/т</w:t>
      </w:r>
    </w:p>
    <w:p>
      <w:pPr>
        <w:spacing w:after="20"/>
        <w:ind w:firstLine="0"/>
      </w:pPr>
      <w:r>
        <w:rPr>
          <w:sz w:val="24"/>
        </w:rPr>
        <w:t>Рисунок 2. Структура «корзины» РЗМ в различных типах сырья, % от TREO</w:t>
      </w:r>
    </w:p>
    <w:p>
      <w:pPr>
        <w:spacing w:after="20"/>
        <w:ind w:firstLine="0"/>
      </w:pPr>
      <w:r>
        <w:rPr>
          <w:sz w:val="24"/>
        </w:rPr>
        <w:t>Рисунок 3. Рост удельной стоимости продукции по переделам (в пересчёте на 1 кг TREO лёгкой корзины), $/кг</w:t>
      </w:r>
    </w:p>
    <w:p>
      <w:pPr>
        <w:spacing w:after="20"/>
        <w:ind w:firstLine="0"/>
      </w:pPr>
      <w:r>
        <w:rPr>
          <w:sz w:val="24"/>
        </w:rPr>
        <w:t>Рисунок 4. Сопоставление структуры мирового производства и структуры стоимости РЗМ, 2024 г., %</w:t>
      </w:r>
    </w:p>
    <w:p>
      <w:pPr>
        <w:spacing w:after="20"/>
        <w:ind w:firstLine="0"/>
      </w:pPr>
      <w:r>
        <w:rPr>
          <w:sz w:val="24"/>
        </w:rPr>
        <w:t>Рисунок 5. Структура мирового рынка редкоземельной продукции по стадиям передела, доля КНР, 2025 г. (оценка), %</w:t>
      </w:r>
    </w:p>
    <w:p>
      <w:pPr>
        <w:spacing w:after="20"/>
        <w:ind w:firstLine="0"/>
      </w:pPr>
      <w:r>
        <w:rPr>
          <w:sz w:val="24"/>
        </w:rPr>
        <w:t>Рисунок 6. Структура мировых запасов редкоземельных металлов по странам, 2025 г., %</w:t>
      </w:r>
    </w:p>
    <w:p>
      <w:pPr>
        <w:spacing w:after="20"/>
        <w:ind w:firstLine="0"/>
      </w:pPr>
      <w:r>
        <w:rPr>
          <w:sz w:val="24"/>
        </w:rPr>
        <w:t>Рисунок 7. Ориентировочная себестоимость производства TREO по типам сырья, $/кг (нижняя и верхняя оценка)</w:t>
      </w:r>
    </w:p>
    <w:p>
      <w:pPr>
        <w:spacing w:after="20"/>
        <w:ind w:firstLine="0"/>
      </w:pPr>
      <w:r>
        <w:rPr>
          <w:sz w:val="24"/>
        </w:rPr>
        <w:t>Рисунок 8. Содержание TREO в ключевых месторождениях мира, % (в порядке убывания)</w:t>
      </w:r>
    </w:p>
    <w:p>
      <w:pPr>
        <w:spacing w:after="20"/>
        <w:ind w:firstLine="0"/>
      </w:pPr>
      <w:r>
        <w:rPr>
          <w:sz w:val="24"/>
        </w:rPr>
        <w:t>Рисунок 9. Обеспеченность мировых запасов по отдельным элементам при уровне потребления 2024 г., лет</w:t>
      </w:r>
    </w:p>
    <w:p>
      <w:pPr>
        <w:spacing w:after="20"/>
        <w:ind w:firstLine="0"/>
      </w:pPr>
      <w:r>
        <w:rPr>
          <w:sz w:val="24"/>
        </w:rPr>
        <w:t>Рисунок 10. Оценка мирового объёма рециклинга РЗМ и его доли в потреблении, 2015–2035 гг.</w:t>
      </w:r>
    </w:p>
    <w:p>
      <w:pPr>
        <w:spacing w:after="20"/>
        <w:ind w:firstLine="0"/>
      </w:pPr>
      <w:r>
        <w:rPr>
          <w:sz w:val="24"/>
        </w:rPr>
        <w:t>Рисунок 11. Динамика мировой добычи РЗМ по странам в 2010–2025 гг., тыс. т TREO</w:t>
      </w:r>
    </w:p>
    <w:p>
      <w:pPr>
        <w:spacing w:after="20"/>
        <w:ind w:firstLine="0"/>
      </w:pPr>
      <w:r>
        <w:rPr>
          <w:sz w:val="24"/>
        </w:rPr>
        <w:t>Рисунок 12. Динамика мировой добычи РЗМ и доли КНР в 2010–2025 гг.</w:t>
      </w:r>
    </w:p>
    <w:p>
      <w:pPr>
        <w:spacing w:after="20"/>
        <w:ind w:firstLine="0"/>
      </w:pPr>
      <w:r>
        <w:rPr>
          <w:sz w:val="24"/>
        </w:rPr>
        <w:t>Рисунок 13. Структура мировых мощностей по разделению РЗМ, 2025 г., %</w:t>
      </w:r>
    </w:p>
    <w:p>
      <w:pPr>
        <w:spacing w:after="20"/>
        <w:ind w:firstLine="0"/>
      </w:pPr>
      <w:r>
        <w:rPr>
          <w:sz w:val="24"/>
        </w:rPr>
        <w:t>Рисунок 14. Мировое производство спечённых магнитов NdFeB, 2018–2025 гг., тыс. т</w:t>
      </w:r>
    </w:p>
    <w:p>
      <w:pPr>
        <w:spacing w:after="20"/>
        <w:ind w:firstLine="0"/>
      </w:pPr>
      <w:r>
        <w:rPr>
          <w:sz w:val="24"/>
        </w:rPr>
        <w:t>Рисунок 15. Баланс производства и потребления ключевых оксидов РЗМ, 2024 г., т</w:t>
      </w:r>
    </w:p>
    <w:p>
      <w:pPr>
        <w:spacing w:after="20"/>
        <w:ind w:firstLine="0"/>
      </w:pPr>
      <w:r>
        <w:rPr>
          <w:sz w:val="24"/>
        </w:rPr>
        <w:t>Рисунок 16. Квоты КНР на добычу и разделение РЗМ, 2016–2025 гг., тыс. т TREO</w:t>
      </w:r>
    </w:p>
    <w:p>
      <w:pPr>
        <w:spacing w:after="20"/>
        <w:ind w:firstLine="0"/>
      </w:pPr>
      <w:r>
        <w:rPr>
          <w:sz w:val="24"/>
        </w:rPr>
        <w:t>Рисунок 17. Импорт редкоземельного сырья в КНР по ключевым поставщикам, 2019–2024 гг., тыс. т</w:t>
      </w:r>
    </w:p>
    <w:p>
      <w:pPr>
        <w:spacing w:after="20"/>
        <w:ind w:firstLine="0"/>
      </w:pPr>
      <w:r>
        <w:rPr>
          <w:sz w:val="24"/>
        </w:rPr>
        <w:t>Рисунок 18. Распределение квот КНР на добычу РЗМ между государственными группами, 2021–2024 гг., тыс. т TREO</w:t>
      </w:r>
    </w:p>
    <w:p>
      <w:pPr>
        <w:spacing w:after="20"/>
        <w:ind w:firstLine="0"/>
      </w:pPr>
      <w:r>
        <w:rPr>
          <w:sz w:val="24"/>
        </w:rPr>
        <w:t>Рисунок 19. Производство NdPr и средняя цена реализации Lynas Rare Earths, ФГ2020–ФГ2025</w:t>
      </w:r>
    </w:p>
    <w:p>
      <w:pPr>
        <w:spacing w:after="20"/>
        <w:ind w:firstLine="0"/>
      </w:pPr>
      <w:r>
        <w:rPr>
          <w:sz w:val="24"/>
        </w:rPr>
        <w:t>Рисунок 20. Выручка и производство NdPr MP Materials, 2020–2025 гг.</w:t>
      </w:r>
    </w:p>
    <w:p>
      <w:pPr>
        <w:spacing w:after="20"/>
        <w:ind w:firstLine="0"/>
      </w:pPr>
      <w:r>
        <w:rPr>
          <w:sz w:val="24"/>
        </w:rPr>
        <w:t>Рисунок 21. Планируемый ввод разделительных мощностей вне КНР по годам, т TREO/год</w:t>
      </w:r>
    </w:p>
    <w:p>
      <w:pPr>
        <w:spacing w:after="20"/>
        <w:ind w:firstLine="0"/>
      </w:pPr>
      <w:r>
        <w:rPr>
          <w:sz w:val="24"/>
        </w:rPr>
        <w:t>Рисунок 22. Сопоставление себестоимости производства оксида NdPr, $/кг</w:t>
      </w:r>
    </w:p>
    <w:p>
      <w:pPr>
        <w:spacing w:after="20"/>
        <w:ind w:firstLine="0"/>
      </w:pPr>
      <w:r>
        <w:rPr>
          <w:sz w:val="24"/>
        </w:rPr>
        <w:t>Рисунок 23. Доля не-китайских производителей в мировом производстве по стадиям передела, 2015–2030 гг. (прогноз), %</w:t>
      </w:r>
    </w:p>
    <w:p>
      <w:pPr>
        <w:spacing w:after="20"/>
        <w:ind w:firstLine="0"/>
      </w:pPr>
      <w:r>
        <w:rPr>
          <w:sz w:val="24"/>
        </w:rPr>
        <w:t>Рисунок 24. Структура мирового потребления РЗМ по отраслям, 2015–2030 гг., тыс. т TREO</w:t>
      </w:r>
    </w:p>
    <w:p>
      <w:pPr>
        <w:spacing w:after="20"/>
        <w:ind w:firstLine="0"/>
      </w:pPr>
      <w:r>
        <w:rPr>
          <w:sz w:val="24"/>
        </w:rPr>
        <w:t>Рисунок 25. Структура мирового потребления РЗМ по отраслям в стоимостном выражении, 2024 г., %</w:t>
      </w:r>
    </w:p>
    <w:p>
      <w:pPr>
        <w:spacing w:after="20"/>
        <w:ind w:firstLine="0"/>
      </w:pPr>
      <w:r>
        <w:rPr>
          <w:sz w:val="24"/>
        </w:rPr>
        <w:t>Рисунок 26. Мировые продажи электромобилей и обусловленный ими спрос на NdPr, 2018–2030 гг.</w:t>
      </w:r>
    </w:p>
    <w:p>
      <w:pPr>
        <w:spacing w:after="20"/>
        <w:ind w:firstLine="0"/>
      </w:pPr>
      <w:r>
        <w:rPr>
          <w:sz w:val="24"/>
        </w:rPr>
        <w:t>Рисунок 27. Ввод мощностей ветроэнергетики в мире и спрос на NdPr, 2018–2030 гг.</w:t>
      </w:r>
    </w:p>
    <w:p>
      <w:pPr>
        <w:spacing w:after="20"/>
        <w:ind w:firstLine="0"/>
      </w:pPr>
      <w:r>
        <w:rPr>
          <w:sz w:val="24"/>
        </w:rPr>
        <w:t>Рисунок 28. Структура потребления редкоземельных магнитов по сегментам конечного применения, 2024 г., %</w:t>
      </w:r>
    </w:p>
    <w:p>
      <w:pPr>
        <w:spacing w:after="20"/>
        <w:ind w:firstLine="0"/>
      </w:pPr>
      <w:r>
        <w:rPr>
          <w:sz w:val="24"/>
        </w:rPr>
        <w:t>Рисунок 29. Поэлементная структура потребления основных РЗМ по направлениям, 2024 г., т оксида</w:t>
      </w:r>
    </w:p>
    <w:p>
      <w:pPr>
        <w:spacing w:after="20"/>
        <w:ind w:firstLine="0"/>
      </w:pPr>
      <w:r>
        <w:rPr>
          <w:sz w:val="24"/>
        </w:rPr>
        <w:t>Рисунок 30. Динамика удельного расхода диспрозия в магнитах для тяговых двигателей, г/кг магнита</w:t>
      </w:r>
    </w:p>
    <w:p>
      <w:pPr>
        <w:spacing w:after="20"/>
        <w:ind w:firstLine="0"/>
      </w:pPr>
      <w:r>
        <w:rPr>
          <w:sz w:val="24"/>
        </w:rPr>
        <w:t>Рисунок 31. Прогноз мирового потребления РЗМ по ключевым элементам, 2024 и 2030 гг., т оксида</w:t>
      </w:r>
    </w:p>
    <w:p>
      <w:pPr>
        <w:spacing w:after="20"/>
        <w:ind w:firstLine="0"/>
      </w:pPr>
      <w:r>
        <w:rPr>
          <w:sz w:val="24"/>
        </w:rPr>
        <w:t>Рисунок 32. Динамика цен на оксид NdPr, 2010–2025 гг., $/кг</w:t>
      </w:r>
    </w:p>
    <w:p>
      <w:pPr>
        <w:spacing w:after="20"/>
        <w:ind w:firstLine="0"/>
      </w:pPr>
      <w:r>
        <w:rPr>
          <w:sz w:val="24"/>
        </w:rPr>
        <w:t>Рисунок 33. Динамика цен на оксиды диспрозия и тербия, 2010–2025 гг., $/кг</w:t>
      </w:r>
    </w:p>
    <w:p>
      <w:pPr>
        <w:spacing w:after="20"/>
        <w:ind w:firstLine="0"/>
      </w:pPr>
      <w:r>
        <w:rPr>
          <w:sz w:val="24"/>
        </w:rPr>
        <w:t>Рисунок 34. Динамика цен на оксиды лантана и церия, 2010–2025 гг., $/кг</w:t>
      </w:r>
    </w:p>
    <w:p>
      <w:pPr>
        <w:spacing w:after="20"/>
        <w:ind w:firstLine="0"/>
      </w:pPr>
      <w:r>
        <w:rPr>
          <w:sz w:val="24"/>
        </w:rPr>
        <w:t>Рисунок 35. Корзиночная стоимость различных типов редкоземельного сырья, $/кг TREO</w:t>
      </w:r>
    </w:p>
    <w:p>
      <w:pPr>
        <w:spacing w:after="20"/>
        <w:ind w:firstLine="0"/>
      </w:pPr>
      <w:r>
        <w:rPr>
          <w:sz w:val="24"/>
        </w:rPr>
        <w:t>Рисунок 36. Соотношение внешних и внутрикитайских цен на редкоземельные оксиды, IV кв. 2025 г., раз</w:t>
      </w:r>
    </w:p>
    <w:p>
      <w:pPr>
        <w:spacing w:after="20"/>
        <w:ind w:firstLine="0"/>
      </w:pPr>
      <w:r>
        <w:rPr>
          <w:sz w:val="24"/>
        </w:rPr>
        <w:t>Рисунок 37. Цены на спечённые магниты NdFeB по классам, 2024 и 2025 гг., $/кг</w:t>
      </w:r>
    </w:p>
    <w:p>
      <w:pPr>
        <w:spacing w:after="20"/>
        <w:ind w:firstLine="0"/>
      </w:pPr>
      <w:r>
        <w:rPr>
          <w:sz w:val="24"/>
        </w:rPr>
        <w:t>Рисунок 38. Волатильность цен на редкоземельные оксиды (среднегодовое стандартное отклонение месячных изменений), 2015–2025 гг., %</w:t>
      </w:r>
    </w:p>
    <w:p>
      <w:pPr>
        <w:spacing w:after="20"/>
        <w:ind w:firstLine="0"/>
      </w:pPr>
      <w:r>
        <w:rPr>
          <w:sz w:val="24"/>
        </w:rPr>
        <w:t>Рисунок 39. Цена оксида NdPr и пороги рентабельности категорий производителей, $/кг</w:t>
      </w:r>
    </w:p>
    <w:p>
      <w:pPr>
        <w:spacing w:after="20"/>
        <w:ind w:firstLine="0"/>
      </w:pPr>
      <w:r>
        <w:rPr>
          <w:sz w:val="24"/>
        </w:rPr>
        <w:t>Рисунок 40. Оценка объёма объявленной государственной поддержки редкоземельной отрасли по странам, 2020–2025 гг., млрд $</w:t>
      </w:r>
    </w:p>
    <w:p>
      <w:pPr>
        <w:spacing w:after="20"/>
        <w:ind w:firstLine="0"/>
      </w:pPr>
      <w:r>
        <w:rPr>
          <w:sz w:val="24"/>
        </w:rPr>
        <w:t>Рисунок 41. Доля КНР в мировом производстве по стадиям передела: ретроспектива и прогноз, 2010–2035 гг., %</w:t>
      </w:r>
    </w:p>
    <w:p>
      <w:pPr>
        <w:spacing w:after="20"/>
        <w:ind w:firstLine="0"/>
      </w:pPr>
      <w:r>
        <w:rPr>
          <w:sz w:val="24"/>
        </w:rPr>
        <w:t>Рисунок 42. Оценка удельных выбросов CO₂-эквивалента при производстве оксида NdPr по технологиям, т CO₂-экв./т</w:t>
      </w:r>
    </w:p>
    <w:p>
      <w:pPr>
        <w:spacing w:after="20"/>
        <w:ind w:firstLine="0"/>
      </w:pPr>
      <w:r>
        <w:rPr>
          <w:sz w:val="24"/>
        </w:rPr>
        <w:t>Рисунок 43. Средний срок реализации редкоземельного проекта от открытия месторождения до первого производства по регионам, лет</w:t>
      </w:r>
    </w:p>
    <w:p>
      <w:pPr>
        <w:spacing w:after="20"/>
        <w:ind w:firstLine="0"/>
      </w:pPr>
      <w:r>
        <w:rPr>
          <w:sz w:val="24"/>
        </w:rPr>
        <w:t>Рисунок 44. Прогноз мирового спроса на РЗМ по сценариям, 2024–2035 гг., тыс. т TREO</w:t>
      </w:r>
    </w:p>
    <w:p>
      <w:pPr>
        <w:spacing w:after="20"/>
        <w:ind w:firstLine="0"/>
      </w:pPr>
      <w:r>
        <w:rPr>
          <w:sz w:val="24"/>
        </w:rPr>
        <w:t>Рисунок 45. Прогноз мирового спроса на оксиды неодима, празеодима, диспрозия и тербия до 2035 г., т</w:t>
      </w:r>
    </w:p>
    <w:p>
      <w:pPr>
        <w:spacing w:after="20"/>
        <w:ind w:firstLine="0"/>
      </w:pPr>
      <w:r>
        <w:rPr>
          <w:sz w:val="24"/>
        </w:rPr>
        <w:t>Рисунок 46. Прогноз структуры мирового предложения РЗМ до 2035 г., тыс. т TREO</w:t>
      </w:r>
    </w:p>
    <w:p>
      <w:pPr>
        <w:spacing w:after="20"/>
        <w:ind w:firstLine="0"/>
      </w:pPr>
      <w:r>
        <w:rPr>
          <w:sz w:val="24"/>
        </w:rPr>
        <w:t>Рисунок 47. Прогнозный баланс мирового рынка тербия и диспрозия, 2024–2035 гг., т оксида</w:t>
      </w:r>
    </w:p>
    <w:p>
      <w:pPr>
        <w:spacing w:after="20"/>
        <w:ind w:firstLine="0"/>
      </w:pPr>
      <w:r>
        <w:rPr>
          <w:sz w:val="24"/>
        </w:rPr>
        <w:t>Рисунок 48. Прогноз цены оксида NdPr по сценариям, 2025–2035 гг., $/кг</w:t>
      </w:r>
    </w:p>
    <w:p>
      <w:pPr>
        <w:spacing w:after="20"/>
        <w:ind w:firstLine="0"/>
      </w:pPr>
      <w:r>
        <w:rPr>
          <w:sz w:val="24"/>
        </w:rPr>
        <w:t>Рисунок 49. Структура балансовых запасов РЗМ Российской Федерации по типам объектов, %</w:t>
      </w:r>
    </w:p>
    <w:p>
      <w:pPr>
        <w:spacing w:after="20"/>
        <w:ind w:firstLine="0"/>
      </w:pPr>
      <w:r>
        <w:rPr>
          <w:sz w:val="24"/>
        </w:rPr>
        <w:t>Рисунок 50. Динамика производства лопаритового концентрата в РФ, 2002–2025 гг., т</w:t>
      </w:r>
    </w:p>
    <w:p>
      <w:pPr>
        <w:spacing w:after="20"/>
        <w:ind w:firstLine="0"/>
      </w:pPr>
      <w:r>
        <w:rPr>
          <w:sz w:val="24"/>
        </w:rPr>
        <w:t>Рисунок 51. Содержание TREO в рудах ключевых российских месторождений, %</w:t>
      </w:r>
    </w:p>
    <w:p>
      <w:pPr>
        <w:spacing w:after="20"/>
        <w:ind w:firstLine="0"/>
      </w:pPr>
      <w:r>
        <w:rPr>
          <w:sz w:val="24"/>
        </w:rPr>
        <w:t>Рисунок 52. Сопоставление редкоземельного потенциала источников РФ, тыс. т TREO в год</w:t>
      </w:r>
    </w:p>
    <w:p>
      <w:pPr>
        <w:spacing w:after="20"/>
        <w:ind w:firstLine="0"/>
      </w:pPr>
      <w:r>
        <w:rPr>
          <w:sz w:val="24"/>
        </w:rPr>
        <w:t>Рисунок 53. Структура корзины РЗМ российских месторождений, % от TREO</w:t>
      </w:r>
    </w:p>
    <w:p>
      <w:pPr>
        <w:spacing w:after="20"/>
        <w:ind w:firstLine="0"/>
      </w:pPr>
      <w:r>
        <w:rPr>
          <w:sz w:val="24"/>
        </w:rPr>
        <w:t>Рисунок 54. Запасы редкоземельного сырья стран ЕАЭС и сопредельных государств, тыс. т TREO</w:t>
      </w:r>
    </w:p>
    <w:p>
      <w:pPr>
        <w:spacing w:after="20"/>
        <w:ind w:firstLine="0"/>
      </w:pPr>
      <w:r>
        <w:rPr>
          <w:sz w:val="24"/>
        </w:rPr>
        <w:t>Рисунок 55. Динамика производства редкоземельной продукции в РФ, 2002–2025 гг., т TREO</w:t>
      </w:r>
    </w:p>
    <w:p>
      <w:pPr>
        <w:spacing w:after="20"/>
        <w:ind w:firstLine="0"/>
      </w:pPr>
      <w:r>
        <w:rPr>
          <w:sz w:val="24"/>
        </w:rPr>
        <w:t>Рисунок 56. Доля России в мировом производстве РЗМ, 2002–2025 гг., %</w:t>
      </w:r>
    </w:p>
    <w:p>
      <w:pPr>
        <w:spacing w:after="20"/>
        <w:ind w:firstLine="0"/>
      </w:pPr>
      <w:r>
        <w:rPr>
          <w:sz w:val="24"/>
        </w:rPr>
        <w:t>Рисунок 57. Структура производства редкоземельной продукции в РФ по видам, 2025 г., т TREO</w:t>
      </w:r>
    </w:p>
    <w:p>
      <w:pPr>
        <w:spacing w:after="20"/>
        <w:ind w:firstLine="0"/>
      </w:pPr>
      <w:r>
        <w:rPr>
          <w:sz w:val="24"/>
        </w:rPr>
        <w:t>Рисунок 58. Фактическая динамика и целевые ориентиры производства РЗМ в РФ, 2015–2035 гг., тыс. т TREO</w:t>
      </w:r>
    </w:p>
    <w:p>
      <w:pPr>
        <w:spacing w:after="20"/>
        <w:ind w:firstLine="0"/>
      </w:pPr>
      <w:r>
        <w:rPr>
          <w:sz w:val="24"/>
        </w:rPr>
        <w:t>Рисунок 59. Добыча руды и производство лопаритового концентрата ООО «Ловозёрский ГОК», 2019–2025 гг.</w:t>
      </w:r>
    </w:p>
    <w:p>
      <w:pPr>
        <w:spacing w:after="20"/>
        <w:ind w:firstLine="0"/>
      </w:pPr>
      <w:r>
        <w:rPr>
          <w:sz w:val="24"/>
        </w:rPr>
        <w:t>Рисунок 60. Выручка и производство редкоземельной продукции АО «СМЗ», 2018–2025 гг.</w:t>
      </w:r>
    </w:p>
    <w:p>
      <w:pPr>
        <w:spacing w:after="20"/>
        <w:ind w:firstLine="0"/>
      </w:pPr>
      <w:r>
        <w:rPr>
          <w:sz w:val="24"/>
        </w:rPr>
        <w:t>Рисунок 61. Потенциальный вклад российских проектов в производство TREO, тыс. т/год</w:t>
      </w:r>
    </w:p>
    <w:p>
      <w:pPr>
        <w:spacing w:after="20"/>
        <w:ind w:firstLine="0"/>
      </w:pPr>
      <w:r>
        <w:rPr>
          <w:sz w:val="24"/>
        </w:rPr>
        <w:t>Рисунок 62. Потребность в редкоземельном сырье для производства магнитов в РФ по сценариям мощности, т/год</w:t>
      </w:r>
    </w:p>
    <w:p>
      <w:pPr>
        <w:spacing w:after="20"/>
        <w:ind w:firstLine="0"/>
      </w:pPr>
      <w:r>
        <w:rPr>
          <w:sz w:val="24"/>
        </w:rPr>
        <w:t>Рисунок 63. Уровень технологической готовности (TRL) российских решений по переделам редкоземельной цепочки</w:t>
      </w:r>
    </w:p>
    <w:p>
      <w:pPr>
        <w:spacing w:after="20"/>
        <w:ind w:firstLine="0"/>
      </w:pPr>
      <w:r>
        <w:rPr>
          <w:sz w:val="24"/>
        </w:rPr>
        <w:t>Рисунок 64. Число экстракционных ступеней, необходимое для достижения заданной чистоты индивидуальных оксидов</w:t>
      </w:r>
    </w:p>
    <w:p>
      <w:pPr>
        <w:spacing w:after="20"/>
        <w:ind w:firstLine="0"/>
      </w:pPr>
      <w:r>
        <w:rPr>
          <w:sz w:val="24"/>
        </w:rPr>
        <w:t>Рисунок 65. Патентная активность в области редкоземельных технологий по странам и переделам, 2015–2024 гг.</w:t>
      </w:r>
    </w:p>
    <w:p>
      <w:pPr>
        <w:spacing w:after="20"/>
        <w:ind w:firstLine="0"/>
      </w:pPr>
      <w:r>
        <w:rPr>
          <w:sz w:val="24"/>
        </w:rPr>
        <w:t>Рисунок 66. Прогнозный баланс лёгких РЗМ при реализации российских проектов, тыс. т/год (2032 г.)</w:t>
      </w:r>
    </w:p>
    <w:p>
      <w:pPr>
        <w:spacing w:after="20"/>
        <w:ind w:firstLine="0"/>
      </w:pPr>
      <w:r>
        <w:rPr>
          <w:sz w:val="24"/>
        </w:rPr>
        <w:t>Рисунок 67. Экспорт редкоземельной продукции из РФ, 2010–2025 гг.</w:t>
      </w:r>
    </w:p>
    <w:p>
      <w:pPr>
        <w:spacing w:after="20"/>
        <w:ind w:firstLine="0"/>
      </w:pPr>
      <w:r>
        <w:rPr>
          <w:sz w:val="24"/>
        </w:rPr>
        <w:t>Рисунок 68. Географическая структура экспорта редкоземельной продукции из РФ, 2018–2025 гг., т</w:t>
      </w:r>
    </w:p>
    <w:p>
      <w:pPr>
        <w:spacing w:after="20"/>
        <w:ind w:firstLine="0"/>
      </w:pPr>
      <w:r>
        <w:rPr>
          <w:sz w:val="24"/>
        </w:rPr>
        <w:t>Рисунок 69. Сопоставление экспорта и импорта редкоземельной продукции РФ в стоимостном выражении, млн $</w:t>
      </w:r>
    </w:p>
    <w:p>
      <w:pPr>
        <w:spacing w:after="20"/>
        <w:ind w:firstLine="0"/>
      </w:pPr>
      <w:r>
        <w:rPr>
          <w:sz w:val="24"/>
        </w:rPr>
        <w:t>Рисунок 70. Географическая структура импорта редкоземельной продукции в РФ, 2025 г., %</w:t>
      </w:r>
    </w:p>
    <w:p>
      <w:pPr>
        <w:spacing w:after="20"/>
        <w:ind w:firstLine="0"/>
      </w:pPr>
      <w:r>
        <w:rPr>
          <w:sz w:val="24"/>
        </w:rPr>
        <w:t>Рисунок 71. Уровень импортозависимости РФ по видам редкоземельной продукции, %</w:t>
      </w:r>
    </w:p>
    <w:p>
      <w:pPr>
        <w:spacing w:after="20"/>
        <w:ind w:firstLine="0"/>
      </w:pPr>
      <w:r>
        <w:rPr>
          <w:sz w:val="24"/>
        </w:rPr>
        <w:t>Рисунок 72. Динамика соотношения стоимости импорта и экспорта редкоземельной продукции РФ, раз</w:t>
      </w:r>
    </w:p>
    <w:p>
      <w:pPr>
        <w:spacing w:after="20"/>
        <w:ind w:firstLine="0"/>
      </w:pPr>
      <w:r>
        <w:rPr>
          <w:sz w:val="24"/>
        </w:rPr>
        <w:t>Рисунок 73. Динамика внутреннего потребления РЗМ в Российской Федерации, 2015–2025 гг., т TREO</w:t>
      </w:r>
    </w:p>
    <w:p>
      <w:pPr>
        <w:spacing w:after="20"/>
        <w:ind w:firstLine="0"/>
      </w:pPr>
      <w:r>
        <w:rPr>
          <w:sz w:val="24"/>
        </w:rPr>
        <w:t>Рисунок 74. Структура «видимого» потребления первичной редкоземельной продукции в РФ по элементам, 2025 г., %</w:t>
      </w:r>
    </w:p>
    <w:p>
      <w:pPr>
        <w:spacing w:after="20"/>
        <w:ind w:firstLine="0"/>
      </w:pPr>
      <w:r>
        <w:rPr>
          <w:sz w:val="24"/>
        </w:rPr>
        <w:t>Рисунок 75. Структура потребления РЗМ в РФ по отраслям, 2020–2025 гг., т TREO</w:t>
      </w:r>
    </w:p>
    <w:p>
      <w:pPr>
        <w:spacing w:after="20"/>
        <w:ind w:firstLine="0"/>
      </w:pPr>
      <w:r>
        <w:rPr>
          <w:sz w:val="24"/>
        </w:rPr>
        <w:t>Рисунок 76. Распределение потребления РЗМ в РФ по крупнейшим потребителям, т TREO/год</w:t>
      </w:r>
    </w:p>
    <w:p>
      <w:pPr>
        <w:spacing w:after="20"/>
        <w:ind w:firstLine="0"/>
      </w:pPr>
      <w:r>
        <w:rPr>
          <w:sz w:val="24"/>
        </w:rPr>
        <w:t>Рисунок 77. Прогноз внутреннего потребления РЗМ в РФ и возможностей его обеспечения, 2025–2035 гг., т TREO</w:t>
      </w:r>
    </w:p>
    <w:p>
      <w:pPr>
        <w:spacing w:after="20"/>
        <w:ind w:firstLine="0"/>
      </w:pPr>
      <w:r>
        <w:rPr>
          <w:sz w:val="24"/>
        </w:rPr>
        <w:t>Рисунок 78. Сопоставление планируемого производства и внутреннего потребления РЗМ в РФ, тыс. т TREO</w:t>
      </w:r>
    </w:p>
    <w:p>
      <w:pPr>
        <w:spacing w:after="20"/>
        <w:ind w:firstLine="0"/>
      </w:pPr>
      <w:r>
        <w:rPr>
          <w:sz w:val="24"/>
        </w:rPr>
        <w:t>Рисунок 79. Сопоставительная оценка институциональных условий развития редкоземельной отрасли, баллы</w:t>
      </w:r>
    </w:p>
    <w:p>
      <w:pPr>
        <w:spacing w:after="20"/>
        <w:ind w:firstLine="0"/>
      </w:pPr>
      <w:r>
        <w:rPr>
          <w:sz w:val="24"/>
        </w:rPr>
        <w:t>Рисунок 80. Профиль сильных и слабых сторон российской редкоземельной отрасли по факторам, баллы из 5</w:t>
      </w:r>
    </w:p>
    <w:p>
      <w:pPr>
        <w:spacing w:after="20"/>
        <w:ind w:firstLine="0"/>
      </w:pPr>
      <w:r>
        <w:rPr>
          <w:sz w:val="24"/>
        </w:rPr>
        <w:t>Рисунок 81. Прогноз производства редкоземельного сырья в РФ по проектам, тыс. т TREO (базовый сценарий)</w:t>
      </w:r>
    </w:p>
    <w:p>
      <w:pPr>
        <w:spacing w:after="20"/>
        <w:ind w:firstLine="0"/>
      </w:pPr>
      <w:r>
        <w:rPr>
          <w:sz w:val="24"/>
        </w:rPr>
        <w:t>Рисунок 82. Прогноз производства РЗМ в РФ по сценариям в сопоставлении с целевыми показателями, тыс. т TREO</w:t>
      </w:r>
    </w:p>
    <w:p>
      <w:pPr>
        <w:spacing w:after="20"/>
        <w:ind w:firstLine="0"/>
      </w:pPr>
      <w:r>
        <w:rPr>
          <w:sz w:val="24"/>
        </w:rPr>
        <w:t>Рисунок 83. Прогноз производства продукции высоких переделов в РФ, 2025–2035 гг., т</w:t>
      </w:r>
    </w:p>
    <w:p>
      <w:pPr>
        <w:spacing w:after="20"/>
        <w:ind w:firstLine="0"/>
      </w:pPr>
      <w:r>
        <w:rPr>
          <w:sz w:val="24"/>
        </w:rPr>
        <w:t>Рисунок 84. Прогнозный баланс РФ по диспрозию и тербию, т оксида</w:t>
      </w:r>
    </w:p>
    <w:p>
      <w:pPr>
        <w:spacing w:after="20"/>
        <w:ind w:firstLine="0"/>
      </w:pPr>
      <w:r>
        <w:rPr>
          <w:sz w:val="24"/>
        </w:rPr>
        <w:t>Рисунок 85. Прогнозный избыток оксидов церия и лантана в РФ, тыс. т/год</w:t>
      </w:r>
    </w:p>
    <w:p>
      <w:pPr>
        <w:spacing w:after="20"/>
        <w:ind w:firstLine="0"/>
      </w:pPr>
      <w:r>
        <w:rPr>
          <w:sz w:val="24"/>
        </w:rPr>
        <w:t>Рисунок 86. Прогноз структуры производства редкоземельной продукции РФ в стоимостном выражении, млрд руб.</w:t>
      </w:r>
    </w:p>
    <w:p>
      <w:pPr>
        <w:spacing w:after="20"/>
        <w:ind w:firstLine="0"/>
      </w:pPr>
      <w:r>
        <w:rPr>
          <w:sz w:val="24"/>
        </w:rPr>
        <w:t>Рисунок 87. Оценка выполнимости критических условий развития отрасли, % готовности</w:t>
      </w:r>
    </w:p>
    <w:p>
      <w:pPr>
        <w:spacing w:after="20"/>
        <w:ind w:firstLine="0"/>
      </w:pPr>
      <w:r>
        <w:rPr>
          <w:sz w:val="24"/>
        </w:rPr>
        <w:t>Рисунок 88. Удельные капитальные затраты по переделам редкоземельной цепочки, $/кг годовой мощности</w:t>
      </w:r>
    </w:p>
    <w:p>
      <w:pPr>
        <w:spacing w:after="20"/>
        <w:ind w:firstLine="0"/>
      </w:pPr>
      <w:r>
        <w:rPr>
          <w:sz w:val="24"/>
        </w:rPr>
        <w:t>Рисунок 89. Структура потребности в капитале для реализации российской редкоземельной программы, %</w:t>
      </w:r>
    </w:p>
    <w:p>
      <w:pPr>
        <w:spacing w:after="20"/>
        <w:ind w:firstLine="0"/>
      </w:pPr>
      <w:r>
        <w:rPr>
          <w:sz w:val="24"/>
        </w:rPr>
        <w:t>Рисунок 90. Сопоставление экономических показателей моделей развития редкоземельного производства</w:t>
      </w:r>
    </w:p>
    <w:p>
      <w:pPr>
        <w:spacing w:after="20"/>
        <w:ind w:firstLine="0"/>
      </w:pPr>
      <w:r>
        <w:rPr>
          <w:sz w:val="24"/>
        </w:rPr>
        <w:t>Рисунок 91. Чувствительность EBITDA проекта полного цикла к изменению ключевых факторов, %</w:t>
      </w:r>
    </w:p>
    <w:p>
      <w:pPr>
        <w:spacing w:after="20"/>
        <w:ind w:firstLine="0"/>
      </w:pPr>
      <w:r>
        <w:rPr>
          <w:sz w:val="24"/>
        </w:rPr>
        <w:t>Рисунок 92. Ранжирование рисков редкоземельных проектов РФ по совокупной оценке (вероятность × влияние)</w:t>
      </w:r>
    </w:p>
    <w:p>
      <w:pPr>
        <w:spacing w:after="20"/>
        <w:ind w:firstLine="0"/>
      </w:pPr>
      <w:r>
        <w:rPr>
          <w:sz w:val="24"/>
        </w:rPr>
        <w:t>Рисунок 93. Оценка стратегических приоритетов развития редкоземельной отрасли РФ (влияние × реализуемость × срочность)</w:t>
      </w:r>
    </w:p>
    <w:p>
      <w:pPr>
        <w:spacing w:after="20"/>
        <w:ind w:firstLine="0"/>
      </w:pPr>
      <w:r>
        <w:rPr>
          <w:sz w:val="24"/>
        </w:rPr>
        <w:t>Рисунок 94. Мировое производство оксида скандия и цена, 2018–2030 гг.</w:t>
      </w:r>
    </w:p>
    <w:p>
      <w:pPr>
        <w:spacing w:after="20"/>
        <w:ind w:firstLine="0"/>
      </w:pPr>
      <w:r>
        <w:rPr>
          <w:sz w:val="24"/>
        </w:rPr>
        <w:t>Рисунок 95. Структура мирового потребления скандия по направлениям, 2024 и 2030 гг., т Sc₂O₃</w:t>
      </w:r>
    </w:p>
    <w:p>
      <w:pPr>
        <w:spacing w:after="20"/>
        <w:ind w:firstLine="0"/>
      </w:pPr>
      <w:r>
        <w:rPr>
          <w:sz w:val="24"/>
        </w:rPr>
        <w:t>Рисунок 96. Типовая траектория выхода редкоземельных производств на проектную мощность, %</w:t>
      </w:r>
    </w:p>
    <w:p>
      <w:pPr>
        <w:spacing w:after="20"/>
        <w:ind w:firstLine="0"/>
      </w:pPr>
      <w:r>
        <w:rPr>
          <w:sz w:val="24"/>
        </w:rPr>
        <w:t>Рисунок 97. Доля страны-лидера в добыче и переработке критического сырья, 2024 г., %</w:t>
      </w:r>
    </w:p>
    <w:p>
      <w:pPr>
        <w:spacing w:after="20"/>
        <w:ind w:firstLine="0"/>
      </w:pPr>
      <w:r>
        <w:rPr>
          <w:sz w:val="24"/>
        </w:rPr>
        <w:t>Рисунок 98. Сопоставление доли России в мировых запасах и добыче критического сырья, %</w:t>
      </w:r>
    </w:p>
    <w:p>
      <w:r>
        <w:br w:type="page"/>
      </w:r>
    </w:p>
    <w:p>
      <w:pPr>
        <w:pStyle w:val="Heading1"/>
      </w:pPr>
      <w:r>
        <w:rPr>
          <w:b w:val="0"/>
          <w:i w:val="0"/>
        </w:rPr>
        <w:t>Аннотация</w:t>
      </w:r>
    </w:p>
    <w:p>
      <w:r>
        <w:rPr>
          <w:b w:val="0"/>
          <w:i w:val="0"/>
        </w:rPr>
        <w:t>Настоящий отчёт представляет собой комплексное исследование рынка редкоземельных металлов (РЗМ) в России и мире, охватывающее всю технологическую цепочку — от геологоразведки и добычи редкоземельного сырья до выпуска разделённых оксидов, металлов, лигатур и постоянных магнитов на их основе.</w:t>
      </w:r>
    </w:p>
    <w:p>
      <w:r>
        <w:rPr>
          <w:b/>
          <w:i w:val="0"/>
        </w:rPr>
        <w:t>Цель исследования</w:t>
      </w:r>
      <w:r>
        <w:rPr>
          <w:b w:val="0"/>
          <w:i w:val="0"/>
        </w:rPr>
        <w:t xml:space="preserve"> — анализ состояния, структуры и перспектив развития мирового и российского рынков редкоземельной продукции, оценка сырьевого потенциала Российской Федерации и стран ЕАЭС, определение реалистичных сценариев формирования отечественной редкоземельной отрасли полного цикла в условиях экспортных ограничений со стороны Китая и структурной перестройки глобальных цепочек поставок.</w:t>
      </w:r>
    </w:p>
    <w:p>
      <w:r>
        <w:rPr>
          <w:b/>
          <w:i w:val="0"/>
        </w:rPr>
        <w:t>Объектами исследования</w:t>
      </w:r>
      <w:r>
        <w:rPr>
          <w:b w:val="0"/>
          <w:i w:val="0"/>
        </w:rPr>
        <w:t xml:space="preserve"> являются:</w:t>
      </w:r>
    </w:p>
    <w:p>
      <w:pPr>
        <w:pStyle w:val="ListBullet"/>
        <w:spacing w:after="20"/>
        <w:ind w:firstLine="0"/>
      </w:pPr>
      <w:r>
        <w:rPr>
          <w:b w:val="0"/>
          <w:i w:val="0"/>
        </w:rPr>
        <w:t>редкоземельное минеральное сырьё (руды и коллективные концентраты — лопаритовый, бастнезитовый, монацитовый, ксенотимовый, ионно-адсорбционные глины, эвдиалит, апатит с попутными РЗМ);</w:t>
      </w:r>
    </w:p>
    <w:p>
      <w:pPr>
        <w:pStyle w:val="ListBullet"/>
        <w:spacing w:after="20"/>
        <w:ind w:firstLine="0"/>
      </w:pPr>
      <w:r>
        <w:rPr>
          <w:b w:val="0"/>
          <w:i w:val="0"/>
        </w:rPr>
        <w:t>продукты химической переработки — коллективные карбонаты, хлориды, фториды и гидроксиды РЗМ, суммарные оксиды (TREO);</w:t>
      </w:r>
    </w:p>
    <w:p>
      <w:pPr>
        <w:pStyle w:val="ListBullet"/>
        <w:spacing w:after="20"/>
        <w:ind w:firstLine="0"/>
      </w:pPr>
      <w:r>
        <w:rPr>
          <w:b w:val="0"/>
          <w:i w:val="0"/>
        </w:rPr>
        <w:t>индивидуальные (разделённые) оксиды редкоземельных элементов чистотой 99,0–99,999%;</w:t>
      </w:r>
    </w:p>
    <w:p>
      <w:pPr>
        <w:pStyle w:val="ListBullet"/>
        <w:spacing w:after="20"/>
        <w:ind w:firstLine="0"/>
      </w:pPr>
      <w:r>
        <w:rPr>
          <w:b w:val="0"/>
          <w:i w:val="0"/>
        </w:rPr>
        <w:t>редкоземельные металлы, лигатуры и сплавы (в том числе NdFeB-сплавы, мишметалл, ферроцерий);</w:t>
      </w:r>
    </w:p>
    <w:p>
      <w:pPr>
        <w:pStyle w:val="ListBullet"/>
        <w:spacing w:after="20"/>
        <w:ind w:firstLine="0"/>
      </w:pPr>
      <w:r>
        <w:rPr>
          <w:b w:val="0"/>
          <w:i w:val="0"/>
        </w:rPr>
        <w:t>постоянные магниты на основе NdFeB и SmCo как ключевой сегмент конечного спроса.</w:t>
      </w:r>
    </w:p>
    <w:p>
      <w:r>
        <w:rPr>
          <w:b w:val="0"/>
          <w:i w:val="0"/>
        </w:rPr>
        <w:t>Работа является кабинетным исследованием. В качестве источников информации использованы: данные национальных статистических служб стран ЕАЭС (Росстат, Бюро национальной статистики Республики Казахстан, Национальный статистический комитет Республики Беларусь); материалы Государственного баланса запасов полезных ископаемых РФ и государственных докладов «О состоянии и использовании минерально-сырьевых ресурсов Российской Федерации»; международные базы данных ООН (UN Comtrade, UNdata), Trade Map, Eurostat, World Bank; публикации Геологической службы США (USGS Mineral Commodity Summaries), Геологической службы Великобритании (BGS), Европейской комиссии (перечни критического сырья и Critical Raw Materials Act); статистика Министерства промышленности и информатизации КНР и Главного таможенного управления КНР; годовые и квартальные отчёты публичных эмитентов (Lynas Rare Earths, MP Materials, Neo Performance Materials, China Northern Rare Earth Group High-Tech, Iluka Resources, Arafura Rare Earths, Energy Fuels и др.); данные Единой информационной системы в сфере закупок; статистика железнодорожных перевозок; отраслевая и региональная пресса; материалы профильных конференций; научно-техническая литература (eLibrary, Scopus); патентные базы ФИПС и Espacenet; корпоративные раскрытия и данные аналитического центра.</w:t>
      </w:r>
    </w:p>
    <w:p>
      <w:r>
        <w:rPr>
          <w:b/>
          <w:i w:val="0"/>
        </w:rPr>
        <w:t>Хронологические рамки исследования:</w:t>
      </w:r>
      <w:r>
        <w:rPr>
          <w:b w:val="0"/>
          <w:i w:val="0"/>
        </w:rPr>
        <w:t xml:space="preserve"> 2010–2025 гг. (по ряду показателей — с 2002 г.); прогнозный горизонт — 2026–2035 гг.</w:t>
      </w:r>
    </w:p>
    <w:p>
      <w:r>
        <w:rPr>
          <w:b/>
          <w:i w:val="0"/>
        </w:rPr>
        <w:t>География исследования:</w:t>
      </w:r>
      <w:r>
        <w:rPr>
          <w:b w:val="0"/>
          <w:i w:val="0"/>
        </w:rPr>
        <w:t xml:space="preserve"> Российская Федерация — комплексный подробный анализ рынка; страны ЕАЭС — анализ сырьевой базы и производственного потенциала; мир — характеристики рынка, производители, потребление, цены, регулирование.</w:t>
      </w:r>
    </w:p>
    <w:p>
      <w:r>
        <w:rPr>
          <w:b w:val="0"/>
          <w:i w:val="0"/>
        </w:rPr>
        <w:t>Отчёт состоит из 17 глав и 6 приложений, содержит развёрнутый статистический и аналитический материал, таблицы и графики.</w:t>
      </w:r>
    </w:p>
    <w:p>
      <w:r>
        <w:rPr>
          <w:b/>
          <w:i w:val="0"/>
        </w:rPr>
        <w:t>В первой главе</w:t>
      </w:r>
      <w:r>
        <w:rPr>
          <w:b w:val="0"/>
          <w:i w:val="0"/>
        </w:rPr>
        <w:t xml:space="preserve"> приведена общая характеристика редкоземельных металлов: номенклатура и физико-химические свойства элементов, принятые классификации (лёгкая, средняя и тяжёлая группы), минералого-геохимические особенности, товарная номенклатура рынка и соответствующие ей коды ТН ВЭД ЕАЭС и HS, структура технологического передела и понятие «баланса корзины» — ключевой экономической проблемы отрасли.</w:t>
      </w:r>
    </w:p>
    <w:p>
      <w:r>
        <w:rPr>
          <w:b/>
          <w:i w:val="0"/>
        </w:rPr>
        <w:t>Вторая глава</w:t>
      </w:r>
      <w:r>
        <w:rPr>
          <w:b w:val="0"/>
          <w:i w:val="0"/>
        </w:rPr>
        <w:t xml:space="preserve"> посвящена мировой сырьевой базе: запасам и ресурсам по странам, промышленным типам месторождений (карбонатитовые, щелочные, ионно-адсорбционные, россыпные, вторичные источники), сравнительной характеристике ключевых объектов и оценке качества сырья.</w:t>
      </w:r>
    </w:p>
    <w:p>
      <w:r>
        <w:rPr>
          <w:b/>
          <w:i w:val="0"/>
        </w:rPr>
        <w:t>В третьей главе</w:t>
      </w:r>
      <w:r>
        <w:rPr>
          <w:b w:val="0"/>
          <w:i w:val="0"/>
        </w:rPr>
        <w:t xml:space="preserve"> проанализирована динамика мировой добычи и производства РЗМ в 2010–2025 гг. в разрезе стран и компаний, отдельно рассмотрены мощности по разделению, металлургическому переделу и производству магнитов, а также вопрос «серых» поставок сырья из Мьянмы и Лаоса.</w:t>
      </w:r>
    </w:p>
    <w:p>
      <w:r>
        <w:rPr>
          <w:b/>
          <w:i w:val="0"/>
        </w:rPr>
        <w:t>Четвёртая глава</w:t>
      </w:r>
      <w:r>
        <w:rPr>
          <w:b w:val="0"/>
          <w:i w:val="0"/>
        </w:rPr>
        <w:t xml:space="preserve"> содержит профили ключевых мировых производителей: китайских государственных групп, Lynas Rare Earths, MP Materials, Neo Performance Materials, Iluka, Arafura, Energy Fuels, IREL, Solvay, Carester и др., включая производственные и финансовые показатели, планы развития и оценку конкурентных позиций.</w:t>
      </w:r>
    </w:p>
    <w:p>
      <w:r>
        <w:rPr>
          <w:b/>
          <w:i w:val="0"/>
        </w:rPr>
        <w:t>Пятая глава</w:t>
      </w:r>
      <w:r>
        <w:rPr>
          <w:b w:val="0"/>
          <w:i w:val="0"/>
        </w:rPr>
        <w:t xml:space="preserve"> посвящена отраслям применения: постоянным магнитам (ветроэнергетика, электротранспорт, промышленная автоматизация, робототехника, бытовая техника, ВПК), катализаторам (FCC, автомобильные нейтрализаторы), полировальным материалам, люминофорам и оптике, лазерной технике, аккумуляторам, металлургии и керамике. По каждому направлению даны удельные нормы расхода и прогноз спроса.</w:t>
      </w:r>
    </w:p>
    <w:p>
      <w:r>
        <w:rPr>
          <w:b/>
          <w:i w:val="0"/>
        </w:rPr>
        <w:t>Шестая глава</w:t>
      </w:r>
      <w:r>
        <w:rPr>
          <w:b w:val="0"/>
          <w:i w:val="0"/>
        </w:rPr>
        <w:t xml:space="preserve"> содержит анализ ценовой конъюнктуры 2010–2025 гг. по индивидуальным оксидам и металлам, механизмов ценообразования, роли китайских биржевых площадок и складских котировок, а также анализ ценовых разрывов между внутрикитайским и экспортным рынками.</w:t>
      </w:r>
    </w:p>
    <w:p>
      <w:r>
        <w:rPr>
          <w:b/>
          <w:i w:val="0"/>
        </w:rPr>
        <w:t>Седьмая глава</w:t>
      </w:r>
      <w:r>
        <w:rPr>
          <w:b w:val="0"/>
          <w:i w:val="0"/>
        </w:rPr>
        <w:t xml:space="preserve"> посвящена государственному регулированию и геополитике: китайской системе квот и экспортного контроля (включая ограничения 2023–2025 гг.), американским механизмам поддержки (DPA Title III, IRA, контракты Министерства обороны, ценовой пол MP Materials), европейскому Critical Raw Materials Act, политике Японии, Республики Корея, Индии и Австралии, партнёрству Minerals Security Partnership.</w:t>
      </w:r>
    </w:p>
    <w:p>
      <w:r>
        <w:rPr>
          <w:b/>
          <w:i w:val="0"/>
        </w:rPr>
        <w:t>В восьмой главе</w:t>
      </w:r>
      <w:r>
        <w:rPr>
          <w:b w:val="0"/>
          <w:i w:val="0"/>
        </w:rPr>
        <w:t xml:space="preserve"> даны сценарные прогнозы развития мирового рынка до 2035 г. по спросу, предложению и балансу отдельных элементов (NdPr, Dy, Tb).</w:t>
      </w:r>
    </w:p>
    <w:p>
      <w:r>
        <w:rPr>
          <w:b/>
          <w:i w:val="0"/>
        </w:rPr>
        <w:t>Девятая глава</w:t>
      </w:r>
      <w:r>
        <w:rPr>
          <w:b w:val="0"/>
          <w:i w:val="0"/>
        </w:rPr>
        <w:t xml:space="preserve"> посвящена сырьевой базе РЗМ Российской Федерации и стран ЕАЭС: структуре запасов по Государственному балансу, характеристике Ловозёрского, Томторского, Зашихинского, Чуктуконского, Катугинского, Африкандского и других объектов, апатитовым рудам Хибин как крупнейшему техногенно доступному источнику, а также сырьевой базе Казахстана, Киргизии и Узбекистана.</w:t>
      </w:r>
    </w:p>
    <w:p>
      <w:r>
        <w:rPr>
          <w:b/>
          <w:i w:val="0"/>
        </w:rPr>
        <w:t>Десятая глава</w:t>
      </w:r>
      <w:r>
        <w:rPr>
          <w:b w:val="0"/>
          <w:i w:val="0"/>
        </w:rPr>
        <w:t xml:space="preserve"> содержит данные о добыче и производстве редкоземельной продукции в России в 2002–2025 гг. в разрезе видов продукции и предприятий.</w:t>
      </w:r>
    </w:p>
    <w:p>
      <w:r>
        <w:rPr>
          <w:b/>
          <w:i w:val="0"/>
        </w:rPr>
        <w:t>Одиннадцатая глава</w:t>
      </w:r>
      <w:r>
        <w:rPr>
          <w:b w:val="0"/>
          <w:i w:val="0"/>
        </w:rPr>
        <w:t xml:space="preserve"> описывает текущее состояние российских предприятий-производителей: ООО «Ловозёрский ГОК», АО «Соликамский магниевый завод», предприятий Госкорпорации «Росатом», ООО «Скайград», АО «Чепецкий механический завод», проектных компаний «ТриАрк Майнинг», «Техноинвест Альянс», «Аркминерал» и др.</w:t>
      </w:r>
    </w:p>
    <w:p>
      <w:r>
        <w:rPr>
          <w:b/>
          <w:i w:val="0"/>
        </w:rPr>
        <w:t>Двенадцатая глава</w:t>
      </w:r>
      <w:r>
        <w:rPr>
          <w:b w:val="0"/>
          <w:i w:val="0"/>
        </w:rPr>
        <w:t xml:space="preserve"> посвящена технологиям переработки редкоземельного сырья, отечественным НИОКР и патентной активности.</w:t>
      </w:r>
    </w:p>
    <w:p>
      <w:r>
        <w:rPr>
          <w:b/>
          <w:i w:val="0"/>
        </w:rPr>
        <w:t>Тринадцатая глава</w:t>
      </w:r>
      <w:r>
        <w:rPr>
          <w:b w:val="0"/>
          <w:i w:val="0"/>
        </w:rPr>
        <w:t xml:space="preserve"> содержит анализ внешнеторговых операций РФ с редкоземельной продукцией в 2010–2025 гг.: объёмы и направления экспорта и импорта, номенклатуру, цены, влияние санкционных и логистических ограничений.</w:t>
      </w:r>
    </w:p>
    <w:p>
      <w:r>
        <w:rPr>
          <w:b/>
          <w:i w:val="0"/>
        </w:rPr>
        <w:t>Четырнадцатая глава</w:t>
      </w:r>
      <w:r>
        <w:rPr>
          <w:b w:val="0"/>
          <w:i w:val="0"/>
        </w:rPr>
        <w:t xml:space="preserve"> посвящена внутреннему потреблению: балансу «производство — потребление», структуре спроса по отраслям, профилям основных предприятий-потребителей.</w:t>
      </w:r>
    </w:p>
    <w:p>
      <w:r>
        <w:rPr>
          <w:b/>
          <w:i w:val="0"/>
        </w:rPr>
        <w:t>Пятнадцатая глава</w:t>
      </w:r>
      <w:r>
        <w:rPr>
          <w:b w:val="0"/>
          <w:i w:val="0"/>
        </w:rPr>
        <w:t xml:space="preserve"> описывает систему государственного регулирования отрасли в РФ: стратегические документы, федеральные проекты, меры поддержки, налоговый режим.</w:t>
      </w:r>
    </w:p>
    <w:p>
      <w:r>
        <w:rPr>
          <w:b/>
          <w:i w:val="0"/>
        </w:rPr>
        <w:t>В шестнадцатой главе</w:t>
      </w:r>
      <w:r>
        <w:rPr>
          <w:b w:val="0"/>
          <w:i w:val="0"/>
        </w:rPr>
        <w:t xml:space="preserve"> приведён сценарный прогноз производства и потребления РЗМ в России до 2035 г.</w:t>
      </w:r>
    </w:p>
    <w:p>
      <w:r>
        <w:rPr>
          <w:b/>
          <w:i w:val="0"/>
        </w:rPr>
        <w:t>Семнадцатая глава</w:t>
      </w:r>
      <w:r>
        <w:rPr>
          <w:b w:val="0"/>
          <w:i w:val="0"/>
        </w:rPr>
        <w:t xml:space="preserve"> содержит инвестиционный анализ: оценку капиталоёмкости проектов, экономику переделов, карту рисков и SWOT-анализ отрасли.</w:t>
      </w:r>
    </w:p>
    <w:p>
      <w:r>
        <w:rPr>
          <w:b/>
          <w:i w:val="0"/>
        </w:rPr>
        <w:t>В приложениях</w:t>
      </w:r>
      <w:r>
        <w:rPr>
          <w:b w:val="0"/>
          <w:i w:val="0"/>
        </w:rPr>
        <w:t xml:space="preserve"> приведены контактная информация производителей и потребителей, перечень месторождений, коды ТН ВЭД, глоссарий и список источников.</w:t>
      </w:r>
    </w:p>
    <w:p>
      <w:r>
        <w:rPr>
          <w:b/>
          <w:i w:val="0"/>
        </w:rPr>
        <w:t>Целевая аудитория исследования:</w:t>
      </w:r>
    </w:p>
    <w:p>
      <w:pPr>
        <w:pStyle w:val="ListBullet"/>
        <w:spacing w:after="20"/>
        <w:ind w:firstLine="0"/>
      </w:pPr>
      <w:r>
        <w:rPr>
          <w:b w:val="0"/>
          <w:i w:val="0"/>
        </w:rPr>
        <w:t>участники рынка редкоземельной продукции — недропользователи, производители, переработчики, потребители, трейдеры;</w:t>
      </w:r>
    </w:p>
    <w:p>
      <w:pPr>
        <w:pStyle w:val="ListBullet"/>
        <w:spacing w:after="20"/>
        <w:ind w:firstLine="0"/>
      </w:pPr>
      <w:r>
        <w:rPr>
          <w:b w:val="0"/>
          <w:i w:val="0"/>
        </w:rPr>
        <w:t>машиностроительные, электротехнические и электронные предприятия, формирующие спрос на магнитные материалы;</w:t>
      </w:r>
    </w:p>
    <w:p>
      <w:pPr>
        <w:pStyle w:val="ListBullet"/>
        <w:spacing w:after="20"/>
        <w:ind w:firstLine="0"/>
      </w:pPr>
      <w:r>
        <w:rPr>
          <w:b w:val="0"/>
          <w:i w:val="0"/>
        </w:rPr>
        <w:t>потенциальные инвесторы и финансовые институты развития;</w:t>
      </w:r>
    </w:p>
    <w:p>
      <w:pPr>
        <w:pStyle w:val="ListBullet"/>
        <w:spacing w:after="20"/>
        <w:ind w:firstLine="0"/>
      </w:pPr>
      <w:r>
        <w:rPr>
          <w:b w:val="0"/>
          <w:i w:val="0"/>
        </w:rPr>
        <w:t>органы государственной власти и институты развития, отвечающие за реализацию политики в сфере критического сырья;</w:t>
      </w:r>
    </w:p>
    <w:p>
      <w:pPr>
        <w:pStyle w:val="ListBullet"/>
        <w:spacing w:after="20"/>
        <w:ind w:firstLine="0"/>
      </w:pPr>
      <w:r>
        <w:rPr>
          <w:b w:val="0"/>
          <w:i w:val="0"/>
        </w:rPr>
        <w:t>научные и проектные организации.</w:t>
      </w:r>
    </w:p>
    <w:p>
      <w:r>
        <w:rPr>
          <w:b w:val="0"/>
          <w:i w:val="0"/>
        </w:rPr>
        <w:t>Предлагаемое исследование претендует на роль справочного пособия для служб маркетинга, стратегического планирования и специалистов, принимающих управленческие решения на рынке редкоземельных металлов.</w:t>
      </w:r>
    </w:p>
    <w:p>
      <w:pPr>
        <w:pStyle w:val="Heading2"/>
      </w:pPr>
      <w:r>
        <w:rPr>
          <w:b w:val="0"/>
          <w:i w:val="0"/>
        </w:rPr>
        <w:t>Основные результаты исследования</w:t>
      </w:r>
    </w:p>
    <w:p>
      <w:r>
        <w:rPr>
          <w:b w:val="0"/>
          <w:i w:val="0"/>
        </w:rPr>
        <w:t>Ниже приведены выводы, детальное обоснование которых содержится в соответствующих главах отчёта.</w:t>
      </w:r>
    </w:p>
    <w:p>
      <w:r>
        <w:rPr>
          <w:b/>
          <w:i w:val="0"/>
        </w:rPr>
        <w:t>1.</w:t>
      </w:r>
      <w:r>
        <w:rPr>
          <w:b w:val="0"/>
          <w:i w:val="0"/>
        </w:rPr>
        <w:t xml:space="preserve"> Мировой рынок редкоземельных металлов не является ресурсно-ограниченным: учтённые запасы обеспечивают потребление при текущем уровне свыше 200 лет, а по наиболее напряжённым позициям — тербию и диспрозию — свыше 210 и 250 лет соответственно. Ограничения отрасли носят технологический, капитальный, экологический и институциональный характер.</w:t>
      </w:r>
    </w:p>
    <w:p>
      <w:r>
        <w:rPr>
          <w:b/>
          <w:i w:val="0"/>
        </w:rPr>
        <w:t>2.</w:t>
      </w:r>
      <w:r>
        <w:rPr>
          <w:b w:val="0"/>
          <w:i w:val="0"/>
        </w:rPr>
        <w:t xml:space="preserve"> Концентрация отрасли нарастает по мере продвижения по цепочке добавленной стоимости: на КНР приходится 67–69% добычи, 88% мощностей разделения, 91% производства металлов и 93% производства спечённых магнитов. Диверсификация добычи, достигнутая в 2018–2025 гг., не изменила расстановку сил на определяющих стадиях.</w:t>
      </w:r>
    </w:p>
    <w:p>
      <w:r>
        <w:rPr>
          <w:b/>
          <w:i w:val="0"/>
        </w:rPr>
        <w:t>3.</w:t>
      </w:r>
      <w:r>
        <w:rPr>
          <w:b w:val="0"/>
          <w:i w:val="0"/>
        </w:rPr>
        <w:t xml:space="preserve"> Около 90% стоимости рынка формируют четыре элемента — неодим, празеодим, диспрозий и тербий, — на которые приходится менее 20% физического объёма производства. Церий и лантан, составляющие до 70% объёма, дают менее 2% стоимости и накапливаются в виде неликвидных запасов. Эта асимметрия («проблема баланса корзины») определяет экономику всех проектов отрасли.</w:t>
      </w:r>
    </w:p>
    <w:p>
      <w:r>
        <w:rPr>
          <w:b/>
          <w:i w:val="0"/>
        </w:rPr>
        <w:t>4.</w:t>
      </w:r>
      <w:r>
        <w:rPr>
          <w:b w:val="0"/>
          <w:i w:val="0"/>
        </w:rPr>
        <w:t xml:space="preserve"> Загрузка разделительных мощностей за пределами КНР составляет порядка 40%. Барьером диверсификации выступают не мощности, а себестоимость, доступность сырья требуемого состава и отсутствие сбыта избыточных элементов.</w:t>
      </w:r>
    </w:p>
    <w:p>
      <w:r>
        <w:rPr>
          <w:b/>
          <w:i w:val="0"/>
        </w:rPr>
        <w:t>5.</w:t>
      </w:r>
      <w:r>
        <w:rPr>
          <w:b w:val="0"/>
          <w:i w:val="0"/>
        </w:rPr>
        <w:t xml:space="preserve"> Инвестиционный цикл в отрасли (5–8 лет) существенно превышает длительность ценовых пиков (12–18 месяцев), вследствие чего рыночный сигнал не транслируется в устойчивое расширение предложения. Единственным доказавшим действенность инструментом является внерыночная ценовая стабилизация — механизм гарантированного ценового пола, впервые применённый в США в 2025 г.</w:t>
      </w:r>
    </w:p>
    <w:p>
      <w:r>
        <w:rPr>
          <w:b/>
          <w:i w:val="0"/>
        </w:rPr>
        <w:t>6.</w:t>
      </w:r>
      <w:r>
        <w:rPr>
          <w:b w:val="0"/>
          <w:i w:val="0"/>
        </w:rPr>
        <w:t xml:space="preserve"> Экспортные ограничения КНР 2023–2025 гг. сформировали разрыв между внутрикитайскими и внешними ценами по контролируемым элементам в 3–14 раз, что впервые создало экономическую основу для проектов по тяжёлым редким землям вне Китая.</w:t>
      </w:r>
    </w:p>
    <w:p>
      <w:r>
        <w:rPr>
          <w:b/>
          <w:i w:val="0"/>
        </w:rPr>
        <w:t>7.</w:t>
      </w:r>
      <w:r>
        <w:rPr>
          <w:b w:val="0"/>
          <w:i w:val="0"/>
        </w:rPr>
        <w:t xml:space="preserve"> Российская Федерация располагает крупной сырьевой базой, однако 97% учтённых балансовых запасов приходится на объекты, где редкие земли либо не извлекаются (апатит-нефелиновые руды), либо не осваиваются. Фактическое производство за 23 года не выросло, а доля страны в мировом производстве снизилась с 2,6 до 0,6%.</w:t>
      </w:r>
    </w:p>
    <w:p>
      <w:r>
        <w:rPr>
          <w:b/>
          <w:i w:val="0"/>
        </w:rPr>
        <w:t>8.</w:t>
      </w:r>
      <w:r>
        <w:rPr>
          <w:b w:val="0"/>
          <w:i w:val="0"/>
        </w:rPr>
        <w:t xml:space="preserve"> Технологический разрыв российской отрасли сосредоточен на конечных переделах: при промышленной освоенности добычи и вскрытия (TRL 9) уровень готовности технологий зернограничной диффузии составляет 3–4, разделения тяжёлой группы — 5–6, производства спечённых магнитов — 5–6.</w:t>
      </w:r>
    </w:p>
    <w:p>
      <w:r>
        <w:rPr>
          <w:b/>
          <w:i w:val="0"/>
        </w:rPr>
        <w:t>9.</w:t>
      </w:r>
      <w:r>
        <w:rPr>
          <w:b w:val="0"/>
          <w:i w:val="0"/>
        </w:rPr>
        <w:t xml:space="preserve"> Заявленные целевые показатели (20 тыс. т TREO к 2030 г., 10–12% мирового производства к 2035 г.) достижимы с отставанием: базовый сценарий предполагает выход на 20 тыс. т около 2032 г. и на 27–36 тыс. т к 2035 г. Программа на 63% зависит от одного проекта — Томторского — с оценочной вероятностью реализации 0,30.</w:t>
      </w:r>
    </w:p>
    <w:p>
      <w:r>
        <w:rPr>
          <w:b/>
          <w:i w:val="0"/>
        </w:rPr>
        <w:t>10.</w:t>
      </w:r>
      <w:r>
        <w:rPr>
          <w:b w:val="0"/>
          <w:i w:val="0"/>
        </w:rPr>
        <w:t xml:space="preserve"> Приоритетом развития должно быть не наращивание физических объёмов сырья, а закрытие технологического разрыва на конечных переделах: модель полного цикла на 5 тыс. т TREO превосходит сырьевую модель на 20 тыс. т по добавленной стоимости, эффективности использования капитала, вкладу в занятость и устойчивости к ценовым колебаниям.</w:t>
      </w:r>
    </w:p>
    <w:p>
      <w:pPr>
        <w:pStyle w:val="Heading2"/>
      </w:pPr>
      <w:r>
        <w:rPr>
          <w:b w:val="0"/>
          <w:i w:val="0"/>
        </w:rPr>
        <w:t>Оговорка о характере и точности данных</w:t>
      </w:r>
    </w:p>
    <w:p>
      <w:r>
        <w:rPr>
          <w:b w:val="0"/>
          <w:i w:val="0"/>
        </w:rPr>
        <w:t>Рынок редкоземельных металлов относится к числу наименее прозрачных сырьевых рынков мира. Это обусловлено рядом объективных обстоятельств:</w:t>
      </w:r>
    </w:p>
    <w:p>
      <w:pPr>
        <w:pStyle w:val="ListBullet"/>
        <w:spacing w:after="20"/>
        <w:ind w:firstLine="0"/>
      </w:pPr>
      <w:r>
        <w:rPr>
          <w:b w:val="0"/>
          <w:i w:val="0"/>
        </w:rPr>
        <w:t>отсутствием биржевой торговли и публичных клиринговых цен по большинству позиций; цены формируются во внебиржевых сделках и публикуются ценовыми агентствами на основе опросов участников рынка;</w:t>
      </w:r>
    </w:p>
    <w:p>
      <w:pPr>
        <w:pStyle w:val="ListBullet"/>
        <w:spacing w:after="20"/>
        <w:ind w:firstLine="0"/>
      </w:pPr>
      <w:r>
        <w:rPr>
          <w:b w:val="0"/>
          <w:i w:val="0"/>
        </w:rPr>
        <w:t>высокой долей нелегальной и полулегальной добычи (по разным оценкам, от 10 до 25% мирового предложения в отдельные годы), не отражаемой в официальной статистике;</w:t>
      </w:r>
    </w:p>
    <w:p>
      <w:pPr>
        <w:pStyle w:val="ListBullet"/>
        <w:spacing w:after="20"/>
        <w:ind w:firstLine="0"/>
      </w:pPr>
      <w:r>
        <w:rPr>
          <w:b w:val="0"/>
          <w:i w:val="0"/>
        </w:rPr>
        <w:t>закрытостью данных ключевых государственных производителей КНР, публикующих лишь агрегированные показатели;</w:t>
      </w:r>
    </w:p>
    <w:p>
      <w:pPr>
        <w:pStyle w:val="ListBullet"/>
        <w:spacing w:after="20"/>
        <w:ind w:firstLine="0"/>
      </w:pPr>
      <w:r>
        <w:rPr>
          <w:b w:val="0"/>
          <w:i w:val="0"/>
        </w:rPr>
        <w:t>ограничением публикации таможенной статистики Российской Федерации с 2022 г.;</w:t>
      </w:r>
    </w:p>
    <w:p>
      <w:pPr>
        <w:pStyle w:val="ListBullet"/>
        <w:spacing w:after="20"/>
        <w:ind w:firstLine="0"/>
      </w:pPr>
      <w:r>
        <w:rPr>
          <w:b w:val="0"/>
          <w:i w:val="0"/>
        </w:rPr>
        <w:t>методологической несопоставимостью показателей: одни источники учитывают продукцию в пересчёте на суммарные оксиды (TREO/REO), другие — в физическом весе концентратов, третьи — в металле; в ряде случаев в статистику включаются скандий и иттрий, в других — нет.</w:t>
      </w:r>
    </w:p>
    <w:p>
      <w:r>
        <w:rPr>
          <w:b w:val="0"/>
          <w:i w:val="0"/>
        </w:rPr>
        <w:t>В связи с этим количественные показатели, приведённые в настоящем отчёте, следует рассматривать как реконструкцию рыночной картины на основе совокупности открытых источников и экспертных оценок, а не как результат сплошного статистического наблюдения. Данные за 2025 г. и, частично, за 2024 г. носят предварительный (оценочный) характер и подлежат уточнению по мере публикации официальной отчётности. Расхождения между таблицами, обусловленные округлением, различием методик учёта и разными датами отсечения данных, возможны и оговариваются в примечаниях.</w:t>
      </w:r>
    </w:p>
    <w:p>
      <w:pPr>
        <w:ind w:left="454" w:firstLine="0"/>
      </w:pPr>
      <w:r>
        <w:rPr>
          <w:i/>
        </w:rPr>
        <w:t>Перед коммерческим использованием отчёта количественные ряды рекомендуется верифицировать по подписным источникам ценовой и торговой информации, а также по последним редакциям Государственного баланса запасов полезных ископаемых РФ и USGS Mineral Commodity Summaries.</w:t>
      </w:r>
    </w:p>
    <w:p>
      <w:r>
        <w:br w:type="page"/>
      </w:r>
    </w:p>
    <w:p>
      <w:pPr>
        <w:pStyle w:val="Heading1"/>
      </w:pPr>
      <w:r>
        <w:rPr>
          <w:b w:val="0"/>
          <w:i w:val="0"/>
        </w:rPr>
        <w:t>Введение</w:t>
      </w:r>
    </w:p>
    <w:p>
      <w:r>
        <w:rPr>
          <w:b w:val="0"/>
          <w:i w:val="0"/>
        </w:rPr>
        <w:t>Редкоземельные металлы (РЗМ, англ. rare earth elements, REE) — группа из 17 химических элементов, включающая 15 лантаноидов (лантан La, церий Ce, празеодим Pr, неодим Nd, прометий Pm, самарий Sm, европий Eu, гадолиний Gd, тербий Tb, диспрозий Dy, гольмий Ho, эрбий Er, тулий Tm, иттербий Yb, лютеций Lu), а также скандий Sc и иттрий Y, близкие к лантаноидам по химическим свойствам и характеру нахождения в природе.</w:t>
      </w:r>
    </w:p>
    <w:p>
      <w:r>
        <w:rPr>
          <w:b w:val="0"/>
          <w:i w:val="0"/>
        </w:rPr>
        <w:t>Название группы исторически неточно: редкоземельные элементы не являются редкими. Церий по распространённости в земной коре (около 60 г/т) сопоставим с медью, а самый редкий из стабильных лантаноидов — тулий — встречается чаще, чем золото или платина. Проблема заключается не в дефиците элементов как таковых, а в чрезвычайной редкости их промышленных концентраций, в геохимической неразделимости лантаноидов между собой и, как следствие, в исключительной технологической сложности и капиталоёмкости их разделения на индивидуальные соединения требуемой чистоты.</w:t>
      </w:r>
    </w:p>
    <w:p>
      <w:r>
        <w:rPr>
          <w:b w:val="0"/>
          <w:i w:val="0"/>
        </w:rPr>
        <w:t>Именно эта особенность определяет структуру отрасли. Технологическая цепочка редкоземельного производства включает как минимум пять принципиально разных по составу компетенций переделов:</w:t>
      </w:r>
    </w:p>
    <w:p>
      <w:pPr>
        <w:pStyle w:val="ListNumber"/>
        <w:spacing w:after="20"/>
        <w:ind w:firstLine="0"/>
      </w:pPr>
      <w:r>
        <w:rPr>
          <w:b w:val="0"/>
          <w:i w:val="0"/>
        </w:rPr>
        <w:t>добыча руды и получение коллективного минерального концентрата (горно-обогатительный передел);</w:t>
      </w:r>
    </w:p>
    <w:p>
      <w:pPr>
        <w:pStyle w:val="ListNumber"/>
        <w:spacing w:after="20"/>
        <w:ind w:firstLine="0"/>
      </w:pPr>
      <w:r>
        <w:rPr>
          <w:b w:val="0"/>
          <w:i w:val="0"/>
        </w:rPr>
        <w:t>вскрытие концентрата и получение коллективных химических соединений — карбонатов, хлоридов, гидроксидов (гидрометаллургический передел);</w:t>
      </w:r>
    </w:p>
    <w:p>
      <w:pPr>
        <w:pStyle w:val="ListNumber"/>
        <w:spacing w:after="20"/>
        <w:ind w:firstLine="0"/>
      </w:pPr>
      <w:r>
        <w:rPr>
          <w:b w:val="0"/>
          <w:i w:val="0"/>
        </w:rPr>
        <w:t>разделение суммы РЗМ на индивидуальные оксиды методом многоступенчатой жидкостной экстракции (разделительный передел);</w:t>
      </w:r>
    </w:p>
    <w:p>
      <w:pPr>
        <w:pStyle w:val="ListNumber"/>
        <w:spacing w:after="20"/>
        <w:ind w:firstLine="0"/>
      </w:pPr>
      <w:r>
        <w:rPr>
          <w:b w:val="0"/>
          <w:i w:val="0"/>
        </w:rPr>
        <w:t>восстановление оксидов до металлов и производство лигатур (металлургический передел);</w:t>
      </w:r>
    </w:p>
    <w:p>
      <w:pPr>
        <w:pStyle w:val="ListNumber"/>
        <w:spacing w:after="20"/>
        <w:ind w:firstLine="0"/>
      </w:pPr>
      <w:r>
        <w:rPr>
          <w:b w:val="0"/>
          <w:i w:val="0"/>
        </w:rPr>
        <w:t>изготовление конечной функциональной продукции — прежде всего постоянных магнитов (материаловедческий передел).</w:t>
      </w:r>
    </w:p>
    <w:p>
      <w:r>
        <w:rPr>
          <w:b w:val="0"/>
          <w:i w:val="0"/>
        </w:rPr>
        <w:t>Обладание сырьевой базой само по себе не даёт стране позиций на рынке: определяющим является контроль над третьим, четвёртым и пятым переделами. Именно на этом основана нынешняя конфигурация мирового рынка, при которой на Китайскую Народную Республику приходится порядка 60–70% мировой добычи, около 85–90% мощностей по разделению и более 90% мирового производства спечённых NdFeB-магнитов. Ни одна другая юрисдикция мира по состоянию на 2025 г. не располагает полной технологической цепочкой в промышленном масштабе.</w:t>
      </w:r>
    </w:p>
    <w:p>
      <w:r>
        <w:rPr>
          <w:b w:val="0"/>
          <w:i w:val="0"/>
        </w:rPr>
        <w:t>Редкоземельные металлы имеют критическое значение для целого ряда технологических направлений, определяющих облик современной промышленности:</w:t>
      </w:r>
    </w:p>
    <w:p>
      <w:pPr>
        <w:pStyle w:val="ListBullet"/>
        <w:spacing w:after="20"/>
        <w:ind w:firstLine="0"/>
      </w:pPr>
      <w:r>
        <w:rPr>
          <w:b/>
          <w:i w:val="0"/>
        </w:rPr>
        <w:t>постоянные магниты</w:t>
      </w:r>
      <w:r>
        <w:rPr>
          <w:b w:val="0"/>
          <w:i w:val="0"/>
        </w:rPr>
        <w:t xml:space="preserve"> на основе сплавов Nd–Fe–B и Sm–Co, обеспечивающие наивысшую в технике плотность магнитной энергии, — тяговые электродвигатели электромобилей, генераторы ветроэнергетических установок прямого привода, приводы промышленных роботов, сервоприводы, компрессоры, звуковые излучатели, приводы жёстких дисков, медицинская томография, системы наведения и управления вооружением;</w:t>
      </w:r>
    </w:p>
    <w:p>
      <w:pPr>
        <w:pStyle w:val="ListBullet"/>
        <w:spacing w:after="20"/>
        <w:ind w:firstLine="0"/>
      </w:pPr>
      <w:r>
        <w:rPr>
          <w:b/>
          <w:i w:val="0"/>
        </w:rPr>
        <w:t>катализаторы</w:t>
      </w:r>
      <w:r>
        <w:rPr>
          <w:b w:val="0"/>
          <w:i w:val="0"/>
        </w:rPr>
        <w:t xml:space="preserve"> — церийсодержащие катализаторы каталитического крекинга нефти (FCC), автомобильные нейтрализаторы отработавших газов, катализаторы очистки промышленных выбросов;</w:t>
      </w:r>
    </w:p>
    <w:p>
      <w:pPr>
        <w:pStyle w:val="ListBullet"/>
        <w:spacing w:after="20"/>
        <w:ind w:firstLine="0"/>
      </w:pPr>
      <w:r>
        <w:rPr>
          <w:b/>
          <w:i w:val="0"/>
        </w:rPr>
        <w:t>полировальные материалы</w:t>
      </w:r>
      <w:r>
        <w:rPr>
          <w:b w:val="0"/>
          <w:i w:val="0"/>
        </w:rPr>
        <w:t xml:space="preserve"> на основе оксида церия — обработка оптического стекла, дисплеев, полупроводниковых пластин;</w:t>
      </w:r>
    </w:p>
    <w:p>
      <w:pPr>
        <w:pStyle w:val="ListBullet"/>
        <w:spacing w:after="20"/>
        <w:ind w:firstLine="0"/>
      </w:pPr>
      <w:r>
        <w:rPr>
          <w:b/>
          <w:i w:val="0"/>
        </w:rPr>
        <w:t>люминофоры и оптические материалы</w:t>
      </w:r>
      <w:r>
        <w:rPr>
          <w:b w:val="0"/>
          <w:i w:val="0"/>
        </w:rPr>
        <w:t xml:space="preserve"> — светодиодная светотехника, дисплеи, сцинтилляторы, специальные и оптические стёкла;</w:t>
      </w:r>
    </w:p>
    <w:p>
      <w:pPr>
        <w:pStyle w:val="ListBullet"/>
        <w:spacing w:after="20"/>
        <w:ind w:firstLine="0"/>
      </w:pPr>
      <w:r>
        <w:rPr>
          <w:b/>
          <w:i w:val="0"/>
        </w:rPr>
        <w:t>лазерная техника</w:t>
      </w:r>
      <w:r>
        <w:rPr>
          <w:b w:val="0"/>
          <w:i w:val="0"/>
        </w:rPr>
        <w:t xml:space="preserve"> — активные среды на основе неодима, иттербия, эрбия, гольмия;</w:t>
      </w:r>
    </w:p>
    <w:p>
      <w:pPr>
        <w:pStyle w:val="ListBullet"/>
        <w:spacing w:after="20"/>
        <w:ind w:firstLine="0"/>
      </w:pPr>
      <w:r>
        <w:rPr>
          <w:b/>
          <w:i w:val="0"/>
        </w:rPr>
        <w:t>металлургия</w:t>
      </w:r>
      <w:r>
        <w:rPr>
          <w:b w:val="0"/>
          <w:i w:val="0"/>
        </w:rPr>
        <w:t xml:space="preserve"> — модификаторы стали и чугуна, легирование алюминиевых и магниевых сплавов, мишметалл, пирофорные сплавы;</w:t>
      </w:r>
    </w:p>
    <w:p>
      <w:pPr>
        <w:pStyle w:val="ListBullet"/>
        <w:spacing w:after="20"/>
        <w:ind w:firstLine="0"/>
      </w:pPr>
      <w:r>
        <w:rPr>
          <w:b/>
          <w:i w:val="0"/>
        </w:rPr>
        <w:t>энергетика и керамика</w:t>
      </w:r>
      <w:r>
        <w:rPr>
          <w:b w:val="0"/>
          <w:i w:val="0"/>
        </w:rPr>
        <w:t xml:space="preserve"> — твердооксидные топливные элементы, керамика на основе стабилизированного иттрием диоксида циркония, термобарьерные покрытия;</w:t>
      </w:r>
    </w:p>
    <w:p>
      <w:pPr>
        <w:pStyle w:val="ListBullet"/>
        <w:spacing w:after="20"/>
        <w:ind w:firstLine="0"/>
      </w:pPr>
      <w:r>
        <w:rPr>
          <w:b/>
          <w:i w:val="0"/>
        </w:rPr>
        <w:t>атомная техника</w:t>
      </w:r>
      <w:r>
        <w:rPr>
          <w:b w:val="0"/>
          <w:i w:val="0"/>
        </w:rPr>
        <w:t xml:space="preserve"> — поглощающие материалы, конструкционные и функциональные сплавы.</w:t>
      </w:r>
    </w:p>
    <w:p>
      <w:r>
        <w:rPr>
          <w:b w:val="0"/>
          <w:i w:val="0"/>
        </w:rPr>
        <w:t>Совокупное потребление первичных редкоземельных элементов в мире невелико в физическом выражении — порядка 200–250 тыс. т в пересчёте на оксиды в год, что сопоставимо с суточной мировой выплавкой стали. Однако критичность этих материалов определяется не объёмом, а незаменимостью: отсутствие нескольких килограммов диспрозия способно остановить выпуск тягового электродвигателя, а отсутствие сотен граммов тербия — производство люминофора. Отношение стоимости РЗМ к стоимости конечного изделия составляет, как правило, доли процента, тогда как отношение риска остановки производства к этой стоимости — величина принципиально иного порядка. Это делает редкоземельную отрасль классическим примером «узкого горла» с непропорционально высоким геополитическим значением.</w:t>
      </w:r>
    </w:p>
    <w:p>
      <w:r>
        <w:rPr>
          <w:b w:val="0"/>
          <w:i w:val="0"/>
        </w:rPr>
        <w:t>Для Российской Федерации редкоземельная тематика имеет двойственный характер. С одной стороны, страна располагает крупной сырьевой базой — по величине учтённых запасов Россия входит в число мировых лидеров, занимая, по разным оценкам, четвёртое-пятое место. С другой стороны, фактическое производство редкоземельной продукции в стране на протяжении последних двух десятилетий не превышало 2,5–3 тыс. т в пересчёте на оксиды, а производство разделённой продукции высокой чистоты и продукции последующих переделов до недавнего времени практически отсутствовало. Разрыв между сырьевым потенциалом и реальным выпуском составляет два порядка и является главной содержательной проблемой отрасли.</w:t>
      </w:r>
    </w:p>
    <w:p>
      <w:r>
        <w:rPr>
          <w:b w:val="0"/>
          <w:i w:val="0"/>
        </w:rPr>
        <w:t>Причины этого разрыва носят системный характер и подробно рассматриваются в главах 9–17 настоящего отчёта. Кратко они сводятся к следующему:</w:t>
      </w:r>
    </w:p>
    <w:p>
      <w:pPr>
        <w:pStyle w:val="ListBullet"/>
        <w:spacing w:after="20"/>
        <w:ind w:firstLine="0"/>
      </w:pPr>
      <w:r>
        <w:rPr>
          <w:b w:val="0"/>
          <w:i w:val="0"/>
        </w:rPr>
        <w:t>преобладание в структуре запасов труднообогатимых комплексных руд (лопаритовых, эвдиалитовых, ниобий-редкоземельных кор выветривания), требующих индивидуальных технологических решений;</w:t>
      </w:r>
    </w:p>
    <w:p>
      <w:pPr>
        <w:pStyle w:val="ListBullet"/>
        <w:spacing w:after="20"/>
        <w:ind w:firstLine="0"/>
      </w:pPr>
      <w:r>
        <w:rPr>
          <w:b w:val="0"/>
          <w:i w:val="0"/>
        </w:rPr>
        <w:t>географическая удалённость ключевых объектов (Томтор — север Якутии, Ловозеро — Кольский полуостров) и отсутствие инфраструктуры;</w:t>
      </w:r>
    </w:p>
    <w:p>
      <w:pPr>
        <w:pStyle w:val="ListBullet"/>
        <w:spacing w:after="20"/>
        <w:ind w:firstLine="0"/>
      </w:pPr>
      <w:r>
        <w:rPr>
          <w:b w:val="0"/>
          <w:i w:val="0"/>
        </w:rPr>
        <w:t>неблагоприятная структура «корзины» российского сырья: преобладание лёгкой группы (лантан, церий) при дефиците наиболее востребованных средних и тяжёлых элементов;</w:t>
      </w:r>
    </w:p>
    <w:p>
      <w:pPr>
        <w:pStyle w:val="ListBullet"/>
        <w:spacing w:after="20"/>
        <w:ind w:firstLine="0"/>
      </w:pPr>
      <w:r>
        <w:rPr>
          <w:b w:val="0"/>
          <w:i w:val="0"/>
        </w:rPr>
        <w:t>отсутствие внутреннего платёжеспособного спроса на разделённую продукцию, следствием чего являлась экономическая нецелесообразность строительства разделительных мощностей;</w:t>
      </w:r>
    </w:p>
    <w:p>
      <w:pPr>
        <w:pStyle w:val="ListBullet"/>
        <w:spacing w:after="20"/>
        <w:ind w:firstLine="0"/>
      </w:pPr>
      <w:r>
        <w:rPr>
          <w:b w:val="0"/>
          <w:i w:val="0"/>
        </w:rPr>
        <w:t>утрата ряда технологических компетенций и кадрового потенциала в 1990–2000-е гг.;</w:t>
      </w:r>
    </w:p>
    <w:p>
      <w:pPr>
        <w:pStyle w:val="ListBullet"/>
        <w:spacing w:after="20"/>
        <w:ind w:firstLine="0"/>
      </w:pPr>
      <w:r>
        <w:rPr>
          <w:b w:val="0"/>
          <w:i w:val="0"/>
        </w:rPr>
        <w:t>конкуренция со стороны китайской продукции, себестоимость которой на протяжении длительного времени была недостижимо низкой.</w:t>
      </w:r>
    </w:p>
    <w:p>
      <w:r>
        <w:rPr>
          <w:b w:val="0"/>
          <w:i w:val="0"/>
        </w:rPr>
        <w:t>С 2023–2025 гг. ситуация начала меняться под влиянием двух факторов: последовательного ужесточения экспортного контроля со стороны КНР, сделавшего доступ к разделённой редкоземельной продукции и магнитам вопросом промышленной безопасности, и формирования в России государственной программы развития отрасли с конкретными целевыми показателями и закреплением ответственности за Государственной корпорацией «Росатом». Настоящий отчёт рассматривает как международный контекст этих изменений, так и реалистичность заявленных отечественных планов.</w:t>
      </w:r>
    </w:p>
    <w:p>
      <w:pPr>
        <w:pStyle w:val="Heading2"/>
      </w:pPr>
      <w:r>
        <w:rPr>
          <w:b w:val="0"/>
          <w:i w:val="0"/>
        </w:rPr>
        <w:t>Методологические замечания</w:t>
      </w:r>
    </w:p>
    <w:p>
      <w:r>
        <w:rPr>
          <w:b/>
          <w:i w:val="0"/>
        </w:rPr>
        <w:t>Единицы измерения.</w:t>
      </w:r>
      <w:r>
        <w:rPr>
          <w:b w:val="0"/>
          <w:i w:val="0"/>
        </w:rPr>
        <w:t xml:space="preserve"> Если не оговорено иное, объёмные показатели приводятся в тоннах в пересчёте на суммарные оксиды редкоземельных элементов (TREO, total rare earth oxides). Для отдельных позиций указывается физический вес продукции или содержание в металле; в этих случаях единица измерения приведена явно. Показатель «NdPr» означает суммарное содержание оксидов неодима и празеодима, поставляемых, как правило, в виде дидимового концентрата.</w:t>
      </w:r>
    </w:p>
    <w:p>
      <w:r>
        <w:rPr>
          <w:b/>
          <w:i w:val="0"/>
        </w:rPr>
        <w:t>Терминология переделов.</w:t>
      </w:r>
      <w:r>
        <w:rPr>
          <w:b w:val="0"/>
          <w:i w:val="0"/>
        </w:rPr>
        <w:t xml:space="preserve"> В отчёте разделяются понятия: «добыча» (mining) — извлечение руды и производство минерального концентрата; «производство коллективной продукции» — выпуск химических соединений суммы РЗМ; «разделение» (separation) — получение индивидуальных оксидов; «металлургический передел» — производство металлов и лигатур; «производство магнитов» — выпуск спечённых и связанных постоянных магнитов.</w:t>
      </w:r>
    </w:p>
    <w:p>
      <w:r>
        <w:rPr>
          <w:b/>
          <w:i w:val="0"/>
        </w:rPr>
        <w:t>Группировка элементов.</w:t>
      </w:r>
      <w:r>
        <w:rPr>
          <w:b w:val="0"/>
          <w:i w:val="0"/>
        </w:rPr>
        <w:t xml:space="preserve"> Применяется трёхчленная классификация: лёгкая группа (LREE: La, Ce, Pr, Nd), средняя (MREE: Sm, Eu, Gd) и тяжёлая (HREE: Tb, Dy, Ho, Er, Tm, Yb, Lu, Y). Скандий рассматривается отдельно ввиду принципиально иной геохимии и структуры рынка. Следует учитывать, что в источниках встречаются и двухчленные классификации, при которых граница проводится по гадолинию или по самарию, — это существенно при сопоставлении данных.</w:t>
      </w:r>
    </w:p>
    <w:p>
      <w:r>
        <w:rPr>
          <w:b/>
          <w:i w:val="0"/>
        </w:rPr>
        <w:t>Ценовые показатели.</w:t>
      </w:r>
      <w:r>
        <w:rPr>
          <w:b w:val="0"/>
          <w:i w:val="0"/>
        </w:rPr>
        <w:t xml:space="preserve"> Мировые цены приводятся, как правило, в долларах США за килограмм оксида чистотой не ниже 99% на условиях FOB Китай, если не указано иное. Внутрикитайские цены приводятся отдельно, поскольку разрыв между внутренним и экспортным уровнем цен является самостоятельным аналитическим фактором.</w:t>
      </w:r>
    </w:p>
    <w:p>
      <w:r>
        <w:rPr>
          <w:b/>
          <w:i w:val="0"/>
        </w:rPr>
        <w:t>Прогнозные построения.</w:t>
      </w:r>
      <w:r>
        <w:rPr>
          <w:b w:val="0"/>
          <w:i w:val="0"/>
        </w:rPr>
        <w:t xml:space="preserve"> Прогнозы выполнены сценарным методом (консервативный, базовый и оптимистический сценарии) на основе балансовых моделей спроса и предложения по ключевым элементам. Прогнозы не являются инвестиционной рекомендацией.</w:t>
      </w:r>
    </w:p>
    <w:p>
      <w:r>
        <w:br w:type="page"/>
      </w:r>
    </w:p>
    <w:p>
      <w:pPr>
        <w:pStyle w:val="Heading1"/>
      </w:pPr>
      <w:r>
        <w:rPr>
          <w:b w:val="0"/>
          <w:i w:val="0"/>
        </w:rPr>
        <w:t>1. Общая характеристика редкоземельных металлов и структура рынка</w:t>
      </w:r>
    </w:p>
    <w:p>
      <w:pPr>
        <w:pStyle w:val="Heading2"/>
      </w:pPr>
      <w:r>
        <w:rPr>
          <w:b w:val="0"/>
          <w:i w:val="0"/>
        </w:rPr>
        <w:t>1.1. Номенклатура и физико-химические свойства элементов</w:t>
      </w:r>
    </w:p>
    <w:p>
      <w:r>
        <w:rPr>
          <w:b w:val="0"/>
          <w:i w:val="0"/>
        </w:rPr>
        <w:t>Группа редкоземельных элементов объединяет 17 элементов Периодической системы: скандий (Sc, Z = 21), иттрий (Y, Z = 39) и 15 лантаноидов с атомными номерами от 57 (лантан) до 71 (лютеций). Прометий (Pm, Z = 61) не имеет стабильных изотопов, в природе присутствует лишь в следовых количествах как продукт спонтанного деления урана и промышленного значения не имеет; далее в отчёте он не рассматривается.</w:t>
      </w:r>
    </w:p>
    <w:p>
      <w:r>
        <w:rPr>
          <w:b w:val="0"/>
          <w:i w:val="0"/>
        </w:rPr>
        <w:t>Химическое сходство лантаноидов обусловлено электронным строением: у всех элементов группы заполняется внутренний 4f-подуровень при неизменной конфигурации внешних 5d- и 6s-оболочек, определяющих химические свойства. Следствием является преимущественная степень окисления +3 у всех лантаноидов и практически идентичное химическое поведение. Отклонения от этого правила невелики, но имеют исключительное практическое значение: церий устойчиво образует соединения Ce(IV), европий — Eu(II), что позволяет отделять эти два элемента от суммы окислительно-восстановительными методами, значительно более дешёвыми, чем экстракция.</w:t>
      </w:r>
    </w:p>
    <w:p>
      <w:r>
        <w:rPr>
          <w:b w:val="0"/>
          <w:i w:val="0"/>
        </w:rPr>
        <w:t xml:space="preserve">Второй важнейшей особенностью группы является </w:t>
      </w:r>
      <w:r>
        <w:rPr>
          <w:b/>
          <w:i w:val="0"/>
        </w:rPr>
        <w:t>лантаноидное сжатие</w:t>
      </w:r>
      <w:r>
        <w:rPr>
          <w:b w:val="0"/>
          <w:i w:val="0"/>
        </w:rPr>
        <w:t xml:space="preserve"> — монотонное уменьшение ионного радиуса Ln³⁺ от лантана (1,032 Å) к лютецию (0,861 Å) при росте атомного номера. Различие в радиусах соседних элементов составляет всего 0,01–0,02 Å, что и определяет крайнюю сложность разделения: коэффициент разделения соседних пар в экстракционных системах близок к 1,3–2,5, вследствие чего для получения индивидуального оксида чистотой 99,9% требуется каскад из 50–100 и более экстракционных ступеней, а для чистоты 99,999% — до нескольких сотен ступеней.</w:t>
      </w:r>
    </w:p>
    <w:p>
      <w:r>
        <w:rPr>
          <w:b w:val="0"/>
          <w:i w:val="0"/>
        </w:rPr>
        <w:t>Именно многоступенчатость экстракционного каскада, а не дефицит сырья, формирует основной технологический и капитальный барьер входа в отрасль. Разделительное производство мощностью 3–5 тыс. т TREO в год требует инвестиций порядка 150–400 млн долл. США, срока строительства и вывода на режим 3–5 лет, а главное — накопленного опыта эксплуатации каскадов, который практически не передаётся документально.</w:t>
      </w:r>
    </w:p>
    <w:p>
      <w:pPr>
        <w:keepNext/>
        <w:spacing w:before="160" w:after="60"/>
        <w:ind w:firstLine="0"/>
        <w:jc w:val="left"/>
      </w:pPr>
      <w:r>
        <w:rPr>
          <w:b/>
          <w:sz w:val="22"/>
        </w:rPr>
        <w:t>Таблица 1. Редкоземельные элементы: основные характеристики</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Элемент</w:t>
            </w:r>
          </w:p>
        </w:tc>
        <w:tc>
          <w:tcPr>
            <w:tcW w:type="dxa" w:w="1425"/>
            <w:shd w:val="clear" w:fill="DCE6F1"/>
          </w:tcPr>
          <w:p>
            <w:pPr>
              <w:spacing w:after="0" w:line="240" w:lineRule="auto"/>
              <w:ind w:firstLine="0"/>
              <w:jc w:val="center"/>
            </w:pPr>
            <w:r>
              <w:rPr>
                <w:b/>
                <w:i w:val="0"/>
                <w:sz w:val="20"/>
              </w:rPr>
              <w:t>Симв.</w:t>
            </w:r>
          </w:p>
        </w:tc>
        <w:tc>
          <w:tcPr>
            <w:tcW w:type="dxa" w:w="1425"/>
            <w:shd w:val="clear" w:fill="DCE6F1"/>
          </w:tcPr>
          <w:p>
            <w:pPr>
              <w:spacing w:after="0" w:line="240" w:lineRule="auto"/>
              <w:ind w:firstLine="0"/>
              <w:jc w:val="center"/>
            </w:pPr>
            <w:r>
              <w:rPr>
                <w:b/>
                <w:i w:val="0"/>
                <w:sz w:val="20"/>
              </w:rPr>
              <w:t>Z</w:t>
            </w:r>
          </w:p>
        </w:tc>
        <w:tc>
          <w:tcPr>
            <w:tcW w:type="dxa" w:w="1425"/>
            <w:shd w:val="clear" w:fill="DCE6F1"/>
          </w:tcPr>
          <w:p>
            <w:pPr>
              <w:spacing w:after="0" w:line="240" w:lineRule="auto"/>
              <w:ind w:firstLine="0"/>
              <w:jc w:val="center"/>
            </w:pPr>
            <w:r>
              <w:rPr>
                <w:b/>
                <w:i w:val="0"/>
                <w:sz w:val="20"/>
              </w:rPr>
              <w:t>Атомная масса</w:t>
            </w:r>
          </w:p>
        </w:tc>
        <w:tc>
          <w:tcPr>
            <w:tcW w:type="dxa" w:w="1425"/>
            <w:shd w:val="clear" w:fill="DCE6F1"/>
          </w:tcPr>
          <w:p>
            <w:pPr>
              <w:spacing w:after="0" w:line="240" w:lineRule="auto"/>
              <w:ind w:firstLine="0"/>
              <w:jc w:val="center"/>
            </w:pPr>
            <w:r>
              <w:rPr>
                <w:b/>
                <w:i w:val="0"/>
                <w:sz w:val="20"/>
              </w:rPr>
              <w:t>Ионный радиус Ln³⁺, Å</w:t>
            </w:r>
          </w:p>
        </w:tc>
        <w:tc>
          <w:tcPr>
            <w:tcW w:type="dxa" w:w="1425"/>
            <w:shd w:val="clear" w:fill="DCE6F1"/>
          </w:tcPr>
          <w:p>
            <w:pPr>
              <w:spacing w:after="0" w:line="240" w:lineRule="auto"/>
              <w:ind w:firstLine="0"/>
              <w:jc w:val="center"/>
            </w:pPr>
            <w:r>
              <w:rPr>
                <w:b/>
                <w:i w:val="0"/>
                <w:sz w:val="20"/>
              </w:rPr>
              <w:t>Кларк, г/т</w:t>
            </w:r>
          </w:p>
        </w:tc>
        <w:tc>
          <w:tcPr>
            <w:tcW w:type="dxa" w:w="1425"/>
            <w:shd w:val="clear" w:fill="DCE6F1"/>
          </w:tcPr>
          <w:p>
            <w:pPr>
              <w:spacing w:after="0" w:line="240" w:lineRule="auto"/>
              <w:ind w:firstLine="0"/>
              <w:jc w:val="center"/>
            </w:pPr>
            <w:r>
              <w:rPr>
                <w:b/>
                <w:i w:val="0"/>
                <w:sz w:val="20"/>
              </w:rPr>
              <w:t>Группа</w:t>
            </w:r>
          </w:p>
        </w:tc>
      </w:tr>
      <w:tr>
        <w:tc>
          <w:tcPr>
            <w:tcW w:type="dxa" w:w="1425"/>
          </w:tcPr>
          <w:p>
            <w:pPr>
              <w:spacing w:after="0" w:line="240" w:lineRule="auto"/>
              <w:ind w:firstLine="0"/>
              <w:jc w:val="left"/>
            </w:pPr>
            <w:r>
              <w:rPr>
                <w:b w:val="0"/>
                <w:i w:val="0"/>
                <w:sz w:val="20"/>
              </w:rPr>
              <w:t>Скандий</w:t>
            </w:r>
          </w:p>
        </w:tc>
        <w:tc>
          <w:tcPr>
            <w:tcW w:type="dxa" w:w="1425"/>
          </w:tcPr>
          <w:p>
            <w:pPr>
              <w:spacing w:after="0" w:line="240" w:lineRule="auto"/>
              <w:ind w:firstLine="0"/>
              <w:jc w:val="center"/>
            </w:pPr>
            <w:r>
              <w:rPr>
                <w:b w:val="0"/>
                <w:i w:val="0"/>
                <w:sz w:val="20"/>
              </w:rPr>
              <w:t>Sc</w:t>
            </w:r>
          </w:p>
        </w:tc>
        <w:tc>
          <w:tcPr>
            <w:tcW w:type="dxa" w:w="1425"/>
          </w:tcPr>
          <w:p>
            <w:pPr>
              <w:spacing w:after="0" w:line="240" w:lineRule="auto"/>
              <w:ind w:firstLine="0"/>
              <w:jc w:val="center"/>
            </w:pPr>
            <w:r>
              <w:rPr>
                <w:b w:val="0"/>
                <w:i w:val="0"/>
                <w:sz w:val="20"/>
              </w:rPr>
              <w:t>21</w:t>
            </w:r>
          </w:p>
        </w:tc>
        <w:tc>
          <w:tcPr>
            <w:tcW w:type="dxa" w:w="1425"/>
          </w:tcPr>
          <w:p>
            <w:pPr>
              <w:spacing w:after="0" w:line="240" w:lineRule="auto"/>
              <w:ind w:firstLine="0"/>
              <w:jc w:val="center"/>
            </w:pPr>
            <w:r>
              <w:rPr>
                <w:b w:val="0"/>
                <w:i w:val="0"/>
                <w:sz w:val="20"/>
              </w:rPr>
              <w:t>44,96</w:t>
            </w:r>
          </w:p>
        </w:tc>
        <w:tc>
          <w:tcPr>
            <w:tcW w:type="dxa" w:w="1425"/>
          </w:tcPr>
          <w:p>
            <w:pPr>
              <w:spacing w:after="0" w:line="240" w:lineRule="auto"/>
              <w:ind w:firstLine="0"/>
              <w:jc w:val="center"/>
            </w:pPr>
            <w:r>
              <w:rPr>
                <w:b w:val="0"/>
                <w:i w:val="0"/>
                <w:sz w:val="20"/>
              </w:rPr>
              <w:t>0,745</w:t>
            </w:r>
          </w:p>
        </w:tc>
        <w:tc>
          <w:tcPr>
            <w:tcW w:type="dxa" w:w="1425"/>
          </w:tcPr>
          <w:p>
            <w:pPr>
              <w:spacing w:after="0" w:line="240" w:lineRule="auto"/>
              <w:ind w:firstLine="0"/>
              <w:jc w:val="center"/>
            </w:pPr>
            <w:r>
              <w:rPr>
                <w:b w:val="0"/>
                <w:i w:val="0"/>
                <w:sz w:val="20"/>
              </w:rPr>
              <w:t>22,0</w:t>
            </w:r>
          </w:p>
        </w:tc>
        <w:tc>
          <w:tcPr>
            <w:tcW w:type="dxa" w:w="1425"/>
          </w:tcPr>
          <w:p>
            <w:pPr>
              <w:spacing w:after="0" w:line="240" w:lineRule="auto"/>
              <w:ind w:firstLine="0"/>
              <w:jc w:val="center"/>
            </w:pPr>
            <w:r>
              <w:rPr>
                <w:b w:val="0"/>
                <w:i w:val="0"/>
                <w:sz w:val="20"/>
              </w:rPr>
              <w:t>обособленная</w:t>
            </w:r>
          </w:p>
        </w:tc>
      </w:tr>
      <w:tr>
        <w:tc>
          <w:tcPr>
            <w:tcW w:type="dxa" w:w="1425"/>
          </w:tcPr>
          <w:p>
            <w:pPr>
              <w:spacing w:after="0" w:line="240" w:lineRule="auto"/>
              <w:ind w:firstLine="0"/>
              <w:jc w:val="left"/>
            </w:pPr>
            <w:r>
              <w:rPr>
                <w:b w:val="0"/>
                <w:i w:val="0"/>
                <w:sz w:val="20"/>
              </w:rPr>
              <w:t>Иттрий</w:t>
            </w:r>
          </w:p>
        </w:tc>
        <w:tc>
          <w:tcPr>
            <w:tcW w:type="dxa" w:w="1425"/>
          </w:tcPr>
          <w:p>
            <w:pPr>
              <w:spacing w:after="0" w:line="240" w:lineRule="auto"/>
              <w:ind w:firstLine="0"/>
              <w:jc w:val="center"/>
            </w:pPr>
            <w:r>
              <w:rPr>
                <w:b w:val="0"/>
                <w:i w:val="0"/>
                <w:sz w:val="20"/>
              </w:rPr>
              <w:t>Y</w:t>
            </w:r>
          </w:p>
        </w:tc>
        <w:tc>
          <w:tcPr>
            <w:tcW w:type="dxa" w:w="1425"/>
          </w:tcPr>
          <w:p>
            <w:pPr>
              <w:spacing w:after="0" w:line="240" w:lineRule="auto"/>
              <w:ind w:firstLine="0"/>
              <w:jc w:val="center"/>
            </w:pPr>
            <w:r>
              <w:rPr>
                <w:b w:val="0"/>
                <w:i w:val="0"/>
                <w:sz w:val="20"/>
              </w:rPr>
              <w:t>39</w:t>
            </w:r>
          </w:p>
        </w:tc>
        <w:tc>
          <w:tcPr>
            <w:tcW w:type="dxa" w:w="1425"/>
          </w:tcPr>
          <w:p>
            <w:pPr>
              <w:spacing w:after="0" w:line="240" w:lineRule="auto"/>
              <w:ind w:firstLine="0"/>
              <w:jc w:val="center"/>
            </w:pPr>
            <w:r>
              <w:rPr>
                <w:b w:val="0"/>
                <w:i w:val="0"/>
                <w:sz w:val="20"/>
              </w:rPr>
              <w:t>88,91</w:t>
            </w:r>
          </w:p>
        </w:tc>
        <w:tc>
          <w:tcPr>
            <w:tcW w:type="dxa" w:w="1425"/>
          </w:tcPr>
          <w:p>
            <w:pPr>
              <w:spacing w:after="0" w:line="240" w:lineRule="auto"/>
              <w:ind w:firstLine="0"/>
              <w:jc w:val="center"/>
            </w:pPr>
            <w:r>
              <w:rPr>
                <w:b w:val="0"/>
                <w:i w:val="0"/>
                <w:sz w:val="20"/>
              </w:rPr>
              <w:t>0,900</w:t>
            </w:r>
          </w:p>
        </w:tc>
        <w:tc>
          <w:tcPr>
            <w:tcW w:type="dxa" w:w="1425"/>
          </w:tcPr>
          <w:p>
            <w:pPr>
              <w:spacing w:after="0" w:line="240" w:lineRule="auto"/>
              <w:ind w:firstLine="0"/>
              <w:jc w:val="center"/>
            </w:pPr>
            <w:r>
              <w:rPr>
                <w:b w:val="0"/>
                <w:i w:val="0"/>
                <w:sz w:val="20"/>
              </w:rPr>
              <w:t>33,0</w:t>
            </w:r>
          </w:p>
        </w:tc>
        <w:tc>
          <w:tcPr>
            <w:tcW w:type="dxa" w:w="1425"/>
          </w:tcPr>
          <w:p>
            <w:pPr>
              <w:spacing w:after="0" w:line="240" w:lineRule="auto"/>
              <w:ind w:firstLine="0"/>
              <w:jc w:val="center"/>
            </w:pPr>
            <w:r>
              <w:rPr>
                <w:b w:val="0"/>
                <w:i w:val="0"/>
                <w:sz w:val="20"/>
              </w:rPr>
              <w:t>тяжёлая</w:t>
            </w:r>
          </w:p>
        </w:tc>
      </w:tr>
      <w:tr>
        <w:tc>
          <w:tcPr>
            <w:tcW w:type="dxa" w:w="1425"/>
          </w:tcPr>
          <w:p>
            <w:pPr>
              <w:spacing w:after="0" w:line="240" w:lineRule="auto"/>
              <w:ind w:firstLine="0"/>
              <w:jc w:val="left"/>
            </w:pPr>
            <w:r>
              <w:rPr>
                <w:b w:val="0"/>
                <w:i w:val="0"/>
                <w:sz w:val="20"/>
              </w:rPr>
              <w:t>Лантан</w:t>
            </w:r>
          </w:p>
        </w:tc>
        <w:tc>
          <w:tcPr>
            <w:tcW w:type="dxa" w:w="1425"/>
          </w:tcPr>
          <w:p>
            <w:pPr>
              <w:spacing w:after="0" w:line="240" w:lineRule="auto"/>
              <w:ind w:firstLine="0"/>
              <w:jc w:val="center"/>
            </w:pPr>
            <w:r>
              <w:rPr>
                <w:b w:val="0"/>
                <w:i w:val="0"/>
                <w:sz w:val="20"/>
              </w:rPr>
              <w:t>La</w:t>
            </w:r>
          </w:p>
        </w:tc>
        <w:tc>
          <w:tcPr>
            <w:tcW w:type="dxa" w:w="1425"/>
          </w:tcPr>
          <w:p>
            <w:pPr>
              <w:spacing w:after="0" w:line="240" w:lineRule="auto"/>
              <w:ind w:firstLine="0"/>
              <w:jc w:val="center"/>
            </w:pPr>
            <w:r>
              <w:rPr>
                <w:b w:val="0"/>
                <w:i w:val="0"/>
                <w:sz w:val="20"/>
              </w:rPr>
              <w:t>57</w:t>
            </w:r>
          </w:p>
        </w:tc>
        <w:tc>
          <w:tcPr>
            <w:tcW w:type="dxa" w:w="1425"/>
          </w:tcPr>
          <w:p>
            <w:pPr>
              <w:spacing w:after="0" w:line="240" w:lineRule="auto"/>
              <w:ind w:firstLine="0"/>
              <w:jc w:val="center"/>
            </w:pPr>
            <w:r>
              <w:rPr>
                <w:b w:val="0"/>
                <w:i w:val="0"/>
                <w:sz w:val="20"/>
              </w:rPr>
              <w:t>138,91</w:t>
            </w:r>
          </w:p>
        </w:tc>
        <w:tc>
          <w:tcPr>
            <w:tcW w:type="dxa" w:w="1425"/>
          </w:tcPr>
          <w:p>
            <w:pPr>
              <w:spacing w:after="0" w:line="240" w:lineRule="auto"/>
              <w:ind w:firstLine="0"/>
              <w:jc w:val="center"/>
            </w:pPr>
            <w:r>
              <w:rPr>
                <w:b w:val="0"/>
                <w:i w:val="0"/>
                <w:sz w:val="20"/>
              </w:rPr>
              <w:t>1,032</w:t>
            </w:r>
          </w:p>
        </w:tc>
        <w:tc>
          <w:tcPr>
            <w:tcW w:type="dxa" w:w="1425"/>
          </w:tcPr>
          <w:p>
            <w:pPr>
              <w:spacing w:after="0" w:line="240" w:lineRule="auto"/>
              <w:ind w:firstLine="0"/>
              <w:jc w:val="center"/>
            </w:pPr>
            <w:r>
              <w:rPr>
                <w:b w:val="0"/>
                <w:i w:val="0"/>
                <w:sz w:val="20"/>
              </w:rPr>
              <w:t>39,0</w:t>
            </w:r>
          </w:p>
        </w:tc>
        <w:tc>
          <w:tcPr>
            <w:tcW w:type="dxa" w:w="1425"/>
          </w:tcPr>
          <w:p>
            <w:pPr>
              <w:spacing w:after="0" w:line="240" w:lineRule="auto"/>
              <w:ind w:firstLine="0"/>
              <w:jc w:val="center"/>
            </w:pPr>
            <w:r>
              <w:rPr>
                <w:b w:val="0"/>
                <w:i w:val="0"/>
                <w:sz w:val="20"/>
              </w:rPr>
              <w:t>лёгкая</w:t>
            </w:r>
          </w:p>
        </w:tc>
      </w:tr>
      <w:tr>
        <w:tc>
          <w:tcPr>
            <w:tcW w:type="dxa" w:w="1425"/>
          </w:tcPr>
          <w:p>
            <w:pPr>
              <w:spacing w:after="0" w:line="240" w:lineRule="auto"/>
              <w:ind w:firstLine="0"/>
              <w:jc w:val="left"/>
            </w:pPr>
            <w:r>
              <w:rPr>
                <w:b w:val="0"/>
                <w:i w:val="0"/>
                <w:sz w:val="20"/>
              </w:rPr>
              <w:t>Церий</w:t>
            </w:r>
          </w:p>
        </w:tc>
        <w:tc>
          <w:tcPr>
            <w:tcW w:type="dxa" w:w="1425"/>
          </w:tcPr>
          <w:p>
            <w:pPr>
              <w:spacing w:after="0" w:line="240" w:lineRule="auto"/>
              <w:ind w:firstLine="0"/>
              <w:jc w:val="center"/>
            </w:pPr>
            <w:r>
              <w:rPr>
                <w:b w:val="0"/>
                <w:i w:val="0"/>
                <w:sz w:val="20"/>
              </w:rPr>
              <w:t>Ce</w:t>
            </w:r>
          </w:p>
        </w:tc>
        <w:tc>
          <w:tcPr>
            <w:tcW w:type="dxa" w:w="1425"/>
          </w:tcPr>
          <w:p>
            <w:pPr>
              <w:spacing w:after="0" w:line="240" w:lineRule="auto"/>
              <w:ind w:firstLine="0"/>
              <w:jc w:val="center"/>
            </w:pPr>
            <w:r>
              <w:rPr>
                <w:b w:val="0"/>
                <w:i w:val="0"/>
                <w:sz w:val="20"/>
              </w:rPr>
              <w:t>58</w:t>
            </w:r>
          </w:p>
        </w:tc>
        <w:tc>
          <w:tcPr>
            <w:tcW w:type="dxa" w:w="1425"/>
          </w:tcPr>
          <w:p>
            <w:pPr>
              <w:spacing w:after="0" w:line="240" w:lineRule="auto"/>
              <w:ind w:firstLine="0"/>
              <w:jc w:val="center"/>
            </w:pPr>
            <w:r>
              <w:rPr>
                <w:b w:val="0"/>
                <w:i w:val="0"/>
                <w:sz w:val="20"/>
              </w:rPr>
              <w:t>140,12</w:t>
            </w:r>
          </w:p>
        </w:tc>
        <w:tc>
          <w:tcPr>
            <w:tcW w:type="dxa" w:w="1425"/>
          </w:tcPr>
          <w:p>
            <w:pPr>
              <w:spacing w:after="0" w:line="240" w:lineRule="auto"/>
              <w:ind w:firstLine="0"/>
              <w:jc w:val="center"/>
            </w:pPr>
            <w:r>
              <w:rPr>
                <w:b w:val="0"/>
                <w:i w:val="0"/>
                <w:sz w:val="20"/>
              </w:rPr>
              <w:t>1,010</w:t>
            </w:r>
          </w:p>
        </w:tc>
        <w:tc>
          <w:tcPr>
            <w:tcW w:type="dxa" w:w="1425"/>
          </w:tcPr>
          <w:p>
            <w:pPr>
              <w:spacing w:after="0" w:line="240" w:lineRule="auto"/>
              <w:ind w:firstLine="0"/>
              <w:jc w:val="center"/>
            </w:pPr>
            <w:r>
              <w:rPr>
                <w:b w:val="0"/>
                <w:i w:val="0"/>
                <w:sz w:val="20"/>
              </w:rPr>
              <w:t>66,5</w:t>
            </w:r>
          </w:p>
        </w:tc>
        <w:tc>
          <w:tcPr>
            <w:tcW w:type="dxa" w:w="1425"/>
          </w:tcPr>
          <w:p>
            <w:pPr>
              <w:spacing w:after="0" w:line="240" w:lineRule="auto"/>
              <w:ind w:firstLine="0"/>
              <w:jc w:val="center"/>
            </w:pPr>
            <w:r>
              <w:rPr>
                <w:b w:val="0"/>
                <w:i w:val="0"/>
                <w:sz w:val="20"/>
              </w:rPr>
              <w:t>лёгкая</w:t>
            </w:r>
          </w:p>
        </w:tc>
      </w:tr>
      <w:tr>
        <w:tc>
          <w:tcPr>
            <w:tcW w:type="dxa" w:w="1425"/>
          </w:tcPr>
          <w:p>
            <w:pPr>
              <w:spacing w:after="0" w:line="240" w:lineRule="auto"/>
              <w:ind w:firstLine="0"/>
              <w:jc w:val="left"/>
            </w:pPr>
            <w:r>
              <w:rPr>
                <w:b w:val="0"/>
                <w:i w:val="0"/>
                <w:sz w:val="20"/>
              </w:rPr>
              <w:t>Празеодим</w:t>
            </w:r>
          </w:p>
        </w:tc>
        <w:tc>
          <w:tcPr>
            <w:tcW w:type="dxa" w:w="1425"/>
          </w:tcPr>
          <w:p>
            <w:pPr>
              <w:spacing w:after="0" w:line="240" w:lineRule="auto"/>
              <w:ind w:firstLine="0"/>
              <w:jc w:val="center"/>
            </w:pPr>
            <w:r>
              <w:rPr>
                <w:b w:val="0"/>
                <w:i w:val="0"/>
                <w:sz w:val="20"/>
              </w:rPr>
              <w:t>Pr</w:t>
            </w:r>
          </w:p>
        </w:tc>
        <w:tc>
          <w:tcPr>
            <w:tcW w:type="dxa" w:w="1425"/>
          </w:tcPr>
          <w:p>
            <w:pPr>
              <w:spacing w:after="0" w:line="240" w:lineRule="auto"/>
              <w:ind w:firstLine="0"/>
              <w:jc w:val="center"/>
            </w:pPr>
            <w:r>
              <w:rPr>
                <w:b w:val="0"/>
                <w:i w:val="0"/>
                <w:sz w:val="20"/>
              </w:rPr>
              <w:t>59</w:t>
            </w:r>
          </w:p>
        </w:tc>
        <w:tc>
          <w:tcPr>
            <w:tcW w:type="dxa" w:w="1425"/>
          </w:tcPr>
          <w:p>
            <w:pPr>
              <w:spacing w:after="0" w:line="240" w:lineRule="auto"/>
              <w:ind w:firstLine="0"/>
              <w:jc w:val="center"/>
            </w:pPr>
            <w:r>
              <w:rPr>
                <w:b w:val="0"/>
                <w:i w:val="0"/>
                <w:sz w:val="20"/>
              </w:rPr>
              <w:t>140,91</w:t>
            </w:r>
          </w:p>
        </w:tc>
        <w:tc>
          <w:tcPr>
            <w:tcW w:type="dxa" w:w="1425"/>
          </w:tcPr>
          <w:p>
            <w:pPr>
              <w:spacing w:after="0" w:line="240" w:lineRule="auto"/>
              <w:ind w:firstLine="0"/>
              <w:jc w:val="center"/>
            </w:pPr>
            <w:r>
              <w:rPr>
                <w:b w:val="0"/>
                <w:i w:val="0"/>
                <w:sz w:val="20"/>
              </w:rPr>
              <w:t>0,990</w:t>
            </w:r>
          </w:p>
        </w:tc>
        <w:tc>
          <w:tcPr>
            <w:tcW w:type="dxa" w:w="1425"/>
          </w:tcPr>
          <w:p>
            <w:pPr>
              <w:spacing w:after="0" w:line="240" w:lineRule="auto"/>
              <w:ind w:firstLine="0"/>
              <w:jc w:val="center"/>
            </w:pPr>
            <w:r>
              <w:rPr>
                <w:b w:val="0"/>
                <w:i w:val="0"/>
                <w:sz w:val="20"/>
              </w:rPr>
              <w:t>9,2</w:t>
            </w:r>
          </w:p>
        </w:tc>
        <w:tc>
          <w:tcPr>
            <w:tcW w:type="dxa" w:w="1425"/>
          </w:tcPr>
          <w:p>
            <w:pPr>
              <w:spacing w:after="0" w:line="240" w:lineRule="auto"/>
              <w:ind w:firstLine="0"/>
              <w:jc w:val="center"/>
            </w:pPr>
            <w:r>
              <w:rPr>
                <w:b w:val="0"/>
                <w:i w:val="0"/>
                <w:sz w:val="20"/>
              </w:rPr>
              <w:t>лёгкая</w:t>
            </w:r>
          </w:p>
        </w:tc>
      </w:tr>
      <w:tr>
        <w:tc>
          <w:tcPr>
            <w:tcW w:type="dxa" w:w="1425"/>
          </w:tcPr>
          <w:p>
            <w:pPr>
              <w:spacing w:after="0" w:line="240" w:lineRule="auto"/>
              <w:ind w:firstLine="0"/>
              <w:jc w:val="left"/>
            </w:pPr>
            <w:r>
              <w:rPr>
                <w:b w:val="0"/>
                <w:i w:val="0"/>
                <w:sz w:val="20"/>
              </w:rPr>
              <w:t>Неодим</w:t>
            </w:r>
          </w:p>
        </w:tc>
        <w:tc>
          <w:tcPr>
            <w:tcW w:type="dxa" w:w="1425"/>
          </w:tcPr>
          <w:p>
            <w:pPr>
              <w:spacing w:after="0" w:line="240" w:lineRule="auto"/>
              <w:ind w:firstLine="0"/>
              <w:jc w:val="center"/>
            </w:pPr>
            <w:r>
              <w:rPr>
                <w:b w:val="0"/>
                <w:i w:val="0"/>
                <w:sz w:val="20"/>
              </w:rPr>
              <w:t>Nd</w:t>
            </w:r>
          </w:p>
        </w:tc>
        <w:tc>
          <w:tcPr>
            <w:tcW w:type="dxa" w:w="1425"/>
          </w:tcPr>
          <w:p>
            <w:pPr>
              <w:spacing w:after="0" w:line="240" w:lineRule="auto"/>
              <w:ind w:firstLine="0"/>
              <w:jc w:val="center"/>
            </w:pPr>
            <w:r>
              <w:rPr>
                <w:b w:val="0"/>
                <w:i w:val="0"/>
                <w:sz w:val="20"/>
              </w:rPr>
              <w:t>60</w:t>
            </w:r>
          </w:p>
        </w:tc>
        <w:tc>
          <w:tcPr>
            <w:tcW w:type="dxa" w:w="1425"/>
          </w:tcPr>
          <w:p>
            <w:pPr>
              <w:spacing w:after="0" w:line="240" w:lineRule="auto"/>
              <w:ind w:firstLine="0"/>
              <w:jc w:val="center"/>
            </w:pPr>
            <w:r>
              <w:rPr>
                <w:b w:val="0"/>
                <w:i w:val="0"/>
                <w:sz w:val="20"/>
              </w:rPr>
              <w:t>144,24</w:t>
            </w:r>
          </w:p>
        </w:tc>
        <w:tc>
          <w:tcPr>
            <w:tcW w:type="dxa" w:w="1425"/>
          </w:tcPr>
          <w:p>
            <w:pPr>
              <w:spacing w:after="0" w:line="240" w:lineRule="auto"/>
              <w:ind w:firstLine="0"/>
              <w:jc w:val="center"/>
            </w:pPr>
            <w:r>
              <w:rPr>
                <w:b w:val="0"/>
                <w:i w:val="0"/>
                <w:sz w:val="20"/>
              </w:rPr>
              <w:t>0,983</w:t>
            </w:r>
          </w:p>
        </w:tc>
        <w:tc>
          <w:tcPr>
            <w:tcW w:type="dxa" w:w="1425"/>
          </w:tcPr>
          <w:p>
            <w:pPr>
              <w:spacing w:after="0" w:line="240" w:lineRule="auto"/>
              <w:ind w:firstLine="0"/>
              <w:jc w:val="center"/>
            </w:pPr>
            <w:r>
              <w:rPr>
                <w:b w:val="0"/>
                <w:i w:val="0"/>
                <w:sz w:val="20"/>
              </w:rPr>
              <w:t>41,5</w:t>
            </w:r>
          </w:p>
        </w:tc>
        <w:tc>
          <w:tcPr>
            <w:tcW w:type="dxa" w:w="1425"/>
          </w:tcPr>
          <w:p>
            <w:pPr>
              <w:spacing w:after="0" w:line="240" w:lineRule="auto"/>
              <w:ind w:firstLine="0"/>
              <w:jc w:val="center"/>
            </w:pPr>
            <w:r>
              <w:rPr>
                <w:b w:val="0"/>
                <w:i w:val="0"/>
                <w:sz w:val="20"/>
              </w:rPr>
              <w:t>лёгкая</w:t>
            </w:r>
          </w:p>
        </w:tc>
      </w:tr>
      <w:tr>
        <w:tc>
          <w:tcPr>
            <w:tcW w:type="dxa" w:w="1425"/>
          </w:tcPr>
          <w:p>
            <w:pPr>
              <w:spacing w:after="0" w:line="240" w:lineRule="auto"/>
              <w:ind w:firstLine="0"/>
              <w:jc w:val="left"/>
            </w:pPr>
            <w:r>
              <w:rPr>
                <w:b w:val="0"/>
                <w:i w:val="0"/>
                <w:sz w:val="20"/>
              </w:rPr>
              <w:t>Прометий</w:t>
            </w:r>
          </w:p>
        </w:tc>
        <w:tc>
          <w:tcPr>
            <w:tcW w:type="dxa" w:w="1425"/>
          </w:tcPr>
          <w:p>
            <w:pPr>
              <w:spacing w:after="0" w:line="240" w:lineRule="auto"/>
              <w:ind w:firstLine="0"/>
              <w:jc w:val="center"/>
            </w:pPr>
            <w:r>
              <w:rPr>
                <w:b w:val="0"/>
                <w:i w:val="0"/>
                <w:sz w:val="20"/>
              </w:rPr>
              <w:t>Pm</w:t>
            </w:r>
          </w:p>
        </w:tc>
        <w:tc>
          <w:tcPr>
            <w:tcW w:type="dxa" w:w="1425"/>
          </w:tcPr>
          <w:p>
            <w:pPr>
              <w:spacing w:after="0" w:line="240" w:lineRule="auto"/>
              <w:ind w:firstLine="0"/>
              <w:jc w:val="center"/>
            </w:pPr>
            <w:r>
              <w:rPr>
                <w:b w:val="0"/>
                <w:i w:val="0"/>
                <w:sz w:val="20"/>
              </w:rPr>
              <w:t>61</w:t>
            </w:r>
          </w:p>
        </w:tc>
        <w:tc>
          <w:tcPr>
            <w:tcW w:type="dxa" w:w="1425"/>
          </w:tcPr>
          <w:p>
            <w:pPr>
              <w:spacing w:after="0" w:line="240" w:lineRule="auto"/>
              <w:ind w:firstLine="0"/>
              <w:jc w:val="center"/>
            </w:pPr>
            <w:r>
              <w:rPr>
                <w:b w:val="0"/>
                <w:i w:val="0"/>
                <w:sz w:val="20"/>
              </w:rPr>
              <w:t>145</w:t>
            </w:r>
          </w:p>
        </w:tc>
        <w:tc>
          <w:tcPr>
            <w:tcW w:type="dxa" w:w="1425"/>
          </w:tcPr>
          <w:p>
            <w:pPr>
              <w:spacing w:after="0" w:line="240" w:lineRule="auto"/>
              <w:ind w:firstLine="0"/>
              <w:jc w:val="center"/>
            </w:pPr>
            <w:r>
              <w:rPr>
                <w:b w:val="0"/>
                <w:i w:val="0"/>
                <w:sz w:val="20"/>
              </w:rPr>
              <w:t>0,970</w:t>
            </w:r>
          </w:p>
        </w:tc>
        <w:tc>
          <w:tcPr>
            <w:tcW w:type="dxa" w:w="1425"/>
          </w:tcPr>
          <w:p>
            <w:pPr>
              <w:spacing w:after="0" w:line="240" w:lineRule="auto"/>
              <w:ind w:firstLine="0"/>
              <w:jc w:val="center"/>
            </w:pPr>
            <w:r>
              <w:rPr>
                <w:b w:val="0"/>
                <w:i w:val="0"/>
                <w:sz w:val="20"/>
              </w:rPr>
              <w:t>следы</w:t>
            </w:r>
          </w:p>
        </w:tc>
        <w:tc>
          <w:tcPr>
            <w:tcW w:type="dxa" w:w="1425"/>
          </w:tcPr>
          <w:p>
            <w:pPr>
              <w:spacing w:after="0" w:line="240" w:lineRule="auto"/>
              <w:ind w:firstLine="0"/>
              <w:jc w:val="center"/>
            </w:pPr>
            <w:r>
              <w:rPr>
                <w:b w:val="0"/>
                <w:i w:val="0"/>
                <w:sz w:val="20"/>
              </w:rPr>
              <w:t>—</w:t>
            </w:r>
          </w:p>
        </w:tc>
      </w:tr>
      <w:tr>
        <w:tc>
          <w:tcPr>
            <w:tcW w:type="dxa" w:w="1425"/>
          </w:tcPr>
          <w:p>
            <w:pPr>
              <w:spacing w:after="0" w:line="240" w:lineRule="auto"/>
              <w:ind w:firstLine="0"/>
              <w:jc w:val="left"/>
            </w:pPr>
            <w:r>
              <w:rPr>
                <w:b w:val="0"/>
                <w:i w:val="0"/>
                <w:sz w:val="20"/>
              </w:rPr>
              <w:t>Самарий</w:t>
            </w:r>
          </w:p>
        </w:tc>
        <w:tc>
          <w:tcPr>
            <w:tcW w:type="dxa" w:w="1425"/>
          </w:tcPr>
          <w:p>
            <w:pPr>
              <w:spacing w:after="0" w:line="240" w:lineRule="auto"/>
              <w:ind w:firstLine="0"/>
              <w:jc w:val="center"/>
            </w:pPr>
            <w:r>
              <w:rPr>
                <w:b w:val="0"/>
                <w:i w:val="0"/>
                <w:sz w:val="20"/>
              </w:rPr>
              <w:t>Sm</w:t>
            </w:r>
          </w:p>
        </w:tc>
        <w:tc>
          <w:tcPr>
            <w:tcW w:type="dxa" w:w="1425"/>
          </w:tcPr>
          <w:p>
            <w:pPr>
              <w:spacing w:after="0" w:line="240" w:lineRule="auto"/>
              <w:ind w:firstLine="0"/>
              <w:jc w:val="center"/>
            </w:pPr>
            <w:r>
              <w:rPr>
                <w:b w:val="0"/>
                <w:i w:val="0"/>
                <w:sz w:val="20"/>
              </w:rPr>
              <w:t>62</w:t>
            </w:r>
          </w:p>
        </w:tc>
        <w:tc>
          <w:tcPr>
            <w:tcW w:type="dxa" w:w="1425"/>
          </w:tcPr>
          <w:p>
            <w:pPr>
              <w:spacing w:after="0" w:line="240" w:lineRule="auto"/>
              <w:ind w:firstLine="0"/>
              <w:jc w:val="center"/>
            </w:pPr>
            <w:r>
              <w:rPr>
                <w:b w:val="0"/>
                <w:i w:val="0"/>
                <w:sz w:val="20"/>
              </w:rPr>
              <w:t>150,36</w:t>
            </w:r>
          </w:p>
        </w:tc>
        <w:tc>
          <w:tcPr>
            <w:tcW w:type="dxa" w:w="1425"/>
          </w:tcPr>
          <w:p>
            <w:pPr>
              <w:spacing w:after="0" w:line="240" w:lineRule="auto"/>
              <w:ind w:firstLine="0"/>
              <w:jc w:val="center"/>
            </w:pPr>
            <w:r>
              <w:rPr>
                <w:b w:val="0"/>
                <w:i w:val="0"/>
                <w:sz w:val="20"/>
              </w:rPr>
              <w:t>0,958</w:t>
            </w:r>
          </w:p>
        </w:tc>
        <w:tc>
          <w:tcPr>
            <w:tcW w:type="dxa" w:w="1425"/>
          </w:tcPr>
          <w:p>
            <w:pPr>
              <w:spacing w:after="0" w:line="240" w:lineRule="auto"/>
              <w:ind w:firstLine="0"/>
              <w:jc w:val="center"/>
            </w:pPr>
            <w:r>
              <w:rPr>
                <w:b w:val="0"/>
                <w:i w:val="0"/>
                <w:sz w:val="20"/>
              </w:rPr>
              <w:t>7,1</w:t>
            </w:r>
          </w:p>
        </w:tc>
        <w:tc>
          <w:tcPr>
            <w:tcW w:type="dxa" w:w="1425"/>
          </w:tcPr>
          <w:p>
            <w:pPr>
              <w:spacing w:after="0" w:line="240" w:lineRule="auto"/>
              <w:ind w:firstLine="0"/>
              <w:jc w:val="center"/>
            </w:pPr>
            <w:r>
              <w:rPr>
                <w:b w:val="0"/>
                <w:i w:val="0"/>
                <w:sz w:val="20"/>
              </w:rPr>
              <w:t>средняя</w:t>
            </w:r>
          </w:p>
        </w:tc>
      </w:tr>
      <w:tr>
        <w:tc>
          <w:tcPr>
            <w:tcW w:type="dxa" w:w="1425"/>
          </w:tcPr>
          <w:p>
            <w:pPr>
              <w:spacing w:after="0" w:line="240" w:lineRule="auto"/>
              <w:ind w:firstLine="0"/>
              <w:jc w:val="left"/>
            </w:pPr>
            <w:r>
              <w:rPr>
                <w:b w:val="0"/>
                <w:i w:val="0"/>
                <w:sz w:val="20"/>
              </w:rPr>
              <w:t>Европий</w:t>
            </w:r>
          </w:p>
        </w:tc>
        <w:tc>
          <w:tcPr>
            <w:tcW w:type="dxa" w:w="1425"/>
          </w:tcPr>
          <w:p>
            <w:pPr>
              <w:spacing w:after="0" w:line="240" w:lineRule="auto"/>
              <w:ind w:firstLine="0"/>
              <w:jc w:val="center"/>
            </w:pPr>
            <w:r>
              <w:rPr>
                <w:b w:val="0"/>
                <w:i w:val="0"/>
                <w:sz w:val="20"/>
              </w:rPr>
              <w:t>Eu</w:t>
            </w:r>
          </w:p>
        </w:tc>
        <w:tc>
          <w:tcPr>
            <w:tcW w:type="dxa" w:w="1425"/>
          </w:tcPr>
          <w:p>
            <w:pPr>
              <w:spacing w:after="0" w:line="240" w:lineRule="auto"/>
              <w:ind w:firstLine="0"/>
              <w:jc w:val="center"/>
            </w:pPr>
            <w:r>
              <w:rPr>
                <w:b w:val="0"/>
                <w:i w:val="0"/>
                <w:sz w:val="20"/>
              </w:rPr>
              <w:t>63</w:t>
            </w:r>
          </w:p>
        </w:tc>
        <w:tc>
          <w:tcPr>
            <w:tcW w:type="dxa" w:w="1425"/>
          </w:tcPr>
          <w:p>
            <w:pPr>
              <w:spacing w:after="0" w:line="240" w:lineRule="auto"/>
              <w:ind w:firstLine="0"/>
              <w:jc w:val="center"/>
            </w:pPr>
            <w:r>
              <w:rPr>
                <w:b w:val="0"/>
                <w:i w:val="0"/>
                <w:sz w:val="20"/>
              </w:rPr>
              <w:t>151,96</w:t>
            </w:r>
          </w:p>
        </w:tc>
        <w:tc>
          <w:tcPr>
            <w:tcW w:type="dxa" w:w="1425"/>
          </w:tcPr>
          <w:p>
            <w:pPr>
              <w:spacing w:after="0" w:line="240" w:lineRule="auto"/>
              <w:ind w:firstLine="0"/>
              <w:jc w:val="center"/>
            </w:pPr>
            <w:r>
              <w:rPr>
                <w:b w:val="0"/>
                <w:i w:val="0"/>
                <w:sz w:val="20"/>
              </w:rPr>
              <w:t>0,947</w:t>
            </w:r>
          </w:p>
        </w:tc>
        <w:tc>
          <w:tcPr>
            <w:tcW w:type="dxa" w:w="1425"/>
          </w:tcPr>
          <w:p>
            <w:pPr>
              <w:spacing w:after="0" w:line="240" w:lineRule="auto"/>
              <w:ind w:firstLine="0"/>
              <w:jc w:val="center"/>
            </w:pPr>
            <w:r>
              <w:rPr>
                <w:b w:val="0"/>
                <w:i w:val="0"/>
                <w:sz w:val="20"/>
              </w:rPr>
              <w:t>2,0</w:t>
            </w:r>
          </w:p>
        </w:tc>
        <w:tc>
          <w:tcPr>
            <w:tcW w:type="dxa" w:w="1425"/>
          </w:tcPr>
          <w:p>
            <w:pPr>
              <w:spacing w:after="0" w:line="240" w:lineRule="auto"/>
              <w:ind w:firstLine="0"/>
              <w:jc w:val="center"/>
            </w:pPr>
            <w:r>
              <w:rPr>
                <w:b w:val="0"/>
                <w:i w:val="0"/>
                <w:sz w:val="20"/>
              </w:rPr>
              <w:t>средняя</w:t>
            </w:r>
          </w:p>
        </w:tc>
      </w:tr>
      <w:tr>
        <w:tc>
          <w:tcPr>
            <w:tcW w:type="dxa" w:w="1425"/>
          </w:tcPr>
          <w:p>
            <w:pPr>
              <w:spacing w:after="0" w:line="240" w:lineRule="auto"/>
              <w:ind w:firstLine="0"/>
              <w:jc w:val="left"/>
            </w:pPr>
            <w:r>
              <w:rPr>
                <w:b w:val="0"/>
                <w:i w:val="0"/>
                <w:sz w:val="20"/>
              </w:rPr>
              <w:t>Гадолиний</w:t>
            </w:r>
          </w:p>
        </w:tc>
        <w:tc>
          <w:tcPr>
            <w:tcW w:type="dxa" w:w="1425"/>
          </w:tcPr>
          <w:p>
            <w:pPr>
              <w:spacing w:after="0" w:line="240" w:lineRule="auto"/>
              <w:ind w:firstLine="0"/>
              <w:jc w:val="center"/>
            </w:pPr>
            <w:r>
              <w:rPr>
                <w:b w:val="0"/>
                <w:i w:val="0"/>
                <w:sz w:val="20"/>
              </w:rPr>
              <w:t>Gd</w:t>
            </w:r>
          </w:p>
        </w:tc>
        <w:tc>
          <w:tcPr>
            <w:tcW w:type="dxa" w:w="1425"/>
          </w:tcPr>
          <w:p>
            <w:pPr>
              <w:spacing w:after="0" w:line="240" w:lineRule="auto"/>
              <w:ind w:firstLine="0"/>
              <w:jc w:val="center"/>
            </w:pPr>
            <w:r>
              <w:rPr>
                <w:b w:val="0"/>
                <w:i w:val="0"/>
                <w:sz w:val="20"/>
              </w:rPr>
              <w:t>64</w:t>
            </w:r>
          </w:p>
        </w:tc>
        <w:tc>
          <w:tcPr>
            <w:tcW w:type="dxa" w:w="1425"/>
          </w:tcPr>
          <w:p>
            <w:pPr>
              <w:spacing w:after="0" w:line="240" w:lineRule="auto"/>
              <w:ind w:firstLine="0"/>
              <w:jc w:val="center"/>
            </w:pPr>
            <w:r>
              <w:rPr>
                <w:b w:val="0"/>
                <w:i w:val="0"/>
                <w:sz w:val="20"/>
              </w:rPr>
              <w:t>157,25</w:t>
            </w:r>
          </w:p>
        </w:tc>
        <w:tc>
          <w:tcPr>
            <w:tcW w:type="dxa" w:w="1425"/>
          </w:tcPr>
          <w:p>
            <w:pPr>
              <w:spacing w:after="0" w:line="240" w:lineRule="auto"/>
              <w:ind w:firstLine="0"/>
              <w:jc w:val="center"/>
            </w:pPr>
            <w:r>
              <w:rPr>
                <w:b w:val="0"/>
                <w:i w:val="0"/>
                <w:sz w:val="20"/>
              </w:rPr>
              <w:t>0,938</w:t>
            </w:r>
          </w:p>
        </w:tc>
        <w:tc>
          <w:tcPr>
            <w:tcW w:type="dxa" w:w="1425"/>
          </w:tcPr>
          <w:p>
            <w:pPr>
              <w:spacing w:after="0" w:line="240" w:lineRule="auto"/>
              <w:ind w:firstLine="0"/>
              <w:jc w:val="center"/>
            </w:pPr>
            <w:r>
              <w:rPr>
                <w:b w:val="0"/>
                <w:i w:val="0"/>
                <w:sz w:val="20"/>
              </w:rPr>
              <w:t>6,2</w:t>
            </w:r>
          </w:p>
        </w:tc>
        <w:tc>
          <w:tcPr>
            <w:tcW w:type="dxa" w:w="1425"/>
          </w:tcPr>
          <w:p>
            <w:pPr>
              <w:spacing w:after="0" w:line="240" w:lineRule="auto"/>
              <w:ind w:firstLine="0"/>
              <w:jc w:val="center"/>
            </w:pPr>
            <w:r>
              <w:rPr>
                <w:b w:val="0"/>
                <w:i w:val="0"/>
                <w:sz w:val="20"/>
              </w:rPr>
              <w:t>средняя</w:t>
            </w:r>
          </w:p>
        </w:tc>
      </w:tr>
      <w:tr>
        <w:tc>
          <w:tcPr>
            <w:tcW w:type="dxa" w:w="1425"/>
          </w:tcPr>
          <w:p>
            <w:pPr>
              <w:spacing w:after="0" w:line="240" w:lineRule="auto"/>
              <w:ind w:firstLine="0"/>
              <w:jc w:val="left"/>
            </w:pPr>
            <w:r>
              <w:rPr>
                <w:b w:val="0"/>
                <w:i w:val="0"/>
                <w:sz w:val="20"/>
              </w:rPr>
              <w:t>Тербий</w:t>
            </w:r>
          </w:p>
        </w:tc>
        <w:tc>
          <w:tcPr>
            <w:tcW w:type="dxa" w:w="1425"/>
          </w:tcPr>
          <w:p>
            <w:pPr>
              <w:spacing w:after="0" w:line="240" w:lineRule="auto"/>
              <w:ind w:firstLine="0"/>
              <w:jc w:val="center"/>
            </w:pPr>
            <w:r>
              <w:rPr>
                <w:b w:val="0"/>
                <w:i w:val="0"/>
                <w:sz w:val="20"/>
              </w:rPr>
              <w:t>Tb</w:t>
            </w:r>
          </w:p>
        </w:tc>
        <w:tc>
          <w:tcPr>
            <w:tcW w:type="dxa" w:w="1425"/>
          </w:tcPr>
          <w:p>
            <w:pPr>
              <w:spacing w:after="0" w:line="240" w:lineRule="auto"/>
              <w:ind w:firstLine="0"/>
              <w:jc w:val="center"/>
            </w:pPr>
            <w:r>
              <w:rPr>
                <w:b w:val="0"/>
                <w:i w:val="0"/>
                <w:sz w:val="20"/>
              </w:rPr>
              <w:t>65</w:t>
            </w:r>
          </w:p>
        </w:tc>
        <w:tc>
          <w:tcPr>
            <w:tcW w:type="dxa" w:w="1425"/>
          </w:tcPr>
          <w:p>
            <w:pPr>
              <w:spacing w:after="0" w:line="240" w:lineRule="auto"/>
              <w:ind w:firstLine="0"/>
              <w:jc w:val="center"/>
            </w:pPr>
            <w:r>
              <w:rPr>
                <w:b w:val="0"/>
                <w:i w:val="0"/>
                <w:sz w:val="20"/>
              </w:rPr>
              <w:t>158,93</w:t>
            </w:r>
          </w:p>
        </w:tc>
        <w:tc>
          <w:tcPr>
            <w:tcW w:type="dxa" w:w="1425"/>
          </w:tcPr>
          <w:p>
            <w:pPr>
              <w:spacing w:after="0" w:line="240" w:lineRule="auto"/>
              <w:ind w:firstLine="0"/>
              <w:jc w:val="center"/>
            </w:pPr>
            <w:r>
              <w:rPr>
                <w:b w:val="0"/>
                <w:i w:val="0"/>
                <w:sz w:val="20"/>
              </w:rPr>
              <w:t>0,923</w:t>
            </w:r>
          </w:p>
        </w:tc>
        <w:tc>
          <w:tcPr>
            <w:tcW w:type="dxa" w:w="1425"/>
          </w:tcPr>
          <w:p>
            <w:pPr>
              <w:spacing w:after="0" w:line="240" w:lineRule="auto"/>
              <w:ind w:firstLine="0"/>
              <w:jc w:val="center"/>
            </w:pPr>
            <w:r>
              <w:rPr>
                <w:b w:val="0"/>
                <w:i w:val="0"/>
                <w:sz w:val="20"/>
              </w:rPr>
              <w:t>1,2</w:t>
            </w:r>
          </w:p>
        </w:tc>
        <w:tc>
          <w:tcPr>
            <w:tcW w:type="dxa" w:w="1425"/>
          </w:tcPr>
          <w:p>
            <w:pPr>
              <w:spacing w:after="0" w:line="240" w:lineRule="auto"/>
              <w:ind w:firstLine="0"/>
              <w:jc w:val="center"/>
            </w:pPr>
            <w:r>
              <w:rPr>
                <w:b w:val="0"/>
                <w:i w:val="0"/>
                <w:sz w:val="20"/>
              </w:rPr>
              <w:t>тяжёлая</w:t>
            </w:r>
          </w:p>
        </w:tc>
      </w:tr>
      <w:tr>
        <w:tc>
          <w:tcPr>
            <w:tcW w:type="dxa" w:w="1425"/>
          </w:tcPr>
          <w:p>
            <w:pPr>
              <w:spacing w:after="0" w:line="240" w:lineRule="auto"/>
              <w:ind w:firstLine="0"/>
              <w:jc w:val="left"/>
            </w:pPr>
            <w:r>
              <w:rPr>
                <w:b w:val="0"/>
                <w:i w:val="0"/>
                <w:sz w:val="20"/>
              </w:rPr>
              <w:t>Диспрозий</w:t>
            </w:r>
          </w:p>
        </w:tc>
        <w:tc>
          <w:tcPr>
            <w:tcW w:type="dxa" w:w="1425"/>
          </w:tcPr>
          <w:p>
            <w:pPr>
              <w:spacing w:after="0" w:line="240" w:lineRule="auto"/>
              <w:ind w:firstLine="0"/>
              <w:jc w:val="center"/>
            </w:pPr>
            <w:r>
              <w:rPr>
                <w:b w:val="0"/>
                <w:i w:val="0"/>
                <w:sz w:val="20"/>
              </w:rPr>
              <w:t>Dy</w:t>
            </w:r>
          </w:p>
        </w:tc>
        <w:tc>
          <w:tcPr>
            <w:tcW w:type="dxa" w:w="1425"/>
          </w:tcPr>
          <w:p>
            <w:pPr>
              <w:spacing w:after="0" w:line="240" w:lineRule="auto"/>
              <w:ind w:firstLine="0"/>
              <w:jc w:val="center"/>
            </w:pPr>
            <w:r>
              <w:rPr>
                <w:b w:val="0"/>
                <w:i w:val="0"/>
                <w:sz w:val="20"/>
              </w:rPr>
              <w:t>66</w:t>
            </w:r>
          </w:p>
        </w:tc>
        <w:tc>
          <w:tcPr>
            <w:tcW w:type="dxa" w:w="1425"/>
          </w:tcPr>
          <w:p>
            <w:pPr>
              <w:spacing w:after="0" w:line="240" w:lineRule="auto"/>
              <w:ind w:firstLine="0"/>
              <w:jc w:val="center"/>
            </w:pPr>
            <w:r>
              <w:rPr>
                <w:b w:val="0"/>
                <w:i w:val="0"/>
                <w:sz w:val="20"/>
              </w:rPr>
              <w:t>162,50</w:t>
            </w:r>
          </w:p>
        </w:tc>
        <w:tc>
          <w:tcPr>
            <w:tcW w:type="dxa" w:w="1425"/>
          </w:tcPr>
          <w:p>
            <w:pPr>
              <w:spacing w:after="0" w:line="240" w:lineRule="auto"/>
              <w:ind w:firstLine="0"/>
              <w:jc w:val="center"/>
            </w:pPr>
            <w:r>
              <w:rPr>
                <w:b w:val="0"/>
                <w:i w:val="0"/>
                <w:sz w:val="20"/>
              </w:rPr>
              <w:t>0,912</w:t>
            </w:r>
          </w:p>
        </w:tc>
        <w:tc>
          <w:tcPr>
            <w:tcW w:type="dxa" w:w="1425"/>
          </w:tcPr>
          <w:p>
            <w:pPr>
              <w:spacing w:after="0" w:line="240" w:lineRule="auto"/>
              <w:ind w:firstLine="0"/>
              <w:jc w:val="center"/>
            </w:pPr>
            <w:r>
              <w:rPr>
                <w:b w:val="0"/>
                <w:i w:val="0"/>
                <w:sz w:val="20"/>
              </w:rPr>
              <w:t>5,2</w:t>
            </w:r>
          </w:p>
        </w:tc>
        <w:tc>
          <w:tcPr>
            <w:tcW w:type="dxa" w:w="1425"/>
          </w:tcPr>
          <w:p>
            <w:pPr>
              <w:spacing w:after="0" w:line="240" w:lineRule="auto"/>
              <w:ind w:firstLine="0"/>
              <w:jc w:val="center"/>
            </w:pPr>
            <w:r>
              <w:rPr>
                <w:b w:val="0"/>
                <w:i w:val="0"/>
                <w:sz w:val="20"/>
              </w:rPr>
              <w:t>тяжёлая</w:t>
            </w:r>
          </w:p>
        </w:tc>
      </w:tr>
      <w:tr>
        <w:tc>
          <w:tcPr>
            <w:tcW w:type="dxa" w:w="1425"/>
          </w:tcPr>
          <w:p>
            <w:pPr>
              <w:spacing w:after="0" w:line="240" w:lineRule="auto"/>
              <w:ind w:firstLine="0"/>
              <w:jc w:val="left"/>
            </w:pPr>
            <w:r>
              <w:rPr>
                <w:b w:val="0"/>
                <w:i w:val="0"/>
                <w:sz w:val="20"/>
              </w:rPr>
              <w:t>Гольмий</w:t>
            </w:r>
          </w:p>
        </w:tc>
        <w:tc>
          <w:tcPr>
            <w:tcW w:type="dxa" w:w="1425"/>
          </w:tcPr>
          <w:p>
            <w:pPr>
              <w:spacing w:after="0" w:line="240" w:lineRule="auto"/>
              <w:ind w:firstLine="0"/>
              <w:jc w:val="center"/>
            </w:pPr>
            <w:r>
              <w:rPr>
                <w:b w:val="0"/>
                <w:i w:val="0"/>
                <w:sz w:val="20"/>
              </w:rPr>
              <w:t>Ho</w:t>
            </w:r>
          </w:p>
        </w:tc>
        <w:tc>
          <w:tcPr>
            <w:tcW w:type="dxa" w:w="1425"/>
          </w:tcPr>
          <w:p>
            <w:pPr>
              <w:spacing w:after="0" w:line="240" w:lineRule="auto"/>
              <w:ind w:firstLine="0"/>
              <w:jc w:val="center"/>
            </w:pPr>
            <w:r>
              <w:rPr>
                <w:b w:val="0"/>
                <w:i w:val="0"/>
                <w:sz w:val="20"/>
              </w:rPr>
              <w:t>67</w:t>
            </w:r>
          </w:p>
        </w:tc>
        <w:tc>
          <w:tcPr>
            <w:tcW w:type="dxa" w:w="1425"/>
          </w:tcPr>
          <w:p>
            <w:pPr>
              <w:spacing w:after="0" w:line="240" w:lineRule="auto"/>
              <w:ind w:firstLine="0"/>
              <w:jc w:val="center"/>
            </w:pPr>
            <w:r>
              <w:rPr>
                <w:b w:val="0"/>
                <w:i w:val="0"/>
                <w:sz w:val="20"/>
              </w:rPr>
              <w:t>164,93</w:t>
            </w:r>
          </w:p>
        </w:tc>
        <w:tc>
          <w:tcPr>
            <w:tcW w:type="dxa" w:w="1425"/>
          </w:tcPr>
          <w:p>
            <w:pPr>
              <w:spacing w:after="0" w:line="240" w:lineRule="auto"/>
              <w:ind w:firstLine="0"/>
              <w:jc w:val="center"/>
            </w:pPr>
            <w:r>
              <w:rPr>
                <w:b w:val="0"/>
                <w:i w:val="0"/>
                <w:sz w:val="20"/>
              </w:rPr>
              <w:t>0,901</w:t>
            </w:r>
          </w:p>
        </w:tc>
        <w:tc>
          <w:tcPr>
            <w:tcW w:type="dxa" w:w="1425"/>
          </w:tcPr>
          <w:p>
            <w:pPr>
              <w:spacing w:after="0" w:line="240" w:lineRule="auto"/>
              <w:ind w:firstLine="0"/>
              <w:jc w:val="center"/>
            </w:pPr>
            <w:r>
              <w:rPr>
                <w:b w:val="0"/>
                <w:i w:val="0"/>
                <w:sz w:val="20"/>
              </w:rPr>
              <w:t>1,3</w:t>
            </w:r>
          </w:p>
        </w:tc>
        <w:tc>
          <w:tcPr>
            <w:tcW w:type="dxa" w:w="1425"/>
          </w:tcPr>
          <w:p>
            <w:pPr>
              <w:spacing w:after="0" w:line="240" w:lineRule="auto"/>
              <w:ind w:firstLine="0"/>
              <w:jc w:val="center"/>
            </w:pPr>
            <w:r>
              <w:rPr>
                <w:b w:val="0"/>
                <w:i w:val="0"/>
                <w:sz w:val="20"/>
              </w:rPr>
              <w:t>тяжёлая</w:t>
            </w:r>
          </w:p>
        </w:tc>
      </w:tr>
      <w:tr>
        <w:tc>
          <w:tcPr>
            <w:tcW w:type="dxa" w:w="1425"/>
          </w:tcPr>
          <w:p>
            <w:pPr>
              <w:spacing w:after="0" w:line="240" w:lineRule="auto"/>
              <w:ind w:firstLine="0"/>
              <w:jc w:val="left"/>
            </w:pPr>
            <w:r>
              <w:rPr>
                <w:b w:val="0"/>
                <w:i w:val="0"/>
                <w:sz w:val="20"/>
              </w:rPr>
              <w:t>Эрбий</w:t>
            </w:r>
          </w:p>
        </w:tc>
        <w:tc>
          <w:tcPr>
            <w:tcW w:type="dxa" w:w="1425"/>
          </w:tcPr>
          <w:p>
            <w:pPr>
              <w:spacing w:after="0" w:line="240" w:lineRule="auto"/>
              <w:ind w:firstLine="0"/>
              <w:jc w:val="center"/>
            </w:pPr>
            <w:r>
              <w:rPr>
                <w:b w:val="0"/>
                <w:i w:val="0"/>
                <w:sz w:val="20"/>
              </w:rPr>
              <w:t>Er</w:t>
            </w:r>
          </w:p>
        </w:tc>
        <w:tc>
          <w:tcPr>
            <w:tcW w:type="dxa" w:w="1425"/>
          </w:tcPr>
          <w:p>
            <w:pPr>
              <w:spacing w:after="0" w:line="240" w:lineRule="auto"/>
              <w:ind w:firstLine="0"/>
              <w:jc w:val="center"/>
            </w:pPr>
            <w:r>
              <w:rPr>
                <w:b w:val="0"/>
                <w:i w:val="0"/>
                <w:sz w:val="20"/>
              </w:rPr>
              <w:t>68</w:t>
            </w:r>
          </w:p>
        </w:tc>
        <w:tc>
          <w:tcPr>
            <w:tcW w:type="dxa" w:w="1425"/>
          </w:tcPr>
          <w:p>
            <w:pPr>
              <w:spacing w:after="0" w:line="240" w:lineRule="auto"/>
              <w:ind w:firstLine="0"/>
              <w:jc w:val="center"/>
            </w:pPr>
            <w:r>
              <w:rPr>
                <w:b w:val="0"/>
                <w:i w:val="0"/>
                <w:sz w:val="20"/>
              </w:rPr>
              <w:t>167,26</w:t>
            </w:r>
          </w:p>
        </w:tc>
        <w:tc>
          <w:tcPr>
            <w:tcW w:type="dxa" w:w="1425"/>
          </w:tcPr>
          <w:p>
            <w:pPr>
              <w:spacing w:after="0" w:line="240" w:lineRule="auto"/>
              <w:ind w:firstLine="0"/>
              <w:jc w:val="center"/>
            </w:pPr>
            <w:r>
              <w:rPr>
                <w:b w:val="0"/>
                <w:i w:val="0"/>
                <w:sz w:val="20"/>
              </w:rPr>
              <w:t>0,890</w:t>
            </w:r>
          </w:p>
        </w:tc>
        <w:tc>
          <w:tcPr>
            <w:tcW w:type="dxa" w:w="1425"/>
          </w:tcPr>
          <w:p>
            <w:pPr>
              <w:spacing w:after="0" w:line="240" w:lineRule="auto"/>
              <w:ind w:firstLine="0"/>
              <w:jc w:val="center"/>
            </w:pPr>
            <w:r>
              <w:rPr>
                <w:b w:val="0"/>
                <w:i w:val="0"/>
                <w:sz w:val="20"/>
              </w:rPr>
              <w:t>3,5</w:t>
            </w:r>
          </w:p>
        </w:tc>
        <w:tc>
          <w:tcPr>
            <w:tcW w:type="dxa" w:w="1425"/>
          </w:tcPr>
          <w:p>
            <w:pPr>
              <w:spacing w:after="0" w:line="240" w:lineRule="auto"/>
              <w:ind w:firstLine="0"/>
              <w:jc w:val="center"/>
            </w:pPr>
            <w:r>
              <w:rPr>
                <w:b w:val="0"/>
                <w:i w:val="0"/>
                <w:sz w:val="20"/>
              </w:rPr>
              <w:t>тяжёлая</w:t>
            </w:r>
          </w:p>
        </w:tc>
      </w:tr>
      <w:tr>
        <w:tc>
          <w:tcPr>
            <w:tcW w:type="dxa" w:w="1425"/>
          </w:tcPr>
          <w:p>
            <w:pPr>
              <w:spacing w:after="0" w:line="240" w:lineRule="auto"/>
              <w:ind w:firstLine="0"/>
              <w:jc w:val="left"/>
            </w:pPr>
            <w:r>
              <w:rPr>
                <w:b w:val="0"/>
                <w:i w:val="0"/>
                <w:sz w:val="20"/>
              </w:rPr>
              <w:t>Тулий</w:t>
            </w:r>
          </w:p>
        </w:tc>
        <w:tc>
          <w:tcPr>
            <w:tcW w:type="dxa" w:w="1425"/>
          </w:tcPr>
          <w:p>
            <w:pPr>
              <w:spacing w:after="0" w:line="240" w:lineRule="auto"/>
              <w:ind w:firstLine="0"/>
              <w:jc w:val="center"/>
            </w:pPr>
            <w:r>
              <w:rPr>
                <w:b w:val="0"/>
                <w:i w:val="0"/>
                <w:sz w:val="20"/>
              </w:rPr>
              <w:t>Tm</w:t>
            </w:r>
          </w:p>
        </w:tc>
        <w:tc>
          <w:tcPr>
            <w:tcW w:type="dxa" w:w="1425"/>
          </w:tcPr>
          <w:p>
            <w:pPr>
              <w:spacing w:after="0" w:line="240" w:lineRule="auto"/>
              <w:ind w:firstLine="0"/>
              <w:jc w:val="center"/>
            </w:pPr>
            <w:r>
              <w:rPr>
                <w:b w:val="0"/>
                <w:i w:val="0"/>
                <w:sz w:val="20"/>
              </w:rPr>
              <w:t>69</w:t>
            </w:r>
          </w:p>
        </w:tc>
        <w:tc>
          <w:tcPr>
            <w:tcW w:type="dxa" w:w="1425"/>
          </w:tcPr>
          <w:p>
            <w:pPr>
              <w:spacing w:after="0" w:line="240" w:lineRule="auto"/>
              <w:ind w:firstLine="0"/>
              <w:jc w:val="center"/>
            </w:pPr>
            <w:r>
              <w:rPr>
                <w:b w:val="0"/>
                <w:i w:val="0"/>
                <w:sz w:val="20"/>
              </w:rPr>
              <w:t>168,93</w:t>
            </w:r>
          </w:p>
        </w:tc>
        <w:tc>
          <w:tcPr>
            <w:tcW w:type="dxa" w:w="1425"/>
          </w:tcPr>
          <w:p>
            <w:pPr>
              <w:spacing w:after="0" w:line="240" w:lineRule="auto"/>
              <w:ind w:firstLine="0"/>
              <w:jc w:val="center"/>
            </w:pPr>
            <w:r>
              <w:rPr>
                <w:b w:val="0"/>
                <w:i w:val="0"/>
                <w:sz w:val="20"/>
              </w:rPr>
              <w:t>0,880</w:t>
            </w:r>
          </w:p>
        </w:tc>
        <w:tc>
          <w:tcPr>
            <w:tcW w:type="dxa" w:w="1425"/>
          </w:tcPr>
          <w:p>
            <w:pPr>
              <w:spacing w:after="0" w:line="240" w:lineRule="auto"/>
              <w:ind w:firstLine="0"/>
              <w:jc w:val="center"/>
            </w:pPr>
            <w:r>
              <w:rPr>
                <w:b w:val="0"/>
                <w:i w:val="0"/>
                <w:sz w:val="20"/>
              </w:rPr>
              <w:t>0,5</w:t>
            </w:r>
          </w:p>
        </w:tc>
        <w:tc>
          <w:tcPr>
            <w:tcW w:type="dxa" w:w="1425"/>
          </w:tcPr>
          <w:p>
            <w:pPr>
              <w:spacing w:after="0" w:line="240" w:lineRule="auto"/>
              <w:ind w:firstLine="0"/>
              <w:jc w:val="center"/>
            </w:pPr>
            <w:r>
              <w:rPr>
                <w:b w:val="0"/>
                <w:i w:val="0"/>
                <w:sz w:val="20"/>
              </w:rPr>
              <w:t>тяжёлая</w:t>
            </w:r>
          </w:p>
        </w:tc>
      </w:tr>
      <w:tr>
        <w:tc>
          <w:tcPr>
            <w:tcW w:type="dxa" w:w="1425"/>
          </w:tcPr>
          <w:p>
            <w:pPr>
              <w:spacing w:after="0" w:line="240" w:lineRule="auto"/>
              <w:ind w:firstLine="0"/>
              <w:jc w:val="left"/>
            </w:pPr>
            <w:r>
              <w:rPr>
                <w:b w:val="0"/>
                <w:i w:val="0"/>
                <w:sz w:val="20"/>
              </w:rPr>
              <w:t>Иттербий</w:t>
            </w:r>
          </w:p>
        </w:tc>
        <w:tc>
          <w:tcPr>
            <w:tcW w:type="dxa" w:w="1425"/>
          </w:tcPr>
          <w:p>
            <w:pPr>
              <w:spacing w:after="0" w:line="240" w:lineRule="auto"/>
              <w:ind w:firstLine="0"/>
              <w:jc w:val="center"/>
            </w:pPr>
            <w:r>
              <w:rPr>
                <w:b w:val="0"/>
                <w:i w:val="0"/>
                <w:sz w:val="20"/>
              </w:rPr>
              <w:t>Yb</w:t>
            </w:r>
          </w:p>
        </w:tc>
        <w:tc>
          <w:tcPr>
            <w:tcW w:type="dxa" w:w="1425"/>
          </w:tcPr>
          <w:p>
            <w:pPr>
              <w:spacing w:after="0" w:line="240" w:lineRule="auto"/>
              <w:ind w:firstLine="0"/>
              <w:jc w:val="center"/>
            </w:pPr>
            <w:r>
              <w:rPr>
                <w:b w:val="0"/>
                <w:i w:val="0"/>
                <w:sz w:val="20"/>
              </w:rPr>
              <w:t>70</w:t>
            </w:r>
          </w:p>
        </w:tc>
        <w:tc>
          <w:tcPr>
            <w:tcW w:type="dxa" w:w="1425"/>
          </w:tcPr>
          <w:p>
            <w:pPr>
              <w:spacing w:after="0" w:line="240" w:lineRule="auto"/>
              <w:ind w:firstLine="0"/>
              <w:jc w:val="center"/>
            </w:pPr>
            <w:r>
              <w:rPr>
                <w:b w:val="0"/>
                <w:i w:val="0"/>
                <w:sz w:val="20"/>
              </w:rPr>
              <w:t>173,05</w:t>
            </w:r>
          </w:p>
        </w:tc>
        <w:tc>
          <w:tcPr>
            <w:tcW w:type="dxa" w:w="1425"/>
          </w:tcPr>
          <w:p>
            <w:pPr>
              <w:spacing w:after="0" w:line="240" w:lineRule="auto"/>
              <w:ind w:firstLine="0"/>
              <w:jc w:val="center"/>
            </w:pPr>
            <w:r>
              <w:rPr>
                <w:b w:val="0"/>
                <w:i w:val="0"/>
                <w:sz w:val="20"/>
              </w:rPr>
              <w:t>0,868</w:t>
            </w:r>
          </w:p>
        </w:tc>
        <w:tc>
          <w:tcPr>
            <w:tcW w:type="dxa" w:w="1425"/>
          </w:tcPr>
          <w:p>
            <w:pPr>
              <w:spacing w:after="0" w:line="240" w:lineRule="auto"/>
              <w:ind w:firstLine="0"/>
              <w:jc w:val="center"/>
            </w:pPr>
            <w:r>
              <w:rPr>
                <w:b w:val="0"/>
                <w:i w:val="0"/>
                <w:sz w:val="20"/>
              </w:rPr>
              <w:t>3,2</w:t>
            </w:r>
          </w:p>
        </w:tc>
        <w:tc>
          <w:tcPr>
            <w:tcW w:type="dxa" w:w="1425"/>
          </w:tcPr>
          <w:p>
            <w:pPr>
              <w:spacing w:after="0" w:line="240" w:lineRule="auto"/>
              <w:ind w:firstLine="0"/>
              <w:jc w:val="center"/>
            </w:pPr>
            <w:r>
              <w:rPr>
                <w:b w:val="0"/>
                <w:i w:val="0"/>
                <w:sz w:val="20"/>
              </w:rPr>
              <w:t>тяжёлая</w:t>
            </w:r>
          </w:p>
        </w:tc>
      </w:tr>
      <w:tr>
        <w:tc>
          <w:tcPr>
            <w:tcW w:type="dxa" w:w="1425"/>
          </w:tcPr>
          <w:p>
            <w:pPr>
              <w:spacing w:after="0" w:line="240" w:lineRule="auto"/>
              <w:ind w:firstLine="0"/>
              <w:jc w:val="left"/>
            </w:pPr>
            <w:r>
              <w:rPr>
                <w:b w:val="0"/>
                <w:i w:val="0"/>
                <w:sz w:val="20"/>
              </w:rPr>
              <w:t>Лютеций</w:t>
            </w:r>
          </w:p>
        </w:tc>
        <w:tc>
          <w:tcPr>
            <w:tcW w:type="dxa" w:w="1425"/>
          </w:tcPr>
          <w:p>
            <w:pPr>
              <w:spacing w:after="0" w:line="240" w:lineRule="auto"/>
              <w:ind w:firstLine="0"/>
              <w:jc w:val="center"/>
            </w:pPr>
            <w:r>
              <w:rPr>
                <w:b w:val="0"/>
                <w:i w:val="0"/>
                <w:sz w:val="20"/>
              </w:rPr>
              <w:t>Lu</w:t>
            </w:r>
          </w:p>
        </w:tc>
        <w:tc>
          <w:tcPr>
            <w:tcW w:type="dxa" w:w="1425"/>
          </w:tcPr>
          <w:p>
            <w:pPr>
              <w:spacing w:after="0" w:line="240" w:lineRule="auto"/>
              <w:ind w:firstLine="0"/>
              <w:jc w:val="center"/>
            </w:pPr>
            <w:r>
              <w:rPr>
                <w:b w:val="0"/>
                <w:i w:val="0"/>
                <w:sz w:val="20"/>
              </w:rPr>
              <w:t>71</w:t>
            </w:r>
          </w:p>
        </w:tc>
        <w:tc>
          <w:tcPr>
            <w:tcW w:type="dxa" w:w="1425"/>
          </w:tcPr>
          <w:p>
            <w:pPr>
              <w:spacing w:after="0" w:line="240" w:lineRule="auto"/>
              <w:ind w:firstLine="0"/>
              <w:jc w:val="center"/>
            </w:pPr>
            <w:r>
              <w:rPr>
                <w:b w:val="0"/>
                <w:i w:val="0"/>
                <w:sz w:val="20"/>
              </w:rPr>
              <w:t>174,97</w:t>
            </w:r>
          </w:p>
        </w:tc>
        <w:tc>
          <w:tcPr>
            <w:tcW w:type="dxa" w:w="1425"/>
          </w:tcPr>
          <w:p>
            <w:pPr>
              <w:spacing w:after="0" w:line="240" w:lineRule="auto"/>
              <w:ind w:firstLine="0"/>
              <w:jc w:val="center"/>
            </w:pPr>
            <w:r>
              <w:rPr>
                <w:b w:val="0"/>
                <w:i w:val="0"/>
                <w:sz w:val="20"/>
              </w:rPr>
              <w:t>0,861</w:t>
            </w:r>
          </w:p>
        </w:tc>
        <w:tc>
          <w:tcPr>
            <w:tcW w:type="dxa" w:w="1425"/>
          </w:tcPr>
          <w:p>
            <w:pPr>
              <w:spacing w:after="0" w:line="240" w:lineRule="auto"/>
              <w:ind w:firstLine="0"/>
              <w:jc w:val="center"/>
            </w:pPr>
            <w:r>
              <w:rPr>
                <w:b w:val="0"/>
                <w:i w:val="0"/>
                <w:sz w:val="20"/>
              </w:rPr>
              <w:t>0,8</w:t>
            </w:r>
          </w:p>
        </w:tc>
        <w:tc>
          <w:tcPr>
            <w:tcW w:type="dxa" w:w="1425"/>
          </w:tcPr>
          <w:p>
            <w:pPr>
              <w:spacing w:after="0" w:line="240" w:lineRule="auto"/>
              <w:ind w:firstLine="0"/>
              <w:jc w:val="center"/>
            </w:pPr>
            <w:r>
              <w:rPr>
                <w:b w:val="0"/>
                <w:i w:val="0"/>
                <w:sz w:val="20"/>
              </w:rPr>
              <w:t>тяжёлая</w:t>
            </w:r>
          </w:p>
        </w:tc>
      </w:tr>
    </w:tbl>
    <w:p>
      <w:pPr>
        <w:spacing w:after="180"/>
        <w:ind w:firstLine="0"/>
      </w:pPr>
      <w:r>
        <w:rPr>
          <w:i/>
          <w:sz w:val="20"/>
        </w:rPr>
        <w:t>Источник: справочные данные; Kraftwerk/Handbook on the Physics and Chemistry of Rare Earths; расчёты аналитического центра</w:t>
      </w:r>
    </w:p>
    <w:p>
      <w:r>
        <w:rPr>
          <w:b w:val="0"/>
          <w:i w:val="0"/>
        </w:rPr>
        <w:t xml:space="preserve">Обращает на себя внимание так называемое </w:t>
      </w:r>
      <w:r>
        <w:rPr>
          <w:b/>
          <w:i w:val="0"/>
        </w:rPr>
        <w:t>правило Оддо — Гаркинса</w:t>
      </w:r>
      <w:r>
        <w:rPr>
          <w:b w:val="0"/>
          <w:i w:val="0"/>
        </w:rPr>
        <w:t>: элементы с чётным атомным номером распространены в земной коре значительно шире, чем соседние нечётные. Церий (Z = 58) в 7 раз более распространён, чем празеодим (Z = 59); неодим (Z = 60) — в 4,5 раза более распространён, чем празеодим. Это правило проявляется в характерном «пилообразном» виде спектров распределения РЗМ в рудах и предопределяет то обстоятельство, что наиболее ценные элементы (празеодим, тербий, гольмий, лютеций) одновременно являются и наиболее редкими.</w:t>
      </w:r>
    </w:p>
    <w:p>
      <w:pPr>
        <w:keepNext/>
        <w:spacing w:before="160" w:after="60"/>
        <w:ind w:firstLine="0"/>
        <w:jc w:val="left"/>
      </w:pPr>
      <w:r>
        <w:rPr>
          <w:b/>
          <w:sz w:val="22"/>
        </w:rPr>
        <w:t>Рисунок 1. Распространённость редкоземельных элементов в земной коре (кларки), г/т</w:t>
      </w:r>
    </w:p>
    <w:p>
      <w:pPr>
        <w:ind w:firstLine="0"/>
        <w:jc w:val="center"/>
      </w:pPr>
      <w:r>
        <w:drawing>
          <wp:inline xmlns:a="http://schemas.openxmlformats.org/drawingml/2006/main" xmlns:pic="http://schemas.openxmlformats.org/drawingml/2006/picture">
            <wp:extent cx="5580000" cy="2749565"/>
            <wp:docPr id="1" name="Picture 1"/>
            <wp:cNvGraphicFramePr>
              <a:graphicFrameLocks noChangeAspect="1"/>
            </wp:cNvGraphicFramePr>
            <a:graphic>
              <a:graphicData uri="http://schemas.openxmlformats.org/drawingml/2006/picture">
                <pic:pic>
                  <pic:nvPicPr>
                    <pic:cNvPr id="0" name="fig1.png"/>
                    <pic:cNvPicPr/>
                  </pic:nvPicPr>
                  <pic:blipFill>
                    <a:blip r:embed="rId11"/>
                    <a:stretch>
                      <a:fillRect/>
                    </a:stretch>
                  </pic:blipFill>
                  <pic:spPr>
                    <a:xfrm>
                      <a:off x="0" y="0"/>
                      <a:ext cx="5580000" cy="2749565"/>
                    </a:xfrm>
                    <a:prstGeom prst="rect"/>
                  </pic:spPr>
                </pic:pic>
              </a:graphicData>
            </a:graphic>
          </wp:inline>
        </w:drawing>
      </w:r>
    </w:p>
    <w:p>
      <w:pPr>
        <w:spacing w:after="180"/>
        <w:ind w:firstLine="0"/>
      </w:pPr>
      <w:r>
        <w:rPr>
          <w:i/>
          <w:sz w:val="20"/>
        </w:rPr>
        <w:t>Источник: справочные геохимические данные; правило Оддо — Гаркинса</w:t>
      </w:r>
    </w:p>
    <w:p>
      <w:pPr>
        <w:pStyle w:val="Heading2"/>
      </w:pPr>
      <w:r>
        <w:rPr>
          <w:b w:val="0"/>
          <w:i w:val="0"/>
        </w:rPr>
        <w:t>1.2. Классификация редкоземельных элементов</w:t>
      </w:r>
    </w:p>
    <w:p>
      <w:r>
        <w:rPr>
          <w:b w:val="0"/>
          <w:i w:val="0"/>
        </w:rPr>
        <w:t>В отраслевой практике применяются несколько классификаций, различие между которыми часто становится источником ошибок при сопоставлении данных разных источников.</w:t>
      </w:r>
    </w:p>
    <w:p>
      <w:r>
        <w:rPr>
          <w:b/>
          <w:i w:val="0"/>
        </w:rPr>
        <w:t>Двухчленная классификация (цериевая и иттриевая подгруппы).</w:t>
      </w:r>
      <w:r>
        <w:rPr>
          <w:b w:val="0"/>
          <w:i w:val="0"/>
        </w:rPr>
        <w:t xml:space="preserve"> Исторически сложившееся в отечественной литературе деление: цериевая подгруппа — La, Ce, Pr, Nd, Sm, Eu; иттриевая — Gd, Tb, Dy, Ho, Er, Tm, Yb, Lu, Y. Граница проводится по гадолинию. Классификация отражает поведение элементов при осаждении двойных сульфатов и остаётся удобной для описания минералов.</w:t>
      </w:r>
    </w:p>
    <w:p>
      <w:r>
        <w:rPr>
          <w:b/>
          <w:i w:val="0"/>
        </w:rPr>
        <w:t>Двухчленная англоязычная классификация (LREE/HREE).</w:t>
      </w:r>
      <w:r>
        <w:rPr>
          <w:b w:val="0"/>
          <w:i w:val="0"/>
        </w:rPr>
        <w:t xml:space="preserve"> Light rare earths — La, Ce, Pr, Nd (иногда с включением Sm); heavy rare earths — остальные, включая Y. Граница чаще всего проводится по неодиму или самарию.</w:t>
      </w:r>
    </w:p>
    <w:p>
      <w:r>
        <w:rPr>
          <w:b/>
          <w:i w:val="0"/>
        </w:rPr>
        <w:t>Трёхчленная классификация</w:t>
      </w:r>
      <w:r>
        <w:rPr>
          <w:b w:val="0"/>
          <w:i w:val="0"/>
        </w:rPr>
        <w:t>, применяемая в настоящем отчёте и получившая наибольшее распространение в рыночной аналитике: лёгкая (La, Ce, Pr, Nd), средняя (Sm, Eu, Gd) и тяжёлая (Tb, Dy, Ho, Er, Tm, Yb, Lu, Y) группы.</w:t>
      </w:r>
    </w:p>
    <w:p>
      <w:r>
        <w:rPr>
          <w:b/>
          <w:i w:val="0"/>
        </w:rPr>
        <w:t>Рыночная («критическая») классификация</w:t>
      </w:r>
      <w:r>
        <w:rPr>
          <w:b w:val="0"/>
          <w:i w:val="0"/>
        </w:rPr>
        <w:t xml:space="preserve"> группирует элементы по соотношению спроса и предложения. Элементы разделяются на:</w:t>
      </w:r>
    </w:p>
    <w:p>
      <w:pPr>
        <w:pStyle w:val="ListBullet"/>
        <w:spacing w:after="20"/>
        <w:ind w:firstLine="0"/>
      </w:pPr>
      <w:r>
        <w:rPr>
          <w:b/>
          <w:i w:val="0"/>
        </w:rPr>
        <w:t>дефицитные</w:t>
      </w:r>
      <w:r>
        <w:rPr>
          <w:b w:val="0"/>
          <w:i w:val="0"/>
        </w:rPr>
        <w:t xml:space="preserve"> (critical) — Nd, Pr, Dy, Tb: спрос устойчиво превышает или приближается к предложению, цены высокие, именно они формируют экономику отрасли;</w:t>
      </w:r>
    </w:p>
    <w:p>
      <w:pPr>
        <w:pStyle w:val="ListBullet"/>
        <w:spacing w:after="20"/>
        <w:ind w:firstLine="0"/>
      </w:pPr>
      <w:r>
        <w:rPr>
          <w:b/>
          <w:i w:val="0"/>
        </w:rPr>
        <w:t>сбалансированные</w:t>
      </w:r>
      <w:r>
        <w:rPr>
          <w:b w:val="0"/>
          <w:i w:val="0"/>
        </w:rPr>
        <w:t xml:space="preserve"> — Y, Gd, Sm, La (для отдельных применений);</w:t>
      </w:r>
    </w:p>
    <w:p>
      <w:pPr>
        <w:pStyle w:val="ListBullet"/>
        <w:spacing w:after="20"/>
        <w:ind w:firstLine="0"/>
      </w:pPr>
      <w:r>
        <w:rPr>
          <w:b/>
          <w:i w:val="0"/>
        </w:rPr>
        <w:t>избыточные</w:t>
      </w:r>
      <w:r>
        <w:rPr>
          <w:b w:val="0"/>
          <w:i w:val="0"/>
        </w:rPr>
        <w:t xml:space="preserve"> (excess) — Ce, La в основной массе, а также Ho, Er, Tm, Yb, Lu: производятся попутно в объёмах, превышающих спрос, накапливаются на складах, цены низкие.</w:t>
      </w:r>
    </w:p>
    <w:p>
      <w:r>
        <w:rPr>
          <w:b w:val="0"/>
          <w:i w:val="0"/>
        </w:rPr>
        <w:t xml:space="preserve">Эта классификация непосредственно связана с ключевой экономической проблемой отрасли — </w:t>
      </w:r>
      <w:r>
        <w:rPr>
          <w:b/>
          <w:i w:val="0"/>
        </w:rPr>
        <w:t>проблемой баланса корзины</w:t>
      </w:r>
      <w:r>
        <w:rPr>
          <w:b w:val="0"/>
          <w:i w:val="0"/>
        </w:rPr>
        <w:t xml:space="preserve"> (balance problem), которой посвящён раздел 1.5.</w:t>
      </w:r>
    </w:p>
    <w:p>
      <w:pPr>
        <w:keepNext/>
        <w:spacing w:before="160" w:after="60"/>
        <w:ind w:firstLine="0"/>
        <w:jc w:val="left"/>
      </w:pPr>
      <w:r>
        <w:rPr>
          <w:b/>
          <w:sz w:val="22"/>
        </w:rPr>
        <w:t>Таблица 2. Сопоставление классификаций редкоземельных элементов</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Элемент</w:t>
            </w:r>
          </w:p>
        </w:tc>
        <w:tc>
          <w:tcPr>
            <w:tcW w:type="dxa" w:w="2493"/>
            <w:shd w:val="clear" w:fill="DCE6F1"/>
          </w:tcPr>
          <w:p>
            <w:pPr>
              <w:spacing w:after="0" w:line="240" w:lineRule="auto"/>
              <w:ind w:firstLine="0"/>
              <w:jc w:val="center"/>
            </w:pPr>
            <w:r>
              <w:rPr>
                <w:b/>
                <w:i w:val="0"/>
                <w:sz w:val="20"/>
              </w:rPr>
              <w:t>Отечественная классификация</w:t>
            </w:r>
          </w:p>
        </w:tc>
        <w:tc>
          <w:tcPr>
            <w:tcW w:type="dxa" w:w="2493"/>
            <w:shd w:val="clear" w:fill="DCE6F1"/>
          </w:tcPr>
          <w:p>
            <w:pPr>
              <w:spacing w:after="0" w:line="240" w:lineRule="auto"/>
              <w:ind w:firstLine="0"/>
              <w:jc w:val="center"/>
            </w:pPr>
            <w:r>
              <w:rPr>
                <w:b/>
                <w:i w:val="0"/>
                <w:sz w:val="20"/>
              </w:rPr>
              <w:t>Классификация LREE/HREE</w:t>
            </w:r>
          </w:p>
        </w:tc>
        <w:tc>
          <w:tcPr>
            <w:tcW w:type="dxa" w:w="2493"/>
            <w:shd w:val="clear" w:fill="DCE6F1"/>
          </w:tcPr>
          <w:p>
            <w:pPr>
              <w:spacing w:after="0" w:line="240" w:lineRule="auto"/>
              <w:ind w:firstLine="0"/>
              <w:jc w:val="center"/>
            </w:pPr>
            <w:r>
              <w:rPr>
                <w:b/>
                <w:i w:val="0"/>
                <w:sz w:val="20"/>
              </w:rPr>
              <w:t>Рыночная группа</w:t>
            </w:r>
          </w:p>
        </w:tc>
      </w:tr>
      <w:tr>
        <w:tc>
          <w:tcPr>
            <w:tcW w:type="dxa" w:w="2493"/>
          </w:tcPr>
          <w:p>
            <w:pPr>
              <w:spacing w:after="0" w:line="240" w:lineRule="auto"/>
              <w:ind w:firstLine="0"/>
              <w:jc w:val="left"/>
            </w:pPr>
            <w:r>
              <w:rPr>
                <w:b w:val="0"/>
                <w:i w:val="0"/>
                <w:sz w:val="20"/>
              </w:rPr>
              <w:t>La</w:t>
            </w:r>
          </w:p>
        </w:tc>
        <w:tc>
          <w:tcPr>
            <w:tcW w:type="dxa" w:w="2493"/>
          </w:tcPr>
          <w:p>
            <w:pPr>
              <w:spacing w:after="0" w:line="240" w:lineRule="auto"/>
              <w:ind w:firstLine="0"/>
              <w:jc w:val="center"/>
            </w:pPr>
            <w:r>
              <w:rPr>
                <w:b w:val="0"/>
                <w:i w:val="0"/>
                <w:sz w:val="20"/>
              </w:rPr>
              <w:t>цериевая подгруппа</w:t>
            </w:r>
          </w:p>
        </w:tc>
        <w:tc>
          <w:tcPr>
            <w:tcW w:type="dxa" w:w="2493"/>
          </w:tcPr>
          <w:p>
            <w:pPr>
              <w:spacing w:after="0" w:line="240" w:lineRule="auto"/>
              <w:ind w:firstLine="0"/>
              <w:jc w:val="center"/>
            </w:pPr>
            <w:r>
              <w:rPr>
                <w:b w:val="0"/>
                <w:i w:val="0"/>
                <w:sz w:val="20"/>
              </w:rPr>
              <w:t>лёгкие</w:t>
            </w:r>
          </w:p>
        </w:tc>
        <w:tc>
          <w:tcPr>
            <w:tcW w:type="dxa" w:w="2493"/>
          </w:tcPr>
          <w:p>
            <w:pPr>
              <w:spacing w:after="0" w:line="240" w:lineRule="auto"/>
              <w:ind w:firstLine="0"/>
              <w:jc w:val="center"/>
            </w:pPr>
            <w:r>
              <w:rPr>
                <w:b w:val="0"/>
                <w:i w:val="0"/>
                <w:sz w:val="20"/>
              </w:rPr>
              <w:t>избыточный</w:t>
            </w:r>
          </w:p>
        </w:tc>
      </w:tr>
      <w:tr>
        <w:tc>
          <w:tcPr>
            <w:tcW w:type="dxa" w:w="2493"/>
          </w:tcPr>
          <w:p>
            <w:pPr>
              <w:spacing w:after="0" w:line="240" w:lineRule="auto"/>
              <w:ind w:firstLine="0"/>
              <w:jc w:val="left"/>
            </w:pPr>
            <w:r>
              <w:rPr>
                <w:b w:val="0"/>
                <w:i w:val="0"/>
                <w:sz w:val="20"/>
              </w:rPr>
              <w:t>Ce</w:t>
            </w:r>
          </w:p>
        </w:tc>
        <w:tc>
          <w:tcPr>
            <w:tcW w:type="dxa" w:w="2493"/>
          </w:tcPr>
          <w:p>
            <w:pPr>
              <w:spacing w:after="0" w:line="240" w:lineRule="auto"/>
              <w:ind w:firstLine="0"/>
              <w:jc w:val="center"/>
            </w:pPr>
            <w:r>
              <w:rPr>
                <w:b w:val="0"/>
                <w:i w:val="0"/>
                <w:sz w:val="20"/>
              </w:rPr>
              <w:t>цериевая подгруппа</w:t>
            </w:r>
          </w:p>
        </w:tc>
        <w:tc>
          <w:tcPr>
            <w:tcW w:type="dxa" w:w="2493"/>
          </w:tcPr>
          <w:p>
            <w:pPr>
              <w:spacing w:after="0" w:line="240" w:lineRule="auto"/>
              <w:ind w:firstLine="0"/>
              <w:jc w:val="center"/>
            </w:pPr>
            <w:r>
              <w:rPr>
                <w:b w:val="0"/>
                <w:i w:val="0"/>
                <w:sz w:val="20"/>
              </w:rPr>
              <w:t>лёгкие</w:t>
            </w:r>
          </w:p>
        </w:tc>
        <w:tc>
          <w:tcPr>
            <w:tcW w:type="dxa" w:w="2493"/>
          </w:tcPr>
          <w:p>
            <w:pPr>
              <w:spacing w:after="0" w:line="240" w:lineRule="auto"/>
              <w:ind w:firstLine="0"/>
              <w:jc w:val="center"/>
            </w:pPr>
            <w:r>
              <w:rPr>
                <w:b w:val="0"/>
                <w:i w:val="0"/>
                <w:sz w:val="20"/>
              </w:rPr>
              <w:t>избыточный</w:t>
            </w:r>
          </w:p>
        </w:tc>
      </w:tr>
      <w:tr>
        <w:tc>
          <w:tcPr>
            <w:tcW w:type="dxa" w:w="2493"/>
          </w:tcPr>
          <w:p>
            <w:pPr>
              <w:spacing w:after="0" w:line="240" w:lineRule="auto"/>
              <w:ind w:firstLine="0"/>
              <w:jc w:val="left"/>
            </w:pPr>
            <w:r>
              <w:rPr>
                <w:b w:val="0"/>
                <w:i w:val="0"/>
                <w:sz w:val="20"/>
              </w:rPr>
              <w:t>Pr</w:t>
            </w:r>
          </w:p>
        </w:tc>
        <w:tc>
          <w:tcPr>
            <w:tcW w:type="dxa" w:w="2493"/>
          </w:tcPr>
          <w:p>
            <w:pPr>
              <w:spacing w:after="0" w:line="240" w:lineRule="auto"/>
              <w:ind w:firstLine="0"/>
              <w:jc w:val="center"/>
            </w:pPr>
            <w:r>
              <w:rPr>
                <w:b w:val="0"/>
                <w:i w:val="0"/>
                <w:sz w:val="20"/>
              </w:rPr>
              <w:t>цериевая подгруппа</w:t>
            </w:r>
          </w:p>
        </w:tc>
        <w:tc>
          <w:tcPr>
            <w:tcW w:type="dxa" w:w="2493"/>
          </w:tcPr>
          <w:p>
            <w:pPr>
              <w:spacing w:after="0" w:line="240" w:lineRule="auto"/>
              <w:ind w:firstLine="0"/>
              <w:jc w:val="center"/>
            </w:pPr>
            <w:r>
              <w:rPr>
                <w:b w:val="0"/>
                <w:i w:val="0"/>
                <w:sz w:val="20"/>
              </w:rPr>
              <w:t>лёгкие</w:t>
            </w:r>
          </w:p>
        </w:tc>
        <w:tc>
          <w:tcPr>
            <w:tcW w:type="dxa" w:w="2493"/>
          </w:tcPr>
          <w:p>
            <w:pPr>
              <w:spacing w:after="0" w:line="240" w:lineRule="auto"/>
              <w:ind w:firstLine="0"/>
              <w:jc w:val="center"/>
            </w:pPr>
            <w:r>
              <w:rPr>
                <w:b w:val="0"/>
                <w:i w:val="0"/>
                <w:sz w:val="20"/>
              </w:rPr>
              <w:t>дефицитный</w:t>
            </w:r>
          </w:p>
        </w:tc>
      </w:tr>
      <w:tr>
        <w:tc>
          <w:tcPr>
            <w:tcW w:type="dxa" w:w="2493"/>
          </w:tcPr>
          <w:p>
            <w:pPr>
              <w:spacing w:after="0" w:line="240" w:lineRule="auto"/>
              <w:ind w:firstLine="0"/>
              <w:jc w:val="left"/>
            </w:pPr>
            <w:r>
              <w:rPr>
                <w:b w:val="0"/>
                <w:i w:val="0"/>
                <w:sz w:val="20"/>
              </w:rPr>
              <w:t>Nd</w:t>
            </w:r>
          </w:p>
        </w:tc>
        <w:tc>
          <w:tcPr>
            <w:tcW w:type="dxa" w:w="2493"/>
          </w:tcPr>
          <w:p>
            <w:pPr>
              <w:spacing w:after="0" w:line="240" w:lineRule="auto"/>
              <w:ind w:firstLine="0"/>
              <w:jc w:val="center"/>
            </w:pPr>
            <w:r>
              <w:rPr>
                <w:b w:val="0"/>
                <w:i w:val="0"/>
                <w:sz w:val="20"/>
              </w:rPr>
              <w:t>цериевая подгруппа</w:t>
            </w:r>
          </w:p>
        </w:tc>
        <w:tc>
          <w:tcPr>
            <w:tcW w:type="dxa" w:w="2493"/>
          </w:tcPr>
          <w:p>
            <w:pPr>
              <w:spacing w:after="0" w:line="240" w:lineRule="auto"/>
              <w:ind w:firstLine="0"/>
              <w:jc w:val="center"/>
            </w:pPr>
            <w:r>
              <w:rPr>
                <w:b w:val="0"/>
                <w:i w:val="0"/>
                <w:sz w:val="20"/>
              </w:rPr>
              <w:t>лёгкие</w:t>
            </w:r>
          </w:p>
        </w:tc>
        <w:tc>
          <w:tcPr>
            <w:tcW w:type="dxa" w:w="2493"/>
          </w:tcPr>
          <w:p>
            <w:pPr>
              <w:spacing w:after="0" w:line="240" w:lineRule="auto"/>
              <w:ind w:firstLine="0"/>
              <w:jc w:val="center"/>
            </w:pPr>
            <w:r>
              <w:rPr>
                <w:b w:val="0"/>
                <w:i w:val="0"/>
                <w:sz w:val="20"/>
              </w:rPr>
              <w:t>дефицитный</w:t>
            </w:r>
          </w:p>
        </w:tc>
      </w:tr>
      <w:tr>
        <w:tc>
          <w:tcPr>
            <w:tcW w:type="dxa" w:w="2493"/>
          </w:tcPr>
          <w:p>
            <w:pPr>
              <w:spacing w:after="0" w:line="240" w:lineRule="auto"/>
              <w:ind w:firstLine="0"/>
              <w:jc w:val="left"/>
            </w:pPr>
            <w:r>
              <w:rPr>
                <w:b w:val="0"/>
                <w:i w:val="0"/>
                <w:sz w:val="20"/>
              </w:rPr>
              <w:t>Sm</w:t>
            </w:r>
          </w:p>
        </w:tc>
        <w:tc>
          <w:tcPr>
            <w:tcW w:type="dxa" w:w="2493"/>
          </w:tcPr>
          <w:p>
            <w:pPr>
              <w:spacing w:after="0" w:line="240" w:lineRule="auto"/>
              <w:ind w:firstLine="0"/>
              <w:jc w:val="center"/>
            </w:pPr>
            <w:r>
              <w:rPr>
                <w:b w:val="0"/>
                <w:i w:val="0"/>
                <w:sz w:val="20"/>
              </w:rPr>
              <w:t>цериевая подгруппа</w:t>
            </w:r>
          </w:p>
        </w:tc>
        <w:tc>
          <w:tcPr>
            <w:tcW w:type="dxa" w:w="2493"/>
          </w:tcPr>
          <w:p>
            <w:pPr>
              <w:spacing w:after="0" w:line="240" w:lineRule="auto"/>
              <w:ind w:firstLine="0"/>
              <w:jc w:val="center"/>
            </w:pPr>
            <w:r>
              <w:rPr>
                <w:b w:val="0"/>
                <w:i w:val="0"/>
                <w:sz w:val="20"/>
              </w:rPr>
              <w:t>лёгкие/средние</w:t>
            </w:r>
          </w:p>
        </w:tc>
        <w:tc>
          <w:tcPr>
            <w:tcW w:type="dxa" w:w="2493"/>
          </w:tcPr>
          <w:p>
            <w:pPr>
              <w:spacing w:after="0" w:line="240" w:lineRule="auto"/>
              <w:ind w:firstLine="0"/>
              <w:jc w:val="center"/>
            </w:pPr>
            <w:r>
              <w:rPr>
                <w:b w:val="0"/>
                <w:i w:val="0"/>
                <w:sz w:val="20"/>
              </w:rPr>
              <w:t>сбалансированный</w:t>
            </w:r>
          </w:p>
        </w:tc>
      </w:tr>
      <w:tr>
        <w:tc>
          <w:tcPr>
            <w:tcW w:type="dxa" w:w="2493"/>
          </w:tcPr>
          <w:p>
            <w:pPr>
              <w:spacing w:after="0" w:line="240" w:lineRule="auto"/>
              <w:ind w:firstLine="0"/>
              <w:jc w:val="left"/>
            </w:pPr>
            <w:r>
              <w:rPr>
                <w:b w:val="0"/>
                <w:i w:val="0"/>
                <w:sz w:val="20"/>
              </w:rPr>
              <w:t>Eu</w:t>
            </w:r>
          </w:p>
        </w:tc>
        <w:tc>
          <w:tcPr>
            <w:tcW w:type="dxa" w:w="2493"/>
          </w:tcPr>
          <w:p>
            <w:pPr>
              <w:spacing w:after="0" w:line="240" w:lineRule="auto"/>
              <w:ind w:firstLine="0"/>
              <w:jc w:val="center"/>
            </w:pPr>
            <w:r>
              <w:rPr>
                <w:b w:val="0"/>
                <w:i w:val="0"/>
                <w:sz w:val="20"/>
              </w:rPr>
              <w:t>цериевая подгруппа</w:t>
            </w:r>
          </w:p>
        </w:tc>
        <w:tc>
          <w:tcPr>
            <w:tcW w:type="dxa" w:w="2493"/>
          </w:tcPr>
          <w:p>
            <w:pPr>
              <w:spacing w:after="0" w:line="240" w:lineRule="auto"/>
              <w:ind w:firstLine="0"/>
              <w:jc w:val="center"/>
            </w:pPr>
            <w:r>
              <w:rPr>
                <w:b w:val="0"/>
                <w:i w:val="0"/>
                <w:sz w:val="20"/>
              </w:rPr>
              <w:t>средние</w:t>
            </w:r>
          </w:p>
        </w:tc>
        <w:tc>
          <w:tcPr>
            <w:tcW w:type="dxa" w:w="2493"/>
          </w:tcPr>
          <w:p>
            <w:pPr>
              <w:spacing w:after="0" w:line="240" w:lineRule="auto"/>
              <w:ind w:firstLine="0"/>
              <w:jc w:val="center"/>
            </w:pPr>
            <w:r>
              <w:rPr>
                <w:b w:val="0"/>
                <w:i w:val="0"/>
                <w:sz w:val="20"/>
              </w:rPr>
              <w:t>избыточный</w:t>
            </w:r>
          </w:p>
        </w:tc>
      </w:tr>
      <w:tr>
        <w:tc>
          <w:tcPr>
            <w:tcW w:type="dxa" w:w="2493"/>
          </w:tcPr>
          <w:p>
            <w:pPr>
              <w:spacing w:after="0" w:line="240" w:lineRule="auto"/>
              <w:ind w:firstLine="0"/>
              <w:jc w:val="left"/>
            </w:pPr>
            <w:r>
              <w:rPr>
                <w:b w:val="0"/>
                <w:i w:val="0"/>
                <w:sz w:val="20"/>
              </w:rPr>
              <w:t>Gd</w:t>
            </w:r>
          </w:p>
        </w:tc>
        <w:tc>
          <w:tcPr>
            <w:tcW w:type="dxa" w:w="2493"/>
          </w:tcPr>
          <w:p>
            <w:pPr>
              <w:spacing w:after="0" w:line="240" w:lineRule="auto"/>
              <w:ind w:firstLine="0"/>
              <w:jc w:val="center"/>
            </w:pPr>
            <w:r>
              <w:rPr>
                <w:b w:val="0"/>
                <w:i w:val="0"/>
                <w:sz w:val="20"/>
              </w:rPr>
              <w:t>иттриевая подгруппа</w:t>
            </w:r>
          </w:p>
        </w:tc>
        <w:tc>
          <w:tcPr>
            <w:tcW w:type="dxa" w:w="2493"/>
          </w:tcPr>
          <w:p>
            <w:pPr>
              <w:spacing w:after="0" w:line="240" w:lineRule="auto"/>
              <w:ind w:firstLine="0"/>
              <w:jc w:val="center"/>
            </w:pPr>
            <w:r>
              <w:rPr>
                <w:b w:val="0"/>
                <w:i w:val="0"/>
                <w:sz w:val="20"/>
              </w:rPr>
              <w:t>средние</w:t>
            </w:r>
          </w:p>
        </w:tc>
        <w:tc>
          <w:tcPr>
            <w:tcW w:type="dxa" w:w="2493"/>
          </w:tcPr>
          <w:p>
            <w:pPr>
              <w:spacing w:after="0" w:line="240" w:lineRule="auto"/>
              <w:ind w:firstLine="0"/>
              <w:jc w:val="center"/>
            </w:pPr>
            <w:r>
              <w:rPr>
                <w:b w:val="0"/>
                <w:i w:val="0"/>
                <w:sz w:val="20"/>
              </w:rPr>
              <w:t>сбалансированный</w:t>
            </w:r>
          </w:p>
        </w:tc>
      </w:tr>
      <w:tr>
        <w:tc>
          <w:tcPr>
            <w:tcW w:type="dxa" w:w="2493"/>
          </w:tcPr>
          <w:p>
            <w:pPr>
              <w:spacing w:after="0" w:line="240" w:lineRule="auto"/>
              <w:ind w:firstLine="0"/>
              <w:jc w:val="left"/>
            </w:pPr>
            <w:r>
              <w:rPr>
                <w:b w:val="0"/>
                <w:i w:val="0"/>
                <w:sz w:val="20"/>
              </w:rPr>
              <w:t>Tb</w:t>
            </w:r>
          </w:p>
        </w:tc>
        <w:tc>
          <w:tcPr>
            <w:tcW w:type="dxa" w:w="2493"/>
          </w:tcPr>
          <w:p>
            <w:pPr>
              <w:spacing w:after="0" w:line="240" w:lineRule="auto"/>
              <w:ind w:firstLine="0"/>
              <w:jc w:val="center"/>
            </w:pPr>
            <w:r>
              <w:rPr>
                <w:b w:val="0"/>
                <w:i w:val="0"/>
                <w:sz w:val="20"/>
              </w:rPr>
              <w:t>иттриевая подгруппа</w:t>
            </w:r>
          </w:p>
        </w:tc>
        <w:tc>
          <w:tcPr>
            <w:tcW w:type="dxa" w:w="2493"/>
          </w:tcPr>
          <w:p>
            <w:pPr>
              <w:spacing w:after="0" w:line="240" w:lineRule="auto"/>
              <w:ind w:firstLine="0"/>
              <w:jc w:val="center"/>
            </w:pPr>
            <w:r>
              <w:rPr>
                <w:b w:val="0"/>
                <w:i w:val="0"/>
                <w:sz w:val="20"/>
              </w:rPr>
              <w:t>тяжёлые</w:t>
            </w:r>
          </w:p>
        </w:tc>
        <w:tc>
          <w:tcPr>
            <w:tcW w:type="dxa" w:w="2493"/>
          </w:tcPr>
          <w:p>
            <w:pPr>
              <w:spacing w:after="0" w:line="240" w:lineRule="auto"/>
              <w:ind w:firstLine="0"/>
              <w:jc w:val="center"/>
            </w:pPr>
            <w:r>
              <w:rPr>
                <w:b w:val="0"/>
                <w:i w:val="0"/>
                <w:sz w:val="20"/>
              </w:rPr>
              <w:t>остродефицитный</w:t>
            </w:r>
          </w:p>
        </w:tc>
      </w:tr>
      <w:tr>
        <w:tc>
          <w:tcPr>
            <w:tcW w:type="dxa" w:w="2493"/>
          </w:tcPr>
          <w:p>
            <w:pPr>
              <w:spacing w:after="0" w:line="240" w:lineRule="auto"/>
              <w:ind w:firstLine="0"/>
              <w:jc w:val="left"/>
            </w:pPr>
            <w:r>
              <w:rPr>
                <w:b w:val="0"/>
                <w:i w:val="0"/>
                <w:sz w:val="20"/>
              </w:rPr>
              <w:t>Dy</w:t>
            </w:r>
          </w:p>
        </w:tc>
        <w:tc>
          <w:tcPr>
            <w:tcW w:type="dxa" w:w="2493"/>
          </w:tcPr>
          <w:p>
            <w:pPr>
              <w:spacing w:after="0" w:line="240" w:lineRule="auto"/>
              <w:ind w:firstLine="0"/>
              <w:jc w:val="center"/>
            </w:pPr>
            <w:r>
              <w:rPr>
                <w:b w:val="0"/>
                <w:i w:val="0"/>
                <w:sz w:val="20"/>
              </w:rPr>
              <w:t>иттриевая подгруппа</w:t>
            </w:r>
          </w:p>
        </w:tc>
        <w:tc>
          <w:tcPr>
            <w:tcW w:type="dxa" w:w="2493"/>
          </w:tcPr>
          <w:p>
            <w:pPr>
              <w:spacing w:after="0" w:line="240" w:lineRule="auto"/>
              <w:ind w:firstLine="0"/>
              <w:jc w:val="center"/>
            </w:pPr>
            <w:r>
              <w:rPr>
                <w:b w:val="0"/>
                <w:i w:val="0"/>
                <w:sz w:val="20"/>
              </w:rPr>
              <w:t>тяжёлые</w:t>
            </w:r>
          </w:p>
        </w:tc>
        <w:tc>
          <w:tcPr>
            <w:tcW w:type="dxa" w:w="2493"/>
          </w:tcPr>
          <w:p>
            <w:pPr>
              <w:spacing w:after="0" w:line="240" w:lineRule="auto"/>
              <w:ind w:firstLine="0"/>
              <w:jc w:val="center"/>
            </w:pPr>
            <w:r>
              <w:rPr>
                <w:b w:val="0"/>
                <w:i w:val="0"/>
                <w:sz w:val="20"/>
              </w:rPr>
              <w:t>остродефицитный</w:t>
            </w:r>
          </w:p>
        </w:tc>
      </w:tr>
      <w:tr>
        <w:tc>
          <w:tcPr>
            <w:tcW w:type="dxa" w:w="2493"/>
          </w:tcPr>
          <w:p>
            <w:pPr>
              <w:spacing w:after="0" w:line="240" w:lineRule="auto"/>
              <w:ind w:firstLine="0"/>
              <w:jc w:val="left"/>
            </w:pPr>
            <w:r>
              <w:rPr>
                <w:b w:val="0"/>
                <w:i w:val="0"/>
                <w:sz w:val="20"/>
              </w:rPr>
              <w:t>Ho–Lu</w:t>
            </w:r>
          </w:p>
        </w:tc>
        <w:tc>
          <w:tcPr>
            <w:tcW w:type="dxa" w:w="2493"/>
          </w:tcPr>
          <w:p>
            <w:pPr>
              <w:spacing w:after="0" w:line="240" w:lineRule="auto"/>
              <w:ind w:firstLine="0"/>
              <w:jc w:val="center"/>
            </w:pPr>
            <w:r>
              <w:rPr>
                <w:b w:val="0"/>
                <w:i w:val="0"/>
                <w:sz w:val="20"/>
              </w:rPr>
              <w:t>иттриевая подгруппа</w:t>
            </w:r>
          </w:p>
        </w:tc>
        <w:tc>
          <w:tcPr>
            <w:tcW w:type="dxa" w:w="2493"/>
          </w:tcPr>
          <w:p>
            <w:pPr>
              <w:spacing w:after="0" w:line="240" w:lineRule="auto"/>
              <w:ind w:firstLine="0"/>
              <w:jc w:val="center"/>
            </w:pPr>
            <w:r>
              <w:rPr>
                <w:b w:val="0"/>
                <w:i w:val="0"/>
                <w:sz w:val="20"/>
              </w:rPr>
              <w:t>тяжёлые</w:t>
            </w:r>
          </w:p>
        </w:tc>
        <w:tc>
          <w:tcPr>
            <w:tcW w:type="dxa" w:w="2493"/>
          </w:tcPr>
          <w:p>
            <w:pPr>
              <w:spacing w:after="0" w:line="240" w:lineRule="auto"/>
              <w:ind w:firstLine="0"/>
              <w:jc w:val="center"/>
            </w:pPr>
            <w:r>
              <w:rPr>
                <w:b w:val="0"/>
                <w:i w:val="0"/>
                <w:sz w:val="20"/>
              </w:rPr>
              <w:t>избыточные</w:t>
            </w:r>
          </w:p>
        </w:tc>
      </w:tr>
      <w:tr>
        <w:tc>
          <w:tcPr>
            <w:tcW w:type="dxa" w:w="2493"/>
          </w:tcPr>
          <w:p>
            <w:pPr>
              <w:spacing w:after="0" w:line="240" w:lineRule="auto"/>
              <w:ind w:firstLine="0"/>
              <w:jc w:val="left"/>
            </w:pPr>
            <w:r>
              <w:rPr>
                <w:b w:val="0"/>
                <w:i w:val="0"/>
                <w:sz w:val="20"/>
              </w:rPr>
              <w:t>Y</w:t>
            </w:r>
          </w:p>
        </w:tc>
        <w:tc>
          <w:tcPr>
            <w:tcW w:type="dxa" w:w="2493"/>
          </w:tcPr>
          <w:p>
            <w:pPr>
              <w:spacing w:after="0" w:line="240" w:lineRule="auto"/>
              <w:ind w:firstLine="0"/>
              <w:jc w:val="center"/>
            </w:pPr>
            <w:r>
              <w:rPr>
                <w:b w:val="0"/>
                <w:i w:val="0"/>
                <w:sz w:val="20"/>
              </w:rPr>
              <w:t>иттриевая подгруппа</w:t>
            </w:r>
          </w:p>
        </w:tc>
        <w:tc>
          <w:tcPr>
            <w:tcW w:type="dxa" w:w="2493"/>
          </w:tcPr>
          <w:p>
            <w:pPr>
              <w:spacing w:after="0" w:line="240" w:lineRule="auto"/>
              <w:ind w:firstLine="0"/>
              <w:jc w:val="center"/>
            </w:pPr>
            <w:r>
              <w:rPr>
                <w:b w:val="0"/>
                <w:i w:val="0"/>
                <w:sz w:val="20"/>
              </w:rPr>
              <w:t>тяжёлые</w:t>
            </w:r>
          </w:p>
        </w:tc>
        <w:tc>
          <w:tcPr>
            <w:tcW w:type="dxa" w:w="2493"/>
          </w:tcPr>
          <w:p>
            <w:pPr>
              <w:spacing w:after="0" w:line="240" w:lineRule="auto"/>
              <w:ind w:firstLine="0"/>
              <w:jc w:val="center"/>
            </w:pPr>
            <w:r>
              <w:rPr>
                <w:b w:val="0"/>
                <w:i w:val="0"/>
                <w:sz w:val="20"/>
              </w:rPr>
              <w:t>сбалансированный</w:t>
            </w:r>
          </w:p>
        </w:tc>
      </w:tr>
      <w:tr>
        <w:tc>
          <w:tcPr>
            <w:tcW w:type="dxa" w:w="2493"/>
          </w:tcPr>
          <w:p>
            <w:pPr>
              <w:spacing w:after="0" w:line="240" w:lineRule="auto"/>
              <w:ind w:firstLine="0"/>
              <w:jc w:val="left"/>
            </w:pPr>
            <w:r>
              <w:rPr>
                <w:b w:val="0"/>
                <w:i w:val="0"/>
                <w:sz w:val="20"/>
              </w:rPr>
              <w:t>Sc</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обособленный</w:t>
            </w:r>
          </w:p>
        </w:tc>
        <w:tc>
          <w:tcPr>
            <w:tcW w:type="dxa" w:w="2493"/>
          </w:tcPr>
          <w:p>
            <w:pPr>
              <w:spacing w:after="0" w:line="240" w:lineRule="auto"/>
              <w:ind w:firstLine="0"/>
              <w:jc w:val="center"/>
            </w:pPr>
            <w:r>
              <w:rPr>
                <w:b w:val="0"/>
                <w:i w:val="0"/>
                <w:sz w:val="20"/>
              </w:rPr>
              <w:t>обособленный рынок</w:t>
            </w:r>
          </w:p>
        </w:tc>
      </w:tr>
    </w:tbl>
    <w:p>
      <w:pPr>
        <w:spacing w:after="180"/>
        <w:ind w:firstLine="0"/>
      </w:pPr>
      <w:r>
        <w:rPr>
          <w:i/>
          <w:sz w:val="20"/>
        </w:rPr>
        <w:t>Источник: аналитический центр</w:t>
      </w:r>
    </w:p>
    <w:p>
      <w:pPr>
        <w:pStyle w:val="Heading2"/>
      </w:pPr>
      <w:r>
        <w:rPr>
          <w:b w:val="0"/>
          <w:i w:val="0"/>
        </w:rPr>
        <w:t>1.3. Минералого-технологические типы сырья</w:t>
      </w:r>
    </w:p>
    <w:p>
      <w:r>
        <w:rPr>
          <w:b w:val="0"/>
          <w:i w:val="0"/>
        </w:rPr>
        <w:t>Известно свыше 250 минералов, содержащих редкоземельные элементы, однако промышленное значение имеют не более десяти. Их принципиальное различие состоит не столько в содержании РЗМ, сколько в двух параметрах: распределении элементов внутри концентрата («корзине») и вскрываемости минерала.</w:t>
      </w:r>
    </w:p>
    <w:p>
      <w:r>
        <w:rPr>
          <w:b/>
          <w:i w:val="0"/>
        </w:rPr>
        <w:t>Бастнезит</w:t>
      </w:r>
      <w:r>
        <w:rPr>
          <w:b w:val="0"/>
          <w:i w:val="0"/>
        </w:rPr>
        <w:t xml:space="preserve"> (Ce,La)CO₃F — фторкарбонат, основной мировой источник лёгких РЗМ. Содержание TREO в минерале 70–75%, в рудах — 3–10%. Корзина резко смещена в сторону лёгкой группы: La + Ce составляют до 80%, содержание тяжёлых элементов ничтожно. Вскрывается относительно легко (обжиг с последующим кислотным выщелачиванием). Основные объекты — Bayan Obo (КНР), Mountain Pass (США), Maoniuping (КНР).</w:t>
      </w:r>
    </w:p>
    <w:p>
      <w:r>
        <w:rPr>
          <w:b/>
          <w:i w:val="0"/>
        </w:rPr>
        <w:t>Монацит</w:t>
      </w:r>
      <w:r>
        <w:rPr>
          <w:b w:val="0"/>
          <w:i w:val="0"/>
        </w:rPr>
        <w:t xml:space="preserve"> (Ce,La,Nd,Th)PO₄ — фосфат, содержание TREO 55–65%. Корзина также лёгкая, но с более благоприятным содержанием неодима и заметной долей средних элементов. Главный недостаток — устойчивое присутствие тория (4–12%) и урана, переводящее переработку в сферу радиационного регулирования и резко повышающее издержки на обращение с отходами. Присутствует в россыпях Индии, Бразилии, Австралии, Мадагаскара, а также в отходах переработки минеральных песков (титан-циркониевое производство).</w:t>
      </w:r>
    </w:p>
    <w:p>
      <w:r>
        <w:rPr>
          <w:b/>
          <w:i w:val="0"/>
        </w:rPr>
        <w:t>Ксенотим</w:t>
      </w:r>
      <w:r>
        <w:rPr>
          <w:b w:val="0"/>
          <w:i w:val="0"/>
        </w:rPr>
        <w:t xml:space="preserve"> YPO₄ — фосфат иттриевой группы, содержание TREO 55–65% с преобладанием иттрия (до 60% корзины) и заметными долями диспрозия, эрбия, иттербия. Промышленного значения как самостоятельный объект почти не имеет, извлекается попутно из россыпей.</w:t>
      </w:r>
    </w:p>
    <w:p>
      <w:r>
        <w:rPr>
          <w:b/>
          <w:i w:val="0"/>
        </w:rPr>
        <w:t>Ионно-адсорбционные глины</w:t>
      </w:r>
      <w:r>
        <w:rPr>
          <w:b w:val="0"/>
          <w:i w:val="0"/>
        </w:rPr>
        <w:t xml:space="preserve"> (ion-adsorption clays, IAC) — коры выветривания гранитов, в которых редкоземельные ионы адсорбированы на поверхности глинистых минералов. Содержание TREO крайне низкое (0,05–0,3%), однако извлечение осуществляется простым выщелачиванием растворами солей аммония или магния без дробления и обогащения, что делает себестоимость минимальной. Ключевое значение имеет корзина: она резко смещена в сторону средних и тяжёлых элементов — на этот тип сырья приходится подавляющая часть мирового производства диспрозия и тербия. Объекты — южные провинции КНР (Цзянси, Гуандун, Фуцзянь), Мьянма (штат Качин), Лаос, Мадагаскар.</w:t>
      </w:r>
    </w:p>
    <w:p>
      <w:r>
        <w:rPr>
          <w:b/>
          <w:i w:val="0"/>
        </w:rPr>
        <w:t>Лопарит</w:t>
      </w:r>
      <w:r>
        <w:rPr>
          <w:b w:val="0"/>
          <w:i w:val="0"/>
        </w:rPr>
        <w:t xml:space="preserve"> (Na,Ce,Ca)(Ti,Nb)O₃ — комплексный титано-ниобо-танталово-редкоземельный минерал, уникальный для Ловозёрского массива на Кольском полуострове. Содержание TREO 30–34%, при этом минерал одновременно является источником титана, ниобия и тантала. Корзина лёгкая, близка к бастнезитовой. Вскрытие лопаритового концентрата — хлорная или сернокислотная технология — существенно сложнее бастнезитовой, что исторически определило высокую себестоимость российской продукции.</w:t>
      </w:r>
    </w:p>
    <w:p>
      <w:r>
        <w:rPr>
          <w:b/>
          <w:i w:val="0"/>
        </w:rPr>
        <w:t>Эвдиалит</w:t>
      </w:r>
      <w:r>
        <w:rPr>
          <w:b w:val="0"/>
          <w:i w:val="0"/>
        </w:rPr>
        <w:t xml:space="preserve"> Na₄(Ca,Ce)₂(Fe,Mn,Y)ZrSi₈O₂₂(OH,Cl)₂ — цирконосиликат с содержанием TREO 1,2–2,5%, отличающийся сравнительно благоприятной корзиной с повышенной долей средней и тяжёлой групп и лёгкой вскрываемостью кислотами. Крупнейшие объекты — Ловозёрский массив (участок Аллуайв), месторождение Кринглерне (Гренландия).</w:t>
      </w:r>
    </w:p>
    <w:p>
      <w:r>
        <w:rPr>
          <w:b/>
          <w:i w:val="0"/>
        </w:rPr>
        <w:t>Апатит</w:t>
      </w:r>
      <w:r>
        <w:rPr>
          <w:b w:val="0"/>
          <w:i w:val="0"/>
        </w:rPr>
        <w:t xml:space="preserve"> Ca₅(PO₄)₃(F,OH) — при низком содержании РЗМ (0,4–1,0% TREO в хибинском апатите) представляет интерес как попутный источник в силу гигантских объёмов переработки: при производстве фосфорных удобрений через экстракционную фосфорную кислоту редкие земли распределяются между кислотой и фосфогипсом, что открывает возможность их извлечения без затрат на добычу.</w:t>
      </w:r>
    </w:p>
    <w:p>
      <w:pPr>
        <w:keepNext/>
        <w:spacing w:before="160" w:after="60"/>
        <w:ind w:firstLine="0"/>
        <w:jc w:val="left"/>
      </w:pPr>
      <w:r>
        <w:rPr>
          <w:b/>
          <w:sz w:val="22"/>
        </w:rPr>
        <w:t>Таблица 3. Основные промышленные минералы редкоземельных металлов</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Минерал</w:t>
            </w:r>
          </w:p>
        </w:tc>
        <w:tc>
          <w:tcPr>
            <w:tcW w:type="dxa" w:w="1995"/>
            <w:shd w:val="clear" w:fill="DCE6F1"/>
          </w:tcPr>
          <w:p>
            <w:pPr>
              <w:spacing w:after="0" w:line="240" w:lineRule="auto"/>
              <w:ind w:firstLine="0"/>
              <w:jc w:val="center"/>
            </w:pPr>
            <w:r>
              <w:rPr>
                <w:b/>
                <w:i w:val="0"/>
                <w:sz w:val="20"/>
              </w:rPr>
              <w:t>Формула</w:t>
            </w:r>
          </w:p>
        </w:tc>
        <w:tc>
          <w:tcPr>
            <w:tcW w:type="dxa" w:w="1995"/>
            <w:shd w:val="clear" w:fill="DCE6F1"/>
          </w:tcPr>
          <w:p>
            <w:pPr>
              <w:spacing w:after="0" w:line="240" w:lineRule="auto"/>
              <w:ind w:firstLine="0"/>
              <w:jc w:val="center"/>
            </w:pPr>
            <w:r>
              <w:rPr>
                <w:b/>
                <w:i w:val="0"/>
                <w:sz w:val="20"/>
              </w:rPr>
              <w:t>TREO в минерале, %</w:t>
            </w:r>
          </w:p>
        </w:tc>
        <w:tc>
          <w:tcPr>
            <w:tcW w:type="dxa" w:w="1995"/>
            <w:shd w:val="clear" w:fill="DCE6F1"/>
          </w:tcPr>
          <w:p>
            <w:pPr>
              <w:spacing w:after="0" w:line="240" w:lineRule="auto"/>
              <w:ind w:firstLine="0"/>
              <w:jc w:val="center"/>
            </w:pPr>
            <w:r>
              <w:rPr>
                <w:b/>
                <w:i w:val="0"/>
                <w:sz w:val="20"/>
              </w:rPr>
              <w:t>ThO₂, %</w:t>
            </w:r>
          </w:p>
        </w:tc>
        <w:tc>
          <w:tcPr>
            <w:tcW w:type="dxa" w:w="1995"/>
            <w:shd w:val="clear" w:fill="DCE6F1"/>
          </w:tcPr>
          <w:p>
            <w:pPr>
              <w:spacing w:after="0" w:line="240" w:lineRule="auto"/>
              <w:ind w:firstLine="0"/>
              <w:jc w:val="center"/>
            </w:pPr>
            <w:r>
              <w:rPr>
                <w:b/>
                <w:i w:val="0"/>
                <w:sz w:val="20"/>
              </w:rPr>
              <w:t>Основные объекты</w:t>
            </w:r>
          </w:p>
        </w:tc>
      </w:tr>
      <w:tr>
        <w:tc>
          <w:tcPr>
            <w:tcW w:type="dxa" w:w="1995"/>
          </w:tcPr>
          <w:p>
            <w:pPr>
              <w:spacing w:after="0" w:line="240" w:lineRule="auto"/>
              <w:ind w:firstLine="0"/>
              <w:jc w:val="left"/>
            </w:pPr>
            <w:r>
              <w:rPr>
                <w:b w:val="0"/>
                <w:i w:val="0"/>
                <w:sz w:val="20"/>
              </w:rPr>
              <w:t>Бастнезит</w:t>
            </w:r>
          </w:p>
        </w:tc>
        <w:tc>
          <w:tcPr>
            <w:tcW w:type="dxa" w:w="1995"/>
          </w:tcPr>
          <w:p>
            <w:pPr>
              <w:spacing w:after="0" w:line="240" w:lineRule="auto"/>
              <w:ind w:firstLine="0"/>
              <w:jc w:val="center"/>
            </w:pPr>
            <w:r>
              <w:rPr>
                <w:b w:val="0"/>
                <w:i w:val="0"/>
                <w:sz w:val="20"/>
              </w:rPr>
              <w:t>(Ce,La)CO₃F</w:t>
            </w:r>
          </w:p>
        </w:tc>
        <w:tc>
          <w:tcPr>
            <w:tcW w:type="dxa" w:w="1995"/>
          </w:tcPr>
          <w:p>
            <w:pPr>
              <w:spacing w:after="0" w:line="240" w:lineRule="auto"/>
              <w:ind w:firstLine="0"/>
              <w:jc w:val="center"/>
            </w:pPr>
            <w:r>
              <w:rPr>
                <w:b w:val="0"/>
                <w:i w:val="0"/>
                <w:sz w:val="20"/>
              </w:rPr>
              <w:t>70–75</w:t>
            </w:r>
          </w:p>
        </w:tc>
        <w:tc>
          <w:tcPr>
            <w:tcW w:type="dxa" w:w="1995"/>
          </w:tcPr>
          <w:p>
            <w:pPr>
              <w:spacing w:after="0" w:line="240" w:lineRule="auto"/>
              <w:ind w:firstLine="0"/>
              <w:jc w:val="center"/>
            </w:pPr>
            <w:r>
              <w:rPr>
                <w:b w:val="0"/>
                <w:i w:val="0"/>
                <w:sz w:val="20"/>
              </w:rPr>
              <w:t>0,1–0,3</w:t>
            </w:r>
          </w:p>
        </w:tc>
        <w:tc>
          <w:tcPr>
            <w:tcW w:type="dxa" w:w="1995"/>
          </w:tcPr>
          <w:p>
            <w:pPr>
              <w:spacing w:after="0" w:line="240" w:lineRule="auto"/>
              <w:ind w:firstLine="0"/>
              <w:jc w:val="center"/>
            </w:pPr>
            <w:r>
              <w:rPr>
                <w:b w:val="0"/>
                <w:i w:val="0"/>
                <w:sz w:val="20"/>
              </w:rPr>
              <w:t>Bayan Obo, Mountain Pass, Maoniuping</w:t>
            </w:r>
          </w:p>
        </w:tc>
      </w:tr>
      <w:tr>
        <w:tc>
          <w:tcPr>
            <w:tcW w:type="dxa" w:w="1995"/>
          </w:tcPr>
          <w:p>
            <w:pPr>
              <w:spacing w:after="0" w:line="240" w:lineRule="auto"/>
              <w:ind w:firstLine="0"/>
              <w:jc w:val="left"/>
            </w:pPr>
            <w:r>
              <w:rPr>
                <w:b w:val="0"/>
                <w:i w:val="0"/>
                <w:sz w:val="20"/>
              </w:rPr>
              <w:t>Монацит</w:t>
            </w:r>
          </w:p>
        </w:tc>
        <w:tc>
          <w:tcPr>
            <w:tcW w:type="dxa" w:w="1995"/>
          </w:tcPr>
          <w:p>
            <w:pPr>
              <w:spacing w:after="0" w:line="240" w:lineRule="auto"/>
              <w:ind w:firstLine="0"/>
              <w:jc w:val="center"/>
            </w:pPr>
            <w:r>
              <w:rPr>
                <w:b w:val="0"/>
                <w:i w:val="0"/>
                <w:sz w:val="20"/>
              </w:rPr>
              <w:t>(Ce,La,Nd,Th)PO₄</w:t>
            </w:r>
          </w:p>
        </w:tc>
        <w:tc>
          <w:tcPr>
            <w:tcW w:type="dxa" w:w="1995"/>
          </w:tcPr>
          <w:p>
            <w:pPr>
              <w:spacing w:after="0" w:line="240" w:lineRule="auto"/>
              <w:ind w:firstLine="0"/>
              <w:jc w:val="center"/>
            </w:pPr>
            <w:r>
              <w:rPr>
                <w:b w:val="0"/>
                <w:i w:val="0"/>
                <w:sz w:val="20"/>
              </w:rPr>
              <w:t>55–65</w:t>
            </w:r>
          </w:p>
        </w:tc>
        <w:tc>
          <w:tcPr>
            <w:tcW w:type="dxa" w:w="1995"/>
          </w:tcPr>
          <w:p>
            <w:pPr>
              <w:spacing w:after="0" w:line="240" w:lineRule="auto"/>
              <w:ind w:firstLine="0"/>
              <w:jc w:val="center"/>
            </w:pPr>
            <w:r>
              <w:rPr>
                <w:b w:val="0"/>
                <w:i w:val="0"/>
                <w:sz w:val="20"/>
              </w:rPr>
              <w:t>4–12</w:t>
            </w:r>
          </w:p>
        </w:tc>
        <w:tc>
          <w:tcPr>
            <w:tcW w:type="dxa" w:w="1995"/>
          </w:tcPr>
          <w:p>
            <w:pPr>
              <w:spacing w:after="0" w:line="240" w:lineRule="auto"/>
              <w:ind w:firstLine="0"/>
              <w:jc w:val="center"/>
            </w:pPr>
            <w:r>
              <w:rPr>
                <w:b w:val="0"/>
                <w:i w:val="0"/>
                <w:sz w:val="20"/>
              </w:rPr>
              <w:t>россыпи Индии, Бразилии, Австралии</w:t>
            </w:r>
          </w:p>
        </w:tc>
      </w:tr>
      <w:tr>
        <w:tc>
          <w:tcPr>
            <w:tcW w:type="dxa" w:w="1995"/>
          </w:tcPr>
          <w:p>
            <w:pPr>
              <w:spacing w:after="0" w:line="240" w:lineRule="auto"/>
              <w:ind w:firstLine="0"/>
              <w:jc w:val="left"/>
            </w:pPr>
            <w:r>
              <w:rPr>
                <w:b w:val="0"/>
                <w:i w:val="0"/>
                <w:sz w:val="20"/>
              </w:rPr>
              <w:t>Ксенотим</w:t>
            </w:r>
          </w:p>
        </w:tc>
        <w:tc>
          <w:tcPr>
            <w:tcW w:type="dxa" w:w="1995"/>
          </w:tcPr>
          <w:p>
            <w:pPr>
              <w:spacing w:after="0" w:line="240" w:lineRule="auto"/>
              <w:ind w:firstLine="0"/>
              <w:jc w:val="center"/>
            </w:pPr>
            <w:r>
              <w:rPr>
                <w:b w:val="0"/>
                <w:i w:val="0"/>
                <w:sz w:val="20"/>
              </w:rPr>
              <w:t>YPO₄</w:t>
            </w:r>
          </w:p>
        </w:tc>
        <w:tc>
          <w:tcPr>
            <w:tcW w:type="dxa" w:w="1995"/>
          </w:tcPr>
          <w:p>
            <w:pPr>
              <w:spacing w:after="0" w:line="240" w:lineRule="auto"/>
              <w:ind w:firstLine="0"/>
              <w:jc w:val="center"/>
            </w:pPr>
            <w:r>
              <w:rPr>
                <w:b w:val="0"/>
                <w:i w:val="0"/>
                <w:sz w:val="20"/>
              </w:rPr>
              <w:t>55–65</w:t>
            </w:r>
          </w:p>
        </w:tc>
        <w:tc>
          <w:tcPr>
            <w:tcW w:type="dxa" w:w="1995"/>
          </w:tcPr>
          <w:p>
            <w:pPr>
              <w:spacing w:after="0" w:line="240" w:lineRule="auto"/>
              <w:ind w:firstLine="0"/>
              <w:jc w:val="center"/>
            </w:pPr>
            <w:r>
              <w:rPr>
                <w:b w:val="0"/>
                <w:i w:val="0"/>
                <w:sz w:val="20"/>
              </w:rPr>
              <w:t>0,5–3</w:t>
            </w:r>
          </w:p>
        </w:tc>
        <w:tc>
          <w:tcPr>
            <w:tcW w:type="dxa" w:w="1995"/>
          </w:tcPr>
          <w:p>
            <w:pPr>
              <w:spacing w:after="0" w:line="240" w:lineRule="auto"/>
              <w:ind w:firstLine="0"/>
              <w:jc w:val="center"/>
            </w:pPr>
            <w:r>
              <w:rPr>
                <w:b w:val="0"/>
                <w:i w:val="0"/>
                <w:sz w:val="20"/>
              </w:rPr>
              <w:t>россыпи Малайзии, Китая, Австралии</w:t>
            </w:r>
          </w:p>
        </w:tc>
      </w:tr>
      <w:tr>
        <w:tc>
          <w:tcPr>
            <w:tcW w:type="dxa" w:w="1995"/>
          </w:tcPr>
          <w:p>
            <w:pPr>
              <w:spacing w:after="0" w:line="240" w:lineRule="auto"/>
              <w:ind w:firstLine="0"/>
              <w:jc w:val="left"/>
            </w:pPr>
            <w:r>
              <w:rPr>
                <w:b w:val="0"/>
                <w:i w:val="0"/>
                <w:sz w:val="20"/>
              </w:rPr>
              <w:t>Ионно-адсорбц. глины</w:t>
            </w:r>
          </w:p>
        </w:tc>
        <w:tc>
          <w:tcPr>
            <w:tcW w:type="dxa" w:w="1995"/>
          </w:tcPr>
          <w:p>
            <w:pPr>
              <w:spacing w:after="0" w:line="240" w:lineRule="auto"/>
              <w:ind w:firstLine="0"/>
              <w:jc w:val="center"/>
            </w:pPr>
            <w:r>
              <w:rPr>
                <w:b w:val="0"/>
                <w:i w:val="0"/>
                <w:sz w:val="20"/>
              </w:rPr>
              <w:t>адсорбир. форма</w:t>
            </w:r>
          </w:p>
        </w:tc>
        <w:tc>
          <w:tcPr>
            <w:tcW w:type="dxa" w:w="1995"/>
          </w:tcPr>
          <w:p>
            <w:pPr>
              <w:spacing w:after="0" w:line="240" w:lineRule="auto"/>
              <w:ind w:firstLine="0"/>
              <w:jc w:val="center"/>
            </w:pPr>
            <w:r>
              <w:rPr>
                <w:b w:val="0"/>
                <w:i w:val="0"/>
                <w:sz w:val="20"/>
              </w:rPr>
              <w:t>0,05–0,3</w:t>
            </w:r>
          </w:p>
        </w:tc>
        <w:tc>
          <w:tcPr>
            <w:tcW w:type="dxa" w:w="1995"/>
          </w:tcPr>
          <w:p>
            <w:pPr>
              <w:spacing w:after="0" w:line="240" w:lineRule="auto"/>
              <w:ind w:firstLine="0"/>
              <w:jc w:val="center"/>
            </w:pPr>
            <w:r>
              <w:rPr>
                <w:b w:val="0"/>
                <w:i w:val="0"/>
                <w:sz w:val="20"/>
              </w:rPr>
              <w:t>&lt;0,01</w:t>
            </w:r>
          </w:p>
        </w:tc>
        <w:tc>
          <w:tcPr>
            <w:tcW w:type="dxa" w:w="1995"/>
          </w:tcPr>
          <w:p>
            <w:pPr>
              <w:spacing w:after="0" w:line="240" w:lineRule="auto"/>
              <w:ind w:firstLine="0"/>
              <w:jc w:val="center"/>
            </w:pPr>
            <w:r>
              <w:rPr>
                <w:b w:val="0"/>
                <w:i w:val="0"/>
                <w:sz w:val="20"/>
              </w:rPr>
              <w:t>Цзянси, Гуандун, Мьянма, Лаос</w:t>
            </w:r>
          </w:p>
        </w:tc>
      </w:tr>
      <w:tr>
        <w:tc>
          <w:tcPr>
            <w:tcW w:type="dxa" w:w="1995"/>
          </w:tcPr>
          <w:p>
            <w:pPr>
              <w:spacing w:after="0" w:line="240" w:lineRule="auto"/>
              <w:ind w:firstLine="0"/>
              <w:jc w:val="left"/>
            </w:pPr>
            <w:r>
              <w:rPr>
                <w:b w:val="0"/>
                <w:i w:val="0"/>
                <w:sz w:val="20"/>
              </w:rPr>
              <w:t>Лопарит</w:t>
            </w:r>
          </w:p>
        </w:tc>
        <w:tc>
          <w:tcPr>
            <w:tcW w:type="dxa" w:w="1995"/>
          </w:tcPr>
          <w:p>
            <w:pPr>
              <w:spacing w:after="0" w:line="240" w:lineRule="auto"/>
              <w:ind w:firstLine="0"/>
              <w:jc w:val="center"/>
            </w:pPr>
            <w:r>
              <w:rPr>
                <w:b w:val="0"/>
                <w:i w:val="0"/>
                <w:sz w:val="20"/>
              </w:rPr>
              <w:t>(Na,Ce,Ca)(Ti,Nb)O₃</w:t>
            </w:r>
          </w:p>
        </w:tc>
        <w:tc>
          <w:tcPr>
            <w:tcW w:type="dxa" w:w="1995"/>
          </w:tcPr>
          <w:p>
            <w:pPr>
              <w:spacing w:after="0" w:line="240" w:lineRule="auto"/>
              <w:ind w:firstLine="0"/>
              <w:jc w:val="center"/>
            </w:pPr>
            <w:r>
              <w:rPr>
                <w:b w:val="0"/>
                <w:i w:val="0"/>
                <w:sz w:val="20"/>
              </w:rPr>
              <w:t>30–34</w:t>
            </w:r>
          </w:p>
        </w:tc>
        <w:tc>
          <w:tcPr>
            <w:tcW w:type="dxa" w:w="1995"/>
          </w:tcPr>
          <w:p>
            <w:pPr>
              <w:spacing w:after="0" w:line="240" w:lineRule="auto"/>
              <w:ind w:firstLine="0"/>
              <w:jc w:val="center"/>
            </w:pPr>
            <w:r>
              <w:rPr>
                <w:b w:val="0"/>
                <w:i w:val="0"/>
                <w:sz w:val="20"/>
              </w:rPr>
              <w:t>0,5–0,7</w:t>
            </w:r>
          </w:p>
        </w:tc>
        <w:tc>
          <w:tcPr>
            <w:tcW w:type="dxa" w:w="1995"/>
          </w:tcPr>
          <w:p>
            <w:pPr>
              <w:spacing w:after="0" w:line="240" w:lineRule="auto"/>
              <w:ind w:firstLine="0"/>
              <w:jc w:val="center"/>
            </w:pPr>
            <w:r>
              <w:rPr>
                <w:b w:val="0"/>
                <w:i w:val="0"/>
                <w:sz w:val="20"/>
              </w:rPr>
              <w:t>Ловозёрский массив (РФ)</w:t>
            </w:r>
          </w:p>
        </w:tc>
      </w:tr>
      <w:tr>
        <w:tc>
          <w:tcPr>
            <w:tcW w:type="dxa" w:w="1995"/>
          </w:tcPr>
          <w:p>
            <w:pPr>
              <w:spacing w:after="0" w:line="240" w:lineRule="auto"/>
              <w:ind w:firstLine="0"/>
              <w:jc w:val="left"/>
            </w:pPr>
            <w:r>
              <w:rPr>
                <w:b w:val="0"/>
                <w:i w:val="0"/>
                <w:sz w:val="20"/>
              </w:rPr>
              <w:t>Эвдиалит</w:t>
            </w:r>
          </w:p>
        </w:tc>
        <w:tc>
          <w:tcPr>
            <w:tcW w:type="dxa" w:w="1995"/>
          </w:tcPr>
          <w:p>
            <w:pPr>
              <w:spacing w:after="0" w:line="240" w:lineRule="auto"/>
              <w:ind w:firstLine="0"/>
              <w:jc w:val="center"/>
            </w:pPr>
            <w:r>
              <w:rPr>
                <w:b w:val="0"/>
                <w:i w:val="0"/>
                <w:sz w:val="20"/>
              </w:rPr>
              <w:t>цирконосиликат</w:t>
            </w:r>
          </w:p>
        </w:tc>
        <w:tc>
          <w:tcPr>
            <w:tcW w:type="dxa" w:w="1995"/>
          </w:tcPr>
          <w:p>
            <w:pPr>
              <w:spacing w:after="0" w:line="240" w:lineRule="auto"/>
              <w:ind w:firstLine="0"/>
              <w:jc w:val="center"/>
            </w:pPr>
            <w:r>
              <w:rPr>
                <w:b w:val="0"/>
                <w:i w:val="0"/>
                <w:sz w:val="20"/>
              </w:rPr>
              <w:t>1,2–2,5</w:t>
            </w:r>
          </w:p>
        </w:tc>
        <w:tc>
          <w:tcPr>
            <w:tcW w:type="dxa" w:w="1995"/>
          </w:tcPr>
          <w:p>
            <w:pPr>
              <w:spacing w:after="0" w:line="240" w:lineRule="auto"/>
              <w:ind w:firstLine="0"/>
              <w:jc w:val="center"/>
            </w:pPr>
            <w:r>
              <w:rPr>
                <w:b w:val="0"/>
                <w:i w:val="0"/>
                <w:sz w:val="20"/>
              </w:rPr>
              <w:t>&lt;0,1</w:t>
            </w:r>
          </w:p>
        </w:tc>
        <w:tc>
          <w:tcPr>
            <w:tcW w:type="dxa" w:w="1995"/>
          </w:tcPr>
          <w:p>
            <w:pPr>
              <w:spacing w:after="0" w:line="240" w:lineRule="auto"/>
              <w:ind w:firstLine="0"/>
              <w:jc w:val="center"/>
            </w:pPr>
            <w:r>
              <w:rPr>
                <w:b w:val="0"/>
                <w:i w:val="0"/>
                <w:sz w:val="20"/>
              </w:rPr>
              <w:t>Ловозеро (РФ), Кринглерне (Гренландия)</w:t>
            </w:r>
          </w:p>
        </w:tc>
      </w:tr>
      <w:tr>
        <w:tc>
          <w:tcPr>
            <w:tcW w:type="dxa" w:w="1995"/>
          </w:tcPr>
          <w:p>
            <w:pPr>
              <w:spacing w:after="0" w:line="240" w:lineRule="auto"/>
              <w:ind w:firstLine="0"/>
              <w:jc w:val="left"/>
            </w:pPr>
            <w:r>
              <w:rPr>
                <w:b w:val="0"/>
                <w:i w:val="0"/>
                <w:sz w:val="20"/>
              </w:rPr>
              <w:t>Апатит</w:t>
            </w:r>
          </w:p>
        </w:tc>
        <w:tc>
          <w:tcPr>
            <w:tcW w:type="dxa" w:w="1995"/>
          </w:tcPr>
          <w:p>
            <w:pPr>
              <w:spacing w:after="0" w:line="240" w:lineRule="auto"/>
              <w:ind w:firstLine="0"/>
              <w:jc w:val="center"/>
            </w:pPr>
            <w:r>
              <w:rPr>
                <w:b w:val="0"/>
                <w:i w:val="0"/>
                <w:sz w:val="20"/>
              </w:rPr>
              <w:t>Ca₅(PO₄)₃(F,OH)</w:t>
            </w:r>
          </w:p>
        </w:tc>
        <w:tc>
          <w:tcPr>
            <w:tcW w:type="dxa" w:w="1995"/>
          </w:tcPr>
          <w:p>
            <w:pPr>
              <w:spacing w:after="0" w:line="240" w:lineRule="auto"/>
              <w:ind w:firstLine="0"/>
              <w:jc w:val="center"/>
            </w:pPr>
            <w:r>
              <w:rPr>
                <w:b w:val="0"/>
                <w:i w:val="0"/>
                <w:sz w:val="20"/>
              </w:rPr>
              <w:t>0,4–1,0</w:t>
            </w:r>
          </w:p>
        </w:tc>
        <w:tc>
          <w:tcPr>
            <w:tcW w:type="dxa" w:w="1995"/>
          </w:tcPr>
          <w:p>
            <w:pPr>
              <w:spacing w:after="0" w:line="240" w:lineRule="auto"/>
              <w:ind w:firstLine="0"/>
              <w:jc w:val="center"/>
            </w:pPr>
            <w:r>
              <w:rPr>
                <w:b w:val="0"/>
                <w:i w:val="0"/>
                <w:sz w:val="20"/>
              </w:rPr>
              <w:t>&lt;0,01</w:t>
            </w:r>
          </w:p>
        </w:tc>
        <w:tc>
          <w:tcPr>
            <w:tcW w:type="dxa" w:w="1995"/>
          </w:tcPr>
          <w:p>
            <w:pPr>
              <w:spacing w:after="0" w:line="240" w:lineRule="auto"/>
              <w:ind w:firstLine="0"/>
              <w:jc w:val="center"/>
            </w:pPr>
            <w:r>
              <w:rPr>
                <w:b w:val="0"/>
                <w:i w:val="0"/>
                <w:sz w:val="20"/>
              </w:rPr>
              <w:t>Хибины (РФ), Ковдор (РФ)</w:t>
            </w:r>
          </w:p>
        </w:tc>
      </w:tr>
      <w:tr>
        <w:tc>
          <w:tcPr>
            <w:tcW w:type="dxa" w:w="1995"/>
          </w:tcPr>
          <w:p>
            <w:pPr>
              <w:spacing w:after="0" w:line="240" w:lineRule="auto"/>
              <w:ind w:firstLine="0"/>
              <w:jc w:val="left"/>
            </w:pPr>
            <w:r>
              <w:rPr>
                <w:b w:val="0"/>
                <w:i w:val="0"/>
                <w:sz w:val="20"/>
              </w:rPr>
              <w:t>Паризит, синхизит</w:t>
            </w:r>
          </w:p>
        </w:tc>
        <w:tc>
          <w:tcPr>
            <w:tcW w:type="dxa" w:w="1995"/>
          </w:tcPr>
          <w:p>
            <w:pPr>
              <w:spacing w:after="0" w:line="240" w:lineRule="auto"/>
              <w:ind w:firstLine="0"/>
              <w:jc w:val="center"/>
            </w:pPr>
            <w:r>
              <w:rPr>
                <w:b w:val="0"/>
                <w:i w:val="0"/>
                <w:sz w:val="20"/>
              </w:rPr>
              <w:t>фторкарбонаты</w:t>
            </w:r>
          </w:p>
        </w:tc>
        <w:tc>
          <w:tcPr>
            <w:tcW w:type="dxa" w:w="1995"/>
          </w:tcPr>
          <w:p>
            <w:pPr>
              <w:spacing w:after="0" w:line="240" w:lineRule="auto"/>
              <w:ind w:firstLine="0"/>
              <w:jc w:val="center"/>
            </w:pPr>
            <w:r>
              <w:rPr>
                <w:b w:val="0"/>
                <w:i w:val="0"/>
                <w:sz w:val="20"/>
              </w:rPr>
              <w:t>45–60</w:t>
            </w:r>
          </w:p>
        </w:tc>
        <w:tc>
          <w:tcPr>
            <w:tcW w:type="dxa" w:w="1995"/>
          </w:tcPr>
          <w:p>
            <w:pPr>
              <w:spacing w:after="0" w:line="240" w:lineRule="auto"/>
              <w:ind w:firstLine="0"/>
              <w:jc w:val="center"/>
            </w:pPr>
            <w:r>
              <w:rPr>
                <w:b w:val="0"/>
                <w:i w:val="0"/>
                <w:sz w:val="20"/>
              </w:rPr>
              <w:t>0,1–0,5</w:t>
            </w:r>
          </w:p>
        </w:tc>
        <w:tc>
          <w:tcPr>
            <w:tcW w:type="dxa" w:w="1995"/>
          </w:tcPr>
          <w:p>
            <w:pPr>
              <w:spacing w:after="0" w:line="240" w:lineRule="auto"/>
              <w:ind w:firstLine="0"/>
              <w:jc w:val="center"/>
            </w:pPr>
            <w:r>
              <w:rPr>
                <w:b w:val="0"/>
                <w:i w:val="0"/>
                <w:sz w:val="20"/>
              </w:rPr>
              <w:t>Чуктукон, Томтор (РФ)</w:t>
            </w:r>
          </w:p>
        </w:tc>
      </w:tr>
      <w:tr>
        <w:tc>
          <w:tcPr>
            <w:tcW w:type="dxa" w:w="1995"/>
          </w:tcPr>
          <w:p>
            <w:pPr>
              <w:spacing w:after="0" w:line="240" w:lineRule="auto"/>
              <w:ind w:firstLine="0"/>
              <w:jc w:val="left"/>
            </w:pPr>
            <w:r>
              <w:rPr>
                <w:b w:val="0"/>
                <w:i w:val="0"/>
                <w:sz w:val="20"/>
              </w:rPr>
              <w:t>Ферриторит, монацит кор выветр.</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5–12</w:t>
            </w:r>
          </w:p>
        </w:tc>
        <w:tc>
          <w:tcPr>
            <w:tcW w:type="dxa" w:w="1995"/>
          </w:tcPr>
          <w:p>
            <w:pPr>
              <w:spacing w:after="0" w:line="240" w:lineRule="auto"/>
              <w:ind w:firstLine="0"/>
              <w:jc w:val="center"/>
            </w:pPr>
            <w:r>
              <w:rPr>
                <w:b w:val="0"/>
                <w:i w:val="0"/>
                <w:sz w:val="20"/>
              </w:rPr>
              <w:t>0,3–1,5</w:t>
            </w:r>
          </w:p>
        </w:tc>
        <w:tc>
          <w:tcPr>
            <w:tcW w:type="dxa" w:w="1995"/>
          </w:tcPr>
          <w:p>
            <w:pPr>
              <w:spacing w:after="0" w:line="240" w:lineRule="auto"/>
              <w:ind w:firstLine="0"/>
              <w:jc w:val="center"/>
            </w:pPr>
            <w:r>
              <w:rPr>
                <w:b w:val="0"/>
                <w:i w:val="0"/>
                <w:sz w:val="20"/>
              </w:rPr>
              <w:t>Томтор (РФ)</w:t>
            </w:r>
          </w:p>
        </w:tc>
      </w:tr>
      <w:tr>
        <w:tc>
          <w:tcPr>
            <w:tcW w:type="dxa" w:w="1995"/>
          </w:tcPr>
          <w:p>
            <w:pPr>
              <w:spacing w:after="0" w:line="240" w:lineRule="auto"/>
              <w:ind w:firstLine="0"/>
              <w:jc w:val="left"/>
            </w:pPr>
            <w:r>
              <w:rPr>
                <w:b w:val="0"/>
                <w:i w:val="0"/>
                <w:sz w:val="20"/>
              </w:rPr>
              <w:t>Циркон</w:t>
            </w:r>
          </w:p>
        </w:tc>
        <w:tc>
          <w:tcPr>
            <w:tcW w:type="dxa" w:w="1995"/>
          </w:tcPr>
          <w:p>
            <w:pPr>
              <w:spacing w:after="0" w:line="240" w:lineRule="auto"/>
              <w:ind w:firstLine="0"/>
              <w:jc w:val="center"/>
            </w:pPr>
            <w:r>
              <w:rPr>
                <w:b w:val="0"/>
                <w:i w:val="0"/>
                <w:sz w:val="20"/>
              </w:rPr>
              <w:t>ZrSiO₄</w:t>
            </w:r>
          </w:p>
        </w:tc>
        <w:tc>
          <w:tcPr>
            <w:tcW w:type="dxa" w:w="1995"/>
          </w:tcPr>
          <w:p>
            <w:pPr>
              <w:spacing w:after="0" w:line="240" w:lineRule="auto"/>
              <w:ind w:firstLine="0"/>
              <w:jc w:val="center"/>
            </w:pPr>
            <w:r>
              <w:rPr>
                <w:b w:val="0"/>
                <w:i w:val="0"/>
                <w:sz w:val="20"/>
              </w:rPr>
              <w:t>0,1–1,0</w:t>
            </w:r>
          </w:p>
        </w:tc>
        <w:tc>
          <w:tcPr>
            <w:tcW w:type="dxa" w:w="1995"/>
          </w:tcPr>
          <w:p>
            <w:pPr>
              <w:spacing w:after="0" w:line="240" w:lineRule="auto"/>
              <w:ind w:firstLine="0"/>
              <w:jc w:val="center"/>
            </w:pPr>
            <w:r>
              <w:rPr>
                <w:b w:val="0"/>
                <w:i w:val="0"/>
                <w:sz w:val="20"/>
              </w:rPr>
              <w:t>0,01–0,05</w:t>
            </w:r>
          </w:p>
        </w:tc>
        <w:tc>
          <w:tcPr>
            <w:tcW w:type="dxa" w:w="1995"/>
          </w:tcPr>
          <w:p>
            <w:pPr>
              <w:spacing w:after="0" w:line="240" w:lineRule="auto"/>
              <w:ind w:firstLine="0"/>
              <w:jc w:val="center"/>
            </w:pPr>
            <w:r>
              <w:rPr>
                <w:b w:val="0"/>
                <w:i w:val="0"/>
                <w:sz w:val="20"/>
              </w:rPr>
              <w:t>россыпи (попутный источник Sc, Y)</w:t>
            </w:r>
          </w:p>
        </w:tc>
      </w:tr>
    </w:tbl>
    <w:p>
      <w:pPr>
        <w:spacing w:after="180"/>
        <w:ind w:firstLine="0"/>
      </w:pPr>
      <w:r>
        <w:rPr>
          <w:i/>
          <w:sz w:val="20"/>
        </w:rPr>
        <w:t>Источник: аналитический центр по данным геологических служб и корпоративных раскрытий</w:t>
      </w:r>
    </w:p>
    <w:p>
      <w:pPr>
        <w:keepNext/>
        <w:spacing w:before="160" w:after="60"/>
        <w:ind w:firstLine="0"/>
        <w:jc w:val="left"/>
      </w:pPr>
      <w:r>
        <w:rPr>
          <w:b/>
          <w:sz w:val="22"/>
        </w:rPr>
        <w:t>Таблица 4. Типовое распределение редкоземельных элементов в основных типах сырья, % от TREO</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Элемент</w:t>
            </w:r>
          </w:p>
        </w:tc>
        <w:tc>
          <w:tcPr>
            <w:tcW w:type="dxa" w:w="1425"/>
            <w:shd w:val="clear" w:fill="DCE6F1"/>
          </w:tcPr>
          <w:p>
            <w:pPr>
              <w:spacing w:after="0" w:line="240" w:lineRule="auto"/>
              <w:ind w:firstLine="0"/>
              <w:jc w:val="center"/>
            </w:pPr>
            <w:r>
              <w:rPr>
                <w:b/>
                <w:i w:val="0"/>
                <w:sz w:val="20"/>
              </w:rPr>
              <w:t>Бастнезит Mountain Pass</w:t>
            </w:r>
          </w:p>
        </w:tc>
        <w:tc>
          <w:tcPr>
            <w:tcW w:type="dxa" w:w="1425"/>
            <w:shd w:val="clear" w:fill="DCE6F1"/>
          </w:tcPr>
          <w:p>
            <w:pPr>
              <w:spacing w:after="0" w:line="240" w:lineRule="auto"/>
              <w:ind w:firstLine="0"/>
              <w:jc w:val="center"/>
            </w:pPr>
            <w:r>
              <w:rPr>
                <w:b/>
                <w:i w:val="0"/>
                <w:sz w:val="20"/>
              </w:rPr>
              <w:t>Бастнезит Bayan Obo</w:t>
            </w:r>
          </w:p>
        </w:tc>
        <w:tc>
          <w:tcPr>
            <w:tcW w:type="dxa" w:w="1425"/>
            <w:shd w:val="clear" w:fill="DCE6F1"/>
          </w:tcPr>
          <w:p>
            <w:pPr>
              <w:spacing w:after="0" w:line="240" w:lineRule="auto"/>
              <w:ind w:firstLine="0"/>
              <w:jc w:val="center"/>
            </w:pPr>
            <w:r>
              <w:rPr>
                <w:b/>
                <w:i w:val="0"/>
                <w:sz w:val="20"/>
              </w:rPr>
              <w:t>Монацит (россыпи)</w:t>
            </w:r>
          </w:p>
        </w:tc>
        <w:tc>
          <w:tcPr>
            <w:tcW w:type="dxa" w:w="1425"/>
            <w:shd w:val="clear" w:fill="DCE6F1"/>
          </w:tcPr>
          <w:p>
            <w:pPr>
              <w:spacing w:after="0" w:line="240" w:lineRule="auto"/>
              <w:ind w:firstLine="0"/>
              <w:jc w:val="center"/>
            </w:pPr>
            <w:r>
              <w:rPr>
                <w:b/>
                <w:i w:val="0"/>
                <w:sz w:val="20"/>
              </w:rPr>
              <w:t>Ионно-адс. глины (тяж. тип)</w:t>
            </w:r>
          </w:p>
        </w:tc>
        <w:tc>
          <w:tcPr>
            <w:tcW w:type="dxa" w:w="1425"/>
            <w:shd w:val="clear" w:fill="DCE6F1"/>
          </w:tcPr>
          <w:p>
            <w:pPr>
              <w:spacing w:after="0" w:line="240" w:lineRule="auto"/>
              <w:ind w:firstLine="0"/>
              <w:jc w:val="center"/>
            </w:pPr>
            <w:r>
              <w:rPr>
                <w:b/>
                <w:i w:val="0"/>
                <w:sz w:val="20"/>
              </w:rPr>
              <w:t>Лопарит Ловозеро</w:t>
            </w:r>
          </w:p>
        </w:tc>
        <w:tc>
          <w:tcPr>
            <w:tcW w:type="dxa" w:w="1425"/>
            <w:shd w:val="clear" w:fill="DCE6F1"/>
          </w:tcPr>
          <w:p>
            <w:pPr>
              <w:spacing w:after="0" w:line="240" w:lineRule="auto"/>
              <w:ind w:firstLine="0"/>
              <w:jc w:val="center"/>
            </w:pPr>
            <w:r>
              <w:rPr>
                <w:b/>
                <w:i w:val="0"/>
                <w:sz w:val="20"/>
              </w:rPr>
              <w:t>Кора выветр. Томтор</w:t>
            </w:r>
          </w:p>
        </w:tc>
      </w:tr>
      <w:tr>
        <w:tc>
          <w:tcPr>
            <w:tcW w:type="dxa" w:w="1425"/>
          </w:tcPr>
          <w:p>
            <w:pPr>
              <w:spacing w:after="0" w:line="240" w:lineRule="auto"/>
              <w:ind w:firstLine="0"/>
              <w:jc w:val="left"/>
            </w:pPr>
            <w:r>
              <w:rPr>
                <w:b w:val="0"/>
                <w:i w:val="0"/>
                <w:sz w:val="20"/>
              </w:rPr>
              <w:t>La₂O₃</w:t>
            </w:r>
          </w:p>
        </w:tc>
        <w:tc>
          <w:tcPr>
            <w:tcW w:type="dxa" w:w="1425"/>
          </w:tcPr>
          <w:p>
            <w:pPr>
              <w:spacing w:after="0" w:line="240" w:lineRule="auto"/>
              <w:ind w:firstLine="0"/>
              <w:jc w:val="center"/>
            </w:pPr>
            <w:r>
              <w:rPr>
                <w:b w:val="0"/>
                <w:i w:val="0"/>
                <w:sz w:val="20"/>
              </w:rPr>
              <w:t>33,2</w:t>
            </w:r>
          </w:p>
        </w:tc>
        <w:tc>
          <w:tcPr>
            <w:tcW w:type="dxa" w:w="1425"/>
          </w:tcPr>
          <w:p>
            <w:pPr>
              <w:spacing w:after="0" w:line="240" w:lineRule="auto"/>
              <w:ind w:firstLine="0"/>
              <w:jc w:val="center"/>
            </w:pPr>
            <w:r>
              <w:rPr>
                <w:b w:val="0"/>
                <w:i w:val="0"/>
                <w:sz w:val="20"/>
              </w:rPr>
              <w:t>26,0</w:t>
            </w:r>
          </w:p>
        </w:tc>
        <w:tc>
          <w:tcPr>
            <w:tcW w:type="dxa" w:w="1425"/>
          </w:tcPr>
          <w:p>
            <w:pPr>
              <w:spacing w:after="0" w:line="240" w:lineRule="auto"/>
              <w:ind w:firstLine="0"/>
              <w:jc w:val="center"/>
            </w:pPr>
            <w:r>
              <w:rPr>
                <w:b w:val="0"/>
                <w:i w:val="0"/>
                <w:sz w:val="20"/>
              </w:rPr>
              <w:t>23,0</w:t>
            </w:r>
          </w:p>
        </w:tc>
        <w:tc>
          <w:tcPr>
            <w:tcW w:type="dxa" w:w="1425"/>
          </w:tcPr>
          <w:p>
            <w:pPr>
              <w:spacing w:after="0" w:line="240" w:lineRule="auto"/>
              <w:ind w:firstLine="0"/>
              <w:jc w:val="center"/>
            </w:pPr>
            <w:r>
              <w:rPr>
                <w:b w:val="0"/>
                <w:i w:val="0"/>
                <w:sz w:val="20"/>
              </w:rPr>
              <w:t>2,2</w:t>
            </w:r>
          </w:p>
        </w:tc>
        <w:tc>
          <w:tcPr>
            <w:tcW w:type="dxa" w:w="1425"/>
          </w:tcPr>
          <w:p>
            <w:pPr>
              <w:spacing w:after="0" w:line="240" w:lineRule="auto"/>
              <w:ind w:firstLine="0"/>
              <w:jc w:val="center"/>
            </w:pPr>
            <w:r>
              <w:rPr>
                <w:b w:val="0"/>
                <w:i w:val="0"/>
                <w:sz w:val="20"/>
              </w:rPr>
              <w:t>25,0</w:t>
            </w:r>
          </w:p>
        </w:tc>
        <w:tc>
          <w:tcPr>
            <w:tcW w:type="dxa" w:w="1425"/>
          </w:tcPr>
          <w:p>
            <w:pPr>
              <w:spacing w:after="0" w:line="240" w:lineRule="auto"/>
              <w:ind w:firstLine="0"/>
              <w:jc w:val="center"/>
            </w:pPr>
            <w:r>
              <w:rPr>
                <w:b w:val="0"/>
                <w:i w:val="0"/>
                <w:sz w:val="20"/>
              </w:rPr>
              <w:t>17,5</w:t>
            </w:r>
          </w:p>
        </w:tc>
      </w:tr>
      <w:tr>
        <w:tc>
          <w:tcPr>
            <w:tcW w:type="dxa" w:w="1425"/>
          </w:tcPr>
          <w:p>
            <w:pPr>
              <w:spacing w:after="0" w:line="240" w:lineRule="auto"/>
              <w:ind w:firstLine="0"/>
              <w:jc w:val="left"/>
            </w:pPr>
            <w:r>
              <w:rPr>
                <w:b w:val="0"/>
                <w:i w:val="0"/>
                <w:sz w:val="20"/>
              </w:rPr>
              <w:t>CeO₂</w:t>
            </w:r>
          </w:p>
        </w:tc>
        <w:tc>
          <w:tcPr>
            <w:tcW w:type="dxa" w:w="1425"/>
          </w:tcPr>
          <w:p>
            <w:pPr>
              <w:spacing w:after="0" w:line="240" w:lineRule="auto"/>
              <w:ind w:firstLine="0"/>
              <w:jc w:val="center"/>
            </w:pPr>
            <w:r>
              <w:rPr>
                <w:b w:val="0"/>
                <w:i w:val="0"/>
                <w:sz w:val="20"/>
              </w:rPr>
              <w:t>49,1</w:t>
            </w:r>
          </w:p>
        </w:tc>
        <w:tc>
          <w:tcPr>
            <w:tcW w:type="dxa" w:w="1425"/>
          </w:tcPr>
          <w:p>
            <w:pPr>
              <w:spacing w:after="0" w:line="240" w:lineRule="auto"/>
              <w:ind w:firstLine="0"/>
              <w:jc w:val="center"/>
            </w:pPr>
            <w:r>
              <w:rPr>
                <w:b w:val="0"/>
                <w:i w:val="0"/>
                <w:sz w:val="20"/>
              </w:rPr>
              <w:t>50,0</w:t>
            </w:r>
          </w:p>
        </w:tc>
        <w:tc>
          <w:tcPr>
            <w:tcW w:type="dxa" w:w="1425"/>
          </w:tcPr>
          <w:p>
            <w:pPr>
              <w:spacing w:after="0" w:line="240" w:lineRule="auto"/>
              <w:ind w:firstLine="0"/>
              <w:jc w:val="center"/>
            </w:pPr>
            <w:r>
              <w:rPr>
                <w:b w:val="0"/>
                <w:i w:val="0"/>
                <w:sz w:val="20"/>
              </w:rPr>
              <w:t>46,0</w:t>
            </w:r>
          </w:p>
        </w:tc>
        <w:tc>
          <w:tcPr>
            <w:tcW w:type="dxa" w:w="1425"/>
          </w:tcPr>
          <w:p>
            <w:pPr>
              <w:spacing w:after="0" w:line="240" w:lineRule="auto"/>
              <w:ind w:firstLine="0"/>
              <w:jc w:val="center"/>
            </w:pPr>
            <w:r>
              <w:rPr>
                <w:b w:val="0"/>
                <w:i w:val="0"/>
                <w:sz w:val="20"/>
              </w:rPr>
              <w:t>1,0</w:t>
            </w:r>
          </w:p>
        </w:tc>
        <w:tc>
          <w:tcPr>
            <w:tcW w:type="dxa" w:w="1425"/>
          </w:tcPr>
          <w:p>
            <w:pPr>
              <w:spacing w:after="0" w:line="240" w:lineRule="auto"/>
              <w:ind w:firstLine="0"/>
              <w:jc w:val="center"/>
            </w:pPr>
            <w:r>
              <w:rPr>
                <w:b w:val="0"/>
                <w:i w:val="0"/>
                <w:sz w:val="20"/>
              </w:rPr>
              <w:t>51,0</w:t>
            </w:r>
          </w:p>
        </w:tc>
        <w:tc>
          <w:tcPr>
            <w:tcW w:type="dxa" w:w="1425"/>
          </w:tcPr>
          <w:p>
            <w:pPr>
              <w:spacing w:after="0" w:line="240" w:lineRule="auto"/>
              <w:ind w:firstLine="0"/>
              <w:jc w:val="center"/>
            </w:pPr>
            <w:r>
              <w:rPr>
                <w:b w:val="0"/>
                <w:i w:val="0"/>
                <w:sz w:val="20"/>
              </w:rPr>
              <w:t>39,0</w:t>
            </w:r>
          </w:p>
        </w:tc>
      </w:tr>
      <w:tr>
        <w:tc>
          <w:tcPr>
            <w:tcW w:type="dxa" w:w="1425"/>
          </w:tcPr>
          <w:p>
            <w:pPr>
              <w:spacing w:after="0" w:line="240" w:lineRule="auto"/>
              <w:ind w:firstLine="0"/>
              <w:jc w:val="left"/>
            </w:pPr>
            <w:r>
              <w:rPr>
                <w:b w:val="0"/>
                <w:i w:val="0"/>
                <w:sz w:val="20"/>
              </w:rPr>
              <w:t>Pr₆O₁₁</w:t>
            </w:r>
          </w:p>
        </w:tc>
        <w:tc>
          <w:tcPr>
            <w:tcW w:type="dxa" w:w="1425"/>
          </w:tcPr>
          <w:p>
            <w:pPr>
              <w:spacing w:after="0" w:line="240" w:lineRule="auto"/>
              <w:ind w:firstLine="0"/>
              <w:jc w:val="center"/>
            </w:pPr>
            <w:r>
              <w:rPr>
                <w:b w:val="0"/>
                <w:i w:val="0"/>
                <w:sz w:val="20"/>
              </w:rPr>
              <w:t>4,3</w:t>
            </w:r>
          </w:p>
        </w:tc>
        <w:tc>
          <w:tcPr>
            <w:tcW w:type="dxa" w:w="1425"/>
          </w:tcPr>
          <w:p>
            <w:pPr>
              <w:spacing w:after="0" w:line="240" w:lineRule="auto"/>
              <w:ind w:firstLine="0"/>
              <w:jc w:val="center"/>
            </w:pPr>
            <w:r>
              <w:rPr>
                <w:b w:val="0"/>
                <w:i w:val="0"/>
                <w:sz w:val="20"/>
              </w:rPr>
              <w:t>5,1</w:t>
            </w:r>
          </w:p>
        </w:tc>
        <w:tc>
          <w:tcPr>
            <w:tcW w:type="dxa" w:w="1425"/>
          </w:tcPr>
          <w:p>
            <w:pPr>
              <w:spacing w:after="0" w:line="240" w:lineRule="auto"/>
              <w:ind w:firstLine="0"/>
              <w:jc w:val="center"/>
            </w:pPr>
            <w:r>
              <w:rPr>
                <w:b w:val="0"/>
                <w:i w:val="0"/>
                <w:sz w:val="20"/>
              </w:rPr>
              <w:t>5,5</w:t>
            </w:r>
          </w:p>
        </w:tc>
        <w:tc>
          <w:tcPr>
            <w:tcW w:type="dxa" w:w="1425"/>
          </w:tcPr>
          <w:p>
            <w:pPr>
              <w:spacing w:after="0" w:line="240" w:lineRule="auto"/>
              <w:ind w:firstLine="0"/>
              <w:jc w:val="center"/>
            </w:pPr>
            <w:r>
              <w:rPr>
                <w:b w:val="0"/>
                <w:i w:val="0"/>
                <w:sz w:val="20"/>
              </w:rPr>
              <w:t>1,1</w:t>
            </w:r>
          </w:p>
        </w:tc>
        <w:tc>
          <w:tcPr>
            <w:tcW w:type="dxa" w:w="1425"/>
          </w:tcPr>
          <w:p>
            <w:pPr>
              <w:spacing w:after="0" w:line="240" w:lineRule="auto"/>
              <w:ind w:firstLine="0"/>
              <w:jc w:val="center"/>
            </w:pPr>
            <w:r>
              <w:rPr>
                <w:b w:val="0"/>
                <w:i w:val="0"/>
                <w:sz w:val="20"/>
              </w:rPr>
              <w:t>5,0</w:t>
            </w:r>
          </w:p>
        </w:tc>
        <w:tc>
          <w:tcPr>
            <w:tcW w:type="dxa" w:w="1425"/>
          </w:tcPr>
          <w:p>
            <w:pPr>
              <w:spacing w:after="0" w:line="240" w:lineRule="auto"/>
              <w:ind w:firstLine="0"/>
              <w:jc w:val="center"/>
            </w:pPr>
            <w:r>
              <w:rPr>
                <w:b w:val="0"/>
                <w:i w:val="0"/>
                <w:sz w:val="20"/>
              </w:rPr>
              <w:t>4,6</w:t>
            </w:r>
          </w:p>
        </w:tc>
      </w:tr>
      <w:tr>
        <w:tc>
          <w:tcPr>
            <w:tcW w:type="dxa" w:w="1425"/>
          </w:tcPr>
          <w:p>
            <w:pPr>
              <w:spacing w:after="0" w:line="240" w:lineRule="auto"/>
              <w:ind w:firstLine="0"/>
              <w:jc w:val="left"/>
            </w:pPr>
            <w:r>
              <w:rPr>
                <w:b w:val="0"/>
                <w:i w:val="0"/>
                <w:sz w:val="20"/>
              </w:rPr>
              <w:t>Nd₂O₃</w:t>
            </w:r>
          </w:p>
        </w:tc>
        <w:tc>
          <w:tcPr>
            <w:tcW w:type="dxa" w:w="1425"/>
          </w:tcPr>
          <w:p>
            <w:pPr>
              <w:spacing w:after="0" w:line="240" w:lineRule="auto"/>
              <w:ind w:firstLine="0"/>
              <w:jc w:val="center"/>
            </w:pPr>
            <w:r>
              <w:rPr>
                <w:b w:val="0"/>
                <w:i w:val="0"/>
                <w:sz w:val="20"/>
              </w:rPr>
              <w:t>12,0</w:t>
            </w:r>
          </w:p>
        </w:tc>
        <w:tc>
          <w:tcPr>
            <w:tcW w:type="dxa" w:w="1425"/>
          </w:tcPr>
          <w:p>
            <w:pPr>
              <w:spacing w:after="0" w:line="240" w:lineRule="auto"/>
              <w:ind w:firstLine="0"/>
              <w:jc w:val="center"/>
            </w:pPr>
            <w:r>
              <w:rPr>
                <w:b w:val="0"/>
                <w:i w:val="0"/>
                <w:sz w:val="20"/>
              </w:rPr>
              <w:t>16,6</w:t>
            </w:r>
          </w:p>
        </w:tc>
        <w:tc>
          <w:tcPr>
            <w:tcW w:type="dxa" w:w="1425"/>
          </w:tcPr>
          <w:p>
            <w:pPr>
              <w:spacing w:after="0" w:line="240" w:lineRule="auto"/>
              <w:ind w:firstLine="0"/>
              <w:jc w:val="center"/>
            </w:pPr>
            <w:r>
              <w:rPr>
                <w:b w:val="0"/>
                <w:i w:val="0"/>
                <w:sz w:val="20"/>
              </w:rPr>
              <w:t>18,5</w:t>
            </w:r>
          </w:p>
        </w:tc>
        <w:tc>
          <w:tcPr>
            <w:tcW w:type="dxa" w:w="1425"/>
          </w:tcPr>
          <w:p>
            <w:pPr>
              <w:spacing w:after="0" w:line="240" w:lineRule="auto"/>
              <w:ind w:firstLine="0"/>
              <w:jc w:val="center"/>
            </w:pPr>
            <w:r>
              <w:rPr>
                <w:b w:val="0"/>
                <w:i w:val="0"/>
                <w:sz w:val="20"/>
              </w:rPr>
              <w:t>4,2</w:t>
            </w:r>
          </w:p>
        </w:tc>
        <w:tc>
          <w:tcPr>
            <w:tcW w:type="dxa" w:w="1425"/>
          </w:tcPr>
          <w:p>
            <w:pPr>
              <w:spacing w:after="0" w:line="240" w:lineRule="auto"/>
              <w:ind w:firstLine="0"/>
              <w:jc w:val="center"/>
            </w:pPr>
            <w:r>
              <w:rPr>
                <w:b w:val="0"/>
                <w:i w:val="0"/>
                <w:sz w:val="20"/>
              </w:rPr>
              <w:t>15,0</w:t>
            </w:r>
          </w:p>
        </w:tc>
        <w:tc>
          <w:tcPr>
            <w:tcW w:type="dxa" w:w="1425"/>
          </w:tcPr>
          <w:p>
            <w:pPr>
              <w:spacing w:after="0" w:line="240" w:lineRule="auto"/>
              <w:ind w:firstLine="0"/>
              <w:jc w:val="center"/>
            </w:pPr>
            <w:r>
              <w:rPr>
                <w:b w:val="0"/>
                <w:i w:val="0"/>
                <w:sz w:val="20"/>
              </w:rPr>
              <w:t>16,8</w:t>
            </w:r>
          </w:p>
        </w:tc>
      </w:tr>
      <w:tr>
        <w:tc>
          <w:tcPr>
            <w:tcW w:type="dxa" w:w="1425"/>
          </w:tcPr>
          <w:p>
            <w:pPr>
              <w:spacing w:after="0" w:line="240" w:lineRule="auto"/>
              <w:ind w:firstLine="0"/>
              <w:jc w:val="left"/>
            </w:pPr>
            <w:r>
              <w:rPr>
                <w:b w:val="0"/>
                <w:i w:val="0"/>
                <w:sz w:val="20"/>
              </w:rPr>
              <w:t>Sm₂O₃</w:t>
            </w:r>
          </w:p>
        </w:tc>
        <w:tc>
          <w:tcPr>
            <w:tcW w:type="dxa" w:w="1425"/>
          </w:tcPr>
          <w:p>
            <w:pPr>
              <w:spacing w:after="0" w:line="240" w:lineRule="auto"/>
              <w:ind w:firstLine="0"/>
              <w:jc w:val="center"/>
            </w:pPr>
            <w:r>
              <w:rPr>
                <w:b w:val="0"/>
                <w:i w:val="0"/>
                <w:sz w:val="20"/>
              </w:rPr>
              <w:t>0,8</w:t>
            </w:r>
          </w:p>
        </w:tc>
        <w:tc>
          <w:tcPr>
            <w:tcW w:type="dxa" w:w="1425"/>
          </w:tcPr>
          <w:p>
            <w:pPr>
              <w:spacing w:after="0" w:line="240" w:lineRule="auto"/>
              <w:ind w:firstLine="0"/>
              <w:jc w:val="center"/>
            </w:pPr>
            <w:r>
              <w:rPr>
                <w:b w:val="0"/>
                <w:i w:val="0"/>
                <w:sz w:val="20"/>
              </w:rPr>
              <w:t>1,2</w:t>
            </w:r>
          </w:p>
        </w:tc>
        <w:tc>
          <w:tcPr>
            <w:tcW w:type="dxa" w:w="1425"/>
          </w:tcPr>
          <w:p>
            <w:pPr>
              <w:spacing w:after="0" w:line="240" w:lineRule="auto"/>
              <w:ind w:firstLine="0"/>
              <w:jc w:val="center"/>
            </w:pPr>
            <w:r>
              <w:rPr>
                <w:b w:val="0"/>
                <w:i w:val="0"/>
                <w:sz w:val="20"/>
              </w:rPr>
              <w:t>2,3</w:t>
            </w:r>
          </w:p>
        </w:tc>
        <w:tc>
          <w:tcPr>
            <w:tcW w:type="dxa" w:w="1425"/>
          </w:tcPr>
          <w:p>
            <w:pPr>
              <w:spacing w:after="0" w:line="240" w:lineRule="auto"/>
              <w:ind w:firstLine="0"/>
              <w:jc w:val="center"/>
            </w:pPr>
            <w:r>
              <w:rPr>
                <w:b w:val="0"/>
                <w:i w:val="0"/>
                <w:sz w:val="20"/>
              </w:rPr>
              <w:t>2,8</w:t>
            </w:r>
          </w:p>
        </w:tc>
        <w:tc>
          <w:tcPr>
            <w:tcW w:type="dxa" w:w="1425"/>
          </w:tcPr>
          <w:p>
            <w:pPr>
              <w:spacing w:after="0" w:line="240" w:lineRule="auto"/>
              <w:ind w:firstLine="0"/>
              <w:jc w:val="center"/>
            </w:pPr>
            <w:r>
              <w:rPr>
                <w:b w:val="0"/>
                <w:i w:val="0"/>
                <w:sz w:val="20"/>
              </w:rPr>
              <w:t>1,3</w:t>
            </w:r>
          </w:p>
        </w:tc>
        <w:tc>
          <w:tcPr>
            <w:tcW w:type="dxa" w:w="1425"/>
          </w:tcPr>
          <w:p>
            <w:pPr>
              <w:spacing w:after="0" w:line="240" w:lineRule="auto"/>
              <w:ind w:firstLine="0"/>
              <w:jc w:val="center"/>
            </w:pPr>
            <w:r>
              <w:rPr>
                <w:b w:val="0"/>
                <w:i w:val="0"/>
                <w:sz w:val="20"/>
              </w:rPr>
              <w:t>2,4</w:t>
            </w:r>
          </w:p>
        </w:tc>
      </w:tr>
      <w:tr>
        <w:tc>
          <w:tcPr>
            <w:tcW w:type="dxa" w:w="1425"/>
          </w:tcPr>
          <w:p>
            <w:pPr>
              <w:spacing w:after="0" w:line="240" w:lineRule="auto"/>
              <w:ind w:firstLine="0"/>
              <w:jc w:val="left"/>
            </w:pPr>
            <w:r>
              <w:rPr>
                <w:b w:val="0"/>
                <w:i w:val="0"/>
                <w:sz w:val="20"/>
              </w:rPr>
              <w:t>Eu₂O₃</w:t>
            </w:r>
          </w:p>
        </w:tc>
        <w:tc>
          <w:tcPr>
            <w:tcW w:type="dxa" w:w="1425"/>
          </w:tcPr>
          <w:p>
            <w:pPr>
              <w:spacing w:after="0" w:line="240" w:lineRule="auto"/>
              <w:ind w:firstLine="0"/>
              <w:jc w:val="center"/>
            </w:pPr>
            <w:r>
              <w:rPr>
                <w:b w:val="0"/>
                <w:i w:val="0"/>
                <w:sz w:val="20"/>
              </w:rPr>
              <w:t>0,1</w:t>
            </w:r>
          </w:p>
        </w:tc>
        <w:tc>
          <w:tcPr>
            <w:tcW w:type="dxa" w:w="1425"/>
          </w:tcPr>
          <w:p>
            <w:pPr>
              <w:spacing w:after="0" w:line="240" w:lineRule="auto"/>
              <w:ind w:firstLine="0"/>
              <w:jc w:val="center"/>
            </w:pPr>
            <w:r>
              <w:rPr>
                <w:b w:val="0"/>
                <w:i w:val="0"/>
                <w:sz w:val="20"/>
              </w:rPr>
              <w:t>0,2</w:t>
            </w:r>
          </w:p>
        </w:tc>
        <w:tc>
          <w:tcPr>
            <w:tcW w:type="dxa" w:w="1425"/>
          </w:tcPr>
          <w:p>
            <w:pPr>
              <w:spacing w:after="0" w:line="240" w:lineRule="auto"/>
              <w:ind w:firstLine="0"/>
              <w:jc w:val="center"/>
            </w:pPr>
            <w:r>
              <w:rPr>
                <w:b w:val="0"/>
                <w:i w:val="0"/>
                <w:sz w:val="20"/>
              </w:rPr>
              <w:t>0,3</w:t>
            </w:r>
          </w:p>
        </w:tc>
        <w:tc>
          <w:tcPr>
            <w:tcW w:type="dxa" w:w="1425"/>
          </w:tcPr>
          <w:p>
            <w:pPr>
              <w:spacing w:after="0" w:line="240" w:lineRule="auto"/>
              <w:ind w:firstLine="0"/>
              <w:jc w:val="center"/>
            </w:pPr>
            <w:r>
              <w:rPr>
                <w:b w:val="0"/>
                <w:i w:val="0"/>
                <w:sz w:val="20"/>
              </w:rPr>
              <w:t>0,3</w:t>
            </w:r>
          </w:p>
        </w:tc>
        <w:tc>
          <w:tcPr>
            <w:tcW w:type="dxa" w:w="1425"/>
          </w:tcPr>
          <w:p>
            <w:pPr>
              <w:spacing w:after="0" w:line="240" w:lineRule="auto"/>
              <w:ind w:firstLine="0"/>
              <w:jc w:val="center"/>
            </w:pPr>
            <w:r>
              <w:rPr>
                <w:b w:val="0"/>
                <w:i w:val="0"/>
                <w:sz w:val="20"/>
              </w:rPr>
              <w:t>0,2</w:t>
            </w:r>
          </w:p>
        </w:tc>
        <w:tc>
          <w:tcPr>
            <w:tcW w:type="dxa" w:w="1425"/>
          </w:tcPr>
          <w:p>
            <w:pPr>
              <w:spacing w:after="0" w:line="240" w:lineRule="auto"/>
              <w:ind w:firstLine="0"/>
              <w:jc w:val="center"/>
            </w:pPr>
            <w:r>
              <w:rPr>
                <w:b w:val="0"/>
                <w:i w:val="0"/>
                <w:sz w:val="20"/>
              </w:rPr>
              <w:t>0,6</w:t>
            </w:r>
          </w:p>
        </w:tc>
      </w:tr>
      <w:tr>
        <w:tc>
          <w:tcPr>
            <w:tcW w:type="dxa" w:w="1425"/>
          </w:tcPr>
          <w:p>
            <w:pPr>
              <w:spacing w:after="0" w:line="240" w:lineRule="auto"/>
              <w:ind w:firstLine="0"/>
              <w:jc w:val="left"/>
            </w:pPr>
            <w:r>
              <w:rPr>
                <w:b w:val="0"/>
                <w:i w:val="0"/>
                <w:sz w:val="20"/>
              </w:rPr>
              <w:t>Gd₂O₃</w:t>
            </w:r>
          </w:p>
        </w:tc>
        <w:tc>
          <w:tcPr>
            <w:tcW w:type="dxa" w:w="1425"/>
          </w:tcPr>
          <w:p>
            <w:pPr>
              <w:spacing w:after="0" w:line="240" w:lineRule="auto"/>
              <w:ind w:firstLine="0"/>
              <w:jc w:val="center"/>
            </w:pPr>
            <w:r>
              <w:rPr>
                <w:b w:val="0"/>
                <w:i w:val="0"/>
                <w:sz w:val="20"/>
              </w:rPr>
              <w:t>0,2</w:t>
            </w:r>
          </w:p>
        </w:tc>
        <w:tc>
          <w:tcPr>
            <w:tcW w:type="dxa" w:w="1425"/>
          </w:tcPr>
          <w:p>
            <w:pPr>
              <w:spacing w:after="0" w:line="240" w:lineRule="auto"/>
              <w:ind w:firstLine="0"/>
              <w:jc w:val="center"/>
            </w:pPr>
            <w:r>
              <w:rPr>
                <w:b w:val="0"/>
                <w:i w:val="0"/>
                <w:sz w:val="20"/>
              </w:rPr>
              <w:t>0,4</w:t>
            </w:r>
          </w:p>
        </w:tc>
        <w:tc>
          <w:tcPr>
            <w:tcW w:type="dxa" w:w="1425"/>
          </w:tcPr>
          <w:p>
            <w:pPr>
              <w:spacing w:after="0" w:line="240" w:lineRule="auto"/>
              <w:ind w:firstLine="0"/>
              <w:jc w:val="center"/>
            </w:pPr>
            <w:r>
              <w:rPr>
                <w:b w:val="0"/>
                <w:i w:val="0"/>
                <w:sz w:val="20"/>
              </w:rPr>
              <w:t>1,4</w:t>
            </w:r>
          </w:p>
        </w:tc>
        <w:tc>
          <w:tcPr>
            <w:tcW w:type="dxa" w:w="1425"/>
          </w:tcPr>
          <w:p>
            <w:pPr>
              <w:spacing w:after="0" w:line="240" w:lineRule="auto"/>
              <w:ind w:firstLine="0"/>
              <w:jc w:val="center"/>
            </w:pPr>
            <w:r>
              <w:rPr>
                <w:b w:val="0"/>
                <w:i w:val="0"/>
                <w:sz w:val="20"/>
              </w:rPr>
              <w:t>4,6</w:t>
            </w:r>
          </w:p>
        </w:tc>
        <w:tc>
          <w:tcPr>
            <w:tcW w:type="dxa" w:w="1425"/>
          </w:tcPr>
          <w:p>
            <w:pPr>
              <w:spacing w:after="0" w:line="240" w:lineRule="auto"/>
              <w:ind w:firstLine="0"/>
              <w:jc w:val="center"/>
            </w:pPr>
            <w:r>
              <w:rPr>
                <w:b w:val="0"/>
                <w:i w:val="0"/>
                <w:sz w:val="20"/>
              </w:rPr>
              <w:t>0,6</w:t>
            </w:r>
          </w:p>
        </w:tc>
        <w:tc>
          <w:tcPr>
            <w:tcW w:type="dxa" w:w="1425"/>
          </w:tcPr>
          <w:p>
            <w:pPr>
              <w:spacing w:after="0" w:line="240" w:lineRule="auto"/>
              <w:ind w:firstLine="0"/>
              <w:jc w:val="center"/>
            </w:pPr>
            <w:r>
              <w:rPr>
                <w:b w:val="0"/>
                <w:i w:val="0"/>
                <w:sz w:val="20"/>
              </w:rPr>
              <w:t>1,8</w:t>
            </w:r>
          </w:p>
        </w:tc>
      </w:tr>
      <w:tr>
        <w:tc>
          <w:tcPr>
            <w:tcW w:type="dxa" w:w="1425"/>
          </w:tcPr>
          <w:p>
            <w:pPr>
              <w:spacing w:after="0" w:line="240" w:lineRule="auto"/>
              <w:ind w:firstLine="0"/>
              <w:jc w:val="left"/>
            </w:pPr>
            <w:r>
              <w:rPr>
                <w:b w:val="0"/>
                <w:i w:val="0"/>
                <w:sz w:val="20"/>
              </w:rPr>
              <w:t>Tb₄O₇</w:t>
            </w:r>
          </w:p>
        </w:tc>
        <w:tc>
          <w:tcPr>
            <w:tcW w:type="dxa" w:w="1425"/>
          </w:tcPr>
          <w:p>
            <w:pPr>
              <w:spacing w:after="0" w:line="240" w:lineRule="auto"/>
              <w:ind w:firstLine="0"/>
              <w:jc w:val="center"/>
            </w:pPr>
            <w:r>
              <w:rPr>
                <w:b w:val="0"/>
                <w:i w:val="0"/>
                <w:sz w:val="20"/>
              </w:rPr>
              <w:t>0,01</w:t>
            </w:r>
          </w:p>
        </w:tc>
        <w:tc>
          <w:tcPr>
            <w:tcW w:type="dxa" w:w="1425"/>
          </w:tcPr>
          <w:p>
            <w:pPr>
              <w:spacing w:after="0" w:line="240" w:lineRule="auto"/>
              <w:ind w:firstLine="0"/>
              <w:jc w:val="center"/>
            </w:pPr>
            <w:r>
              <w:rPr>
                <w:b w:val="0"/>
                <w:i w:val="0"/>
                <w:sz w:val="20"/>
              </w:rPr>
              <w:t>0,04</w:t>
            </w:r>
          </w:p>
        </w:tc>
        <w:tc>
          <w:tcPr>
            <w:tcW w:type="dxa" w:w="1425"/>
          </w:tcPr>
          <w:p>
            <w:pPr>
              <w:spacing w:after="0" w:line="240" w:lineRule="auto"/>
              <w:ind w:firstLine="0"/>
              <w:jc w:val="center"/>
            </w:pPr>
            <w:r>
              <w:rPr>
                <w:b w:val="0"/>
                <w:i w:val="0"/>
                <w:sz w:val="20"/>
              </w:rPr>
              <w:t>0,2</w:t>
            </w:r>
          </w:p>
        </w:tc>
        <w:tc>
          <w:tcPr>
            <w:tcW w:type="dxa" w:w="1425"/>
          </w:tcPr>
          <w:p>
            <w:pPr>
              <w:spacing w:after="0" w:line="240" w:lineRule="auto"/>
              <w:ind w:firstLine="0"/>
              <w:jc w:val="center"/>
            </w:pPr>
            <w:r>
              <w:rPr>
                <w:b w:val="0"/>
                <w:i w:val="0"/>
                <w:sz w:val="20"/>
              </w:rPr>
              <w:t>1,0</w:t>
            </w:r>
          </w:p>
        </w:tc>
        <w:tc>
          <w:tcPr>
            <w:tcW w:type="dxa" w:w="1425"/>
          </w:tcPr>
          <w:p>
            <w:pPr>
              <w:spacing w:after="0" w:line="240" w:lineRule="auto"/>
              <w:ind w:firstLine="0"/>
              <w:jc w:val="center"/>
            </w:pPr>
            <w:r>
              <w:rPr>
                <w:b w:val="0"/>
                <w:i w:val="0"/>
                <w:sz w:val="20"/>
              </w:rPr>
              <w:t>0,08</w:t>
            </w:r>
          </w:p>
        </w:tc>
        <w:tc>
          <w:tcPr>
            <w:tcW w:type="dxa" w:w="1425"/>
          </w:tcPr>
          <w:p>
            <w:pPr>
              <w:spacing w:after="0" w:line="240" w:lineRule="auto"/>
              <w:ind w:firstLine="0"/>
              <w:jc w:val="center"/>
            </w:pPr>
            <w:r>
              <w:rPr>
                <w:b w:val="0"/>
                <w:i w:val="0"/>
                <w:sz w:val="20"/>
              </w:rPr>
              <w:t>0,3</w:t>
            </w:r>
          </w:p>
        </w:tc>
      </w:tr>
      <w:tr>
        <w:tc>
          <w:tcPr>
            <w:tcW w:type="dxa" w:w="1425"/>
          </w:tcPr>
          <w:p>
            <w:pPr>
              <w:spacing w:after="0" w:line="240" w:lineRule="auto"/>
              <w:ind w:firstLine="0"/>
              <w:jc w:val="left"/>
            </w:pPr>
            <w:r>
              <w:rPr>
                <w:b w:val="0"/>
                <w:i w:val="0"/>
                <w:sz w:val="20"/>
              </w:rPr>
              <w:t>Dy₂O₃</w:t>
            </w:r>
          </w:p>
        </w:tc>
        <w:tc>
          <w:tcPr>
            <w:tcW w:type="dxa" w:w="1425"/>
          </w:tcPr>
          <w:p>
            <w:pPr>
              <w:spacing w:after="0" w:line="240" w:lineRule="auto"/>
              <w:ind w:firstLine="0"/>
              <w:jc w:val="center"/>
            </w:pPr>
            <w:r>
              <w:rPr>
                <w:b w:val="0"/>
                <w:i w:val="0"/>
                <w:sz w:val="20"/>
              </w:rPr>
              <w:t>0,03</w:t>
            </w:r>
          </w:p>
        </w:tc>
        <w:tc>
          <w:tcPr>
            <w:tcW w:type="dxa" w:w="1425"/>
          </w:tcPr>
          <w:p>
            <w:pPr>
              <w:spacing w:after="0" w:line="240" w:lineRule="auto"/>
              <w:ind w:firstLine="0"/>
              <w:jc w:val="center"/>
            </w:pPr>
            <w:r>
              <w:rPr>
                <w:b w:val="0"/>
                <w:i w:val="0"/>
                <w:sz w:val="20"/>
              </w:rPr>
              <w:t>0,07</w:t>
            </w:r>
          </w:p>
        </w:tc>
        <w:tc>
          <w:tcPr>
            <w:tcW w:type="dxa" w:w="1425"/>
          </w:tcPr>
          <w:p>
            <w:pPr>
              <w:spacing w:after="0" w:line="240" w:lineRule="auto"/>
              <w:ind w:firstLine="0"/>
              <w:jc w:val="center"/>
            </w:pPr>
            <w:r>
              <w:rPr>
                <w:b w:val="0"/>
                <w:i w:val="0"/>
                <w:sz w:val="20"/>
              </w:rPr>
              <w:t>0,7</w:t>
            </w:r>
          </w:p>
        </w:tc>
        <w:tc>
          <w:tcPr>
            <w:tcW w:type="dxa" w:w="1425"/>
          </w:tcPr>
          <w:p>
            <w:pPr>
              <w:spacing w:after="0" w:line="240" w:lineRule="auto"/>
              <w:ind w:firstLine="0"/>
              <w:jc w:val="center"/>
            </w:pPr>
            <w:r>
              <w:rPr>
                <w:b w:val="0"/>
                <w:i w:val="0"/>
                <w:sz w:val="20"/>
              </w:rPr>
              <w:t>6,5</w:t>
            </w:r>
          </w:p>
        </w:tc>
        <w:tc>
          <w:tcPr>
            <w:tcW w:type="dxa" w:w="1425"/>
          </w:tcPr>
          <w:p>
            <w:pPr>
              <w:spacing w:after="0" w:line="240" w:lineRule="auto"/>
              <w:ind w:firstLine="0"/>
              <w:jc w:val="center"/>
            </w:pPr>
            <w:r>
              <w:rPr>
                <w:b w:val="0"/>
                <w:i w:val="0"/>
                <w:sz w:val="20"/>
              </w:rPr>
              <w:t>0,3</w:t>
            </w:r>
          </w:p>
        </w:tc>
        <w:tc>
          <w:tcPr>
            <w:tcW w:type="dxa" w:w="1425"/>
          </w:tcPr>
          <w:p>
            <w:pPr>
              <w:spacing w:after="0" w:line="240" w:lineRule="auto"/>
              <w:ind w:firstLine="0"/>
              <w:jc w:val="center"/>
            </w:pPr>
            <w:r>
              <w:rPr>
                <w:b w:val="0"/>
                <w:i w:val="0"/>
                <w:sz w:val="20"/>
              </w:rPr>
              <w:t>1,2</w:t>
            </w:r>
          </w:p>
        </w:tc>
      </w:tr>
      <w:tr>
        <w:tc>
          <w:tcPr>
            <w:tcW w:type="dxa" w:w="1425"/>
          </w:tcPr>
          <w:p>
            <w:pPr>
              <w:spacing w:after="0" w:line="240" w:lineRule="auto"/>
              <w:ind w:firstLine="0"/>
              <w:jc w:val="left"/>
            </w:pPr>
            <w:r>
              <w:rPr>
                <w:b w:val="0"/>
                <w:i w:val="0"/>
                <w:sz w:val="20"/>
              </w:rPr>
              <w:t>Ho–Lu</w:t>
            </w:r>
          </w:p>
        </w:tc>
        <w:tc>
          <w:tcPr>
            <w:tcW w:type="dxa" w:w="1425"/>
          </w:tcPr>
          <w:p>
            <w:pPr>
              <w:spacing w:after="0" w:line="240" w:lineRule="auto"/>
              <w:ind w:firstLine="0"/>
              <w:jc w:val="center"/>
            </w:pPr>
            <w:r>
              <w:rPr>
                <w:b w:val="0"/>
                <w:i w:val="0"/>
                <w:sz w:val="20"/>
              </w:rPr>
              <w:t>0,02</w:t>
            </w:r>
          </w:p>
        </w:tc>
        <w:tc>
          <w:tcPr>
            <w:tcW w:type="dxa" w:w="1425"/>
          </w:tcPr>
          <w:p>
            <w:pPr>
              <w:spacing w:after="0" w:line="240" w:lineRule="auto"/>
              <w:ind w:firstLine="0"/>
              <w:jc w:val="center"/>
            </w:pPr>
            <w:r>
              <w:rPr>
                <w:b w:val="0"/>
                <w:i w:val="0"/>
                <w:sz w:val="20"/>
              </w:rPr>
              <w:t>0,05</w:t>
            </w:r>
          </w:p>
        </w:tc>
        <w:tc>
          <w:tcPr>
            <w:tcW w:type="dxa" w:w="1425"/>
          </w:tcPr>
          <w:p>
            <w:pPr>
              <w:spacing w:after="0" w:line="240" w:lineRule="auto"/>
              <w:ind w:firstLine="0"/>
              <w:jc w:val="center"/>
            </w:pPr>
            <w:r>
              <w:rPr>
                <w:b w:val="0"/>
                <w:i w:val="0"/>
                <w:sz w:val="20"/>
              </w:rPr>
              <w:t>0,4</w:t>
            </w:r>
          </w:p>
        </w:tc>
        <w:tc>
          <w:tcPr>
            <w:tcW w:type="dxa" w:w="1425"/>
          </w:tcPr>
          <w:p>
            <w:pPr>
              <w:spacing w:after="0" w:line="240" w:lineRule="auto"/>
              <w:ind w:firstLine="0"/>
              <w:jc w:val="center"/>
            </w:pPr>
            <w:r>
              <w:rPr>
                <w:b w:val="0"/>
                <w:i w:val="0"/>
                <w:sz w:val="20"/>
              </w:rPr>
              <w:t>8,3</w:t>
            </w:r>
          </w:p>
        </w:tc>
        <w:tc>
          <w:tcPr>
            <w:tcW w:type="dxa" w:w="1425"/>
          </w:tcPr>
          <w:p>
            <w:pPr>
              <w:spacing w:after="0" w:line="240" w:lineRule="auto"/>
              <w:ind w:firstLine="0"/>
              <w:jc w:val="center"/>
            </w:pPr>
            <w:r>
              <w:rPr>
                <w:b w:val="0"/>
                <w:i w:val="0"/>
                <w:sz w:val="20"/>
              </w:rPr>
              <w:t>0,3</w:t>
            </w:r>
          </w:p>
        </w:tc>
        <w:tc>
          <w:tcPr>
            <w:tcW w:type="dxa" w:w="1425"/>
          </w:tcPr>
          <w:p>
            <w:pPr>
              <w:spacing w:after="0" w:line="240" w:lineRule="auto"/>
              <w:ind w:firstLine="0"/>
              <w:jc w:val="center"/>
            </w:pPr>
            <w:r>
              <w:rPr>
                <w:b w:val="0"/>
                <w:i w:val="0"/>
                <w:sz w:val="20"/>
              </w:rPr>
              <w:t>1,0</w:t>
            </w:r>
          </w:p>
        </w:tc>
      </w:tr>
      <w:tr>
        <w:tc>
          <w:tcPr>
            <w:tcW w:type="dxa" w:w="1425"/>
          </w:tcPr>
          <w:p>
            <w:pPr>
              <w:spacing w:after="0" w:line="240" w:lineRule="auto"/>
              <w:ind w:firstLine="0"/>
              <w:jc w:val="left"/>
            </w:pPr>
            <w:r>
              <w:rPr>
                <w:b w:val="0"/>
                <w:i w:val="0"/>
                <w:sz w:val="20"/>
              </w:rPr>
              <w:t>Y₂O₃</w:t>
            </w:r>
          </w:p>
        </w:tc>
        <w:tc>
          <w:tcPr>
            <w:tcW w:type="dxa" w:w="1425"/>
          </w:tcPr>
          <w:p>
            <w:pPr>
              <w:spacing w:after="0" w:line="240" w:lineRule="auto"/>
              <w:ind w:firstLine="0"/>
              <w:jc w:val="center"/>
            </w:pPr>
            <w:r>
              <w:rPr>
                <w:b w:val="0"/>
                <w:i w:val="0"/>
                <w:sz w:val="20"/>
              </w:rPr>
              <w:t>0,1</w:t>
            </w:r>
          </w:p>
        </w:tc>
        <w:tc>
          <w:tcPr>
            <w:tcW w:type="dxa" w:w="1425"/>
          </w:tcPr>
          <w:p>
            <w:pPr>
              <w:spacing w:after="0" w:line="240" w:lineRule="auto"/>
              <w:ind w:firstLine="0"/>
              <w:jc w:val="center"/>
            </w:pPr>
            <w:r>
              <w:rPr>
                <w:b w:val="0"/>
                <w:i w:val="0"/>
                <w:sz w:val="20"/>
              </w:rPr>
              <w:t>0,4</w:t>
            </w:r>
          </w:p>
        </w:tc>
        <w:tc>
          <w:tcPr>
            <w:tcW w:type="dxa" w:w="1425"/>
          </w:tcPr>
          <w:p>
            <w:pPr>
              <w:spacing w:after="0" w:line="240" w:lineRule="auto"/>
              <w:ind w:firstLine="0"/>
              <w:jc w:val="center"/>
            </w:pPr>
            <w:r>
              <w:rPr>
                <w:b w:val="0"/>
                <w:i w:val="0"/>
                <w:sz w:val="20"/>
              </w:rPr>
              <w:t>1,7</w:t>
            </w:r>
          </w:p>
        </w:tc>
        <w:tc>
          <w:tcPr>
            <w:tcW w:type="dxa" w:w="1425"/>
          </w:tcPr>
          <w:p>
            <w:pPr>
              <w:spacing w:after="0" w:line="240" w:lineRule="auto"/>
              <w:ind w:firstLine="0"/>
              <w:jc w:val="center"/>
            </w:pPr>
            <w:r>
              <w:rPr>
                <w:b w:val="0"/>
                <w:i w:val="0"/>
                <w:sz w:val="20"/>
              </w:rPr>
              <w:t>68,0</w:t>
            </w:r>
          </w:p>
        </w:tc>
        <w:tc>
          <w:tcPr>
            <w:tcW w:type="dxa" w:w="1425"/>
          </w:tcPr>
          <w:p>
            <w:pPr>
              <w:spacing w:after="0" w:line="240" w:lineRule="auto"/>
              <w:ind w:firstLine="0"/>
              <w:jc w:val="center"/>
            </w:pPr>
            <w:r>
              <w:rPr>
                <w:b w:val="0"/>
                <w:i w:val="0"/>
                <w:sz w:val="20"/>
              </w:rPr>
              <w:t>1,2</w:t>
            </w:r>
          </w:p>
        </w:tc>
        <w:tc>
          <w:tcPr>
            <w:tcW w:type="dxa" w:w="1425"/>
          </w:tcPr>
          <w:p>
            <w:pPr>
              <w:spacing w:after="0" w:line="240" w:lineRule="auto"/>
              <w:ind w:firstLine="0"/>
              <w:jc w:val="center"/>
            </w:pPr>
            <w:r>
              <w:rPr>
                <w:b w:val="0"/>
                <w:i w:val="0"/>
                <w:sz w:val="20"/>
              </w:rPr>
              <w:t>14,8</w:t>
            </w:r>
          </w:p>
        </w:tc>
      </w:tr>
    </w:tbl>
    <w:p>
      <w:pPr>
        <w:spacing w:after="180"/>
        <w:ind w:firstLine="0"/>
      </w:pPr>
      <w:r>
        <w:rPr>
          <w:i/>
          <w:sz w:val="20"/>
        </w:rPr>
        <w:t>Источник: аналитический центр по данным USGS, корпоративных отчётов Lynas, MP Materials, ФГБУ «ВИМС»; данные усреднённые</w:t>
      </w:r>
    </w:p>
    <w:p>
      <w:pPr>
        <w:keepNext/>
        <w:spacing w:before="160" w:after="60"/>
        <w:ind w:firstLine="0"/>
        <w:jc w:val="left"/>
      </w:pPr>
      <w:r>
        <w:rPr>
          <w:b/>
          <w:sz w:val="22"/>
        </w:rPr>
        <w:t>Рисунок 2. Структура «корзины» РЗМ в различных типах сырья, % от TREO</w:t>
      </w:r>
    </w:p>
    <w:p>
      <w:pPr>
        <w:ind w:firstLine="0"/>
        <w:jc w:val="center"/>
      </w:pPr>
      <w:r>
        <w:drawing>
          <wp:inline xmlns:a="http://schemas.openxmlformats.org/drawingml/2006/main" xmlns:pic="http://schemas.openxmlformats.org/drawingml/2006/picture">
            <wp:extent cx="5580000" cy="2515043"/>
            <wp:docPr id="2" name="Picture 2"/>
            <wp:cNvGraphicFramePr>
              <a:graphicFrameLocks noChangeAspect="1"/>
            </wp:cNvGraphicFramePr>
            <a:graphic>
              <a:graphicData uri="http://schemas.openxmlformats.org/drawingml/2006/picture">
                <pic:pic>
                  <pic:nvPicPr>
                    <pic:cNvPr id="0" name="fig2.png"/>
                    <pic:cNvPicPr/>
                  </pic:nvPicPr>
                  <pic:blipFill>
                    <a:blip r:embed="rId12"/>
                    <a:stretch>
                      <a:fillRect/>
                    </a:stretch>
                  </pic:blipFill>
                  <pic:spPr>
                    <a:xfrm>
                      <a:off x="0" y="0"/>
                      <a:ext cx="5580000" cy="2515043"/>
                    </a:xfrm>
                    <a:prstGeom prst="rect"/>
                  </pic:spPr>
                </pic:pic>
              </a:graphicData>
            </a:graphic>
          </wp:inline>
        </w:drawing>
      </w:r>
    </w:p>
    <w:p>
      <w:pPr>
        <w:spacing w:after="180"/>
        <w:ind w:firstLine="0"/>
      </w:pPr>
      <w:r>
        <w:rPr>
          <w:i/>
          <w:sz w:val="20"/>
        </w:rPr>
        <w:t>Источник: аналитический центр (обобщение табл. 4)</w:t>
      </w:r>
    </w:p>
    <w:p>
      <w:r>
        <w:rPr>
          <w:b w:val="0"/>
          <w:i w:val="0"/>
        </w:rPr>
        <w:t>Рисунок 2 наглядно демонстрирует главную структурную проблему мирового рынка: практически всё сырьё, кроме ионно-адсорбционных глин, представлено лёгкой группой, тогда как наибольшая удельная стоимость сосредоточена в тяжёлой. Это означает, что мировое предложение диспрозия и тербия критически зависит от единственного технологического типа сырья, локализованного в Южном Китае и приграничных районах Мьянмы и Лаоса. Данное обстоятельство является ключевым фактором как ценовой динамики (глава 6), так и геополитики отрасли (глава 7).</w:t>
      </w:r>
    </w:p>
    <w:p>
      <w:pPr>
        <w:pStyle w:val="Heading2"/>
      </w:pPr>
      <w:r>
        <w:rPr>
          <w:b w:val="0"/>
          <w:i w:val="0"/>
        </w:rPr>
        <w:t>1.4. Технологические переделы и товарная номенклатура</w:t>
      </w:r>
    </w:p>
    <w:p>
      <w:r>
        <w:rPr>
          <w:b w:val="0"/>
          <w:i w:val="0"/>
        </w:rPr>
        <w:t>Редкоземельная продукция обращается на рынке в виде нескольких принципиально разных товарных форм, различающихся по цене на порядки. Понимание этой иерархии необходимо для корректного анализа статистики: одна и та же тонна TREO может учитываться на разных стадиях с ценой от 1,5 до 400 тыс. долл.</w:t>
      </w:r>
    </w:p>
    <w:p>
      <w:pPr>
        <w:keepNext/>
        <w:spacing w:before="160" w:after="60"/>
        <w:ind w:firstLine="0"/>
        <w:jc w:val="left"/>
      </w:pPr>
      <w:r>
        <w:rPr>
          <w:b/>
          <w:sz w:val="22"/>
        </w:rPr>
        <w:t>Таблица 5. Технологические переделы редкоземельного производства и товарные формы продукции</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w:t>
            </w:r>
          </w:p>
        </w:tc>
        <w:tc>
          <w:tcPr>
            <w:tcW w:type="dxa" w:w="1995"/>
            <w:shd w:val="clear" w:fill="DCE6F1"/>
          </w:tcPr>
          <w:p>
            <w:pPr>
              <w:spacing w:after="0" w:line="240" w:lineRule="auto"/>
              <w:ind w:firstLine="0"/>
              <w:jc w:val="center"/>
            </w:pPr>
            <w:r>
              <w:rPr>
                <w:b/>
                <w:i w:val="0"/>
                <w:sz w:val="20"/>
              </w:rPr>
              <w:t>Передел</w:t>
            </w:r>
          </w:p>
        </w:tc>
        <w:tc>
          <w:tcPr>
            <w:tcW w:type="dxa" w:w="1995"/>
            <w:shd w:val="clear" w:fill="DCE6F1"/>
          </w:tcPr>
          <w:p>
            <w:pPr>
              <w:spacing w:after="0" w:line="240" w:lineRule="auto"/>
              <w:ind w:firstLine="0"/>
              <w:jc w:val="center"/>
            </w:pPr>
            <w:r>
              <w:rPr>
                <w:b/>
                <w:i w:val="0"/>
                <w:sz w:val="20"/>
              </w:rPr>
              <w:t>Продукция</w:t>
            </w:r>
          </w:p>
        </w:tc>
        <w:tc>
          <w:tcPr>
            <w:tcW w:type="dxa" w:w="1995"/>
            <w:shd w:val="clear" w:fill="DCE6F1"/>
          </w:tcPr>
          <w:p>
            <w:pPr>
              <w:spacing w:after="0" w:line="240" w:lineRule="auto"/>
              <w:ind w:firstLine="0"/>
              <w:jc w:val="center"/>
            </w:pPr>
            <w:r>
              <w:rPr>
                <w:b/>
                <w:i w:val="0"/>
                <w:sz w:val="20"/>
              </w:rPr>
              <w:t>Содержание TREO</w:t>
            </w:r>
          </w:p>
        </w:tc>
        <w:tc>
          <w:tcPr>
            <w:tcW w:type="dxa" w:w="1995"/>
            <w:shd w:val="clear" w:fill="DCE6F1"/>
          </w:tcPr>
          <w:p>
            <w:pPr>
              <w:spacing w:after="0" w:line="240" w:lineRule="auto"/>
              <w:ind w:firstLine="0"/>
              <w:jc w:val="center"/>
            </w:pPr>
            <w:r>
              <w:rPr>
                <w:b/>
                <w:i w:val="0"/>
                <w:sz w:val="20"/>
              </w:rPr>
              <w:t>Ориентир. цена, $/кг TREO</w:t>
            </w:r>
          </w:p>
        </w:tc>
      </w:tr>
      <w:tr>
        <w:tc>
          <w:tcPr>
            <w:tcW w:type="dxa" w:w="1995"/>
          </w:tcPr>
          <w:p>
            <w:pPr>
              <w:spacing w:after="0" w:line="240" w:lineRule="auto"/>
              <w:ind w:firstLine="0"/>
              <w:jc w:val="left"/>
            </w:pPr>
            <w:r>
              <w:rPr>
                <w:b w:val="0"/>
                <w:i w:val="0"/>
                <w:sz w:val="20"/>
              </w:rPr>
              <w:t>1</w:t>
            </w:r>
          </w:p>
        </w:tc>
        <w:tc>
          <w:tcPr>
            <w:tcW w:type="dxa" w:w="1995"/>
          </w:tcPr>
          <w:p>
            <w:pPr>
              <w:spacing w:after="0" w:line="240" w:lineRule="auto"/>
              <w:ind w:firstLine="0"/>
              <w:jc w:val="center"/>
            </w:pPr>
            <w:r>
              <w:rPr>
                <w:b w:val="0"/>
                <w:i w:val="0"/>
                <w:sz w:val="20"/>
              </w:rPr>
              <w:t>Горно-обогатительный</w:t>
            </w:r>
          </w:p>
        </w:tc>
        <w:tc>
          <w:tcPr>
            <w:tcW w:type="dxa" w:w="1995"/>
          </w:tcPr>
          <w:p>
            <w:pPr>
              <w:spacing w:after="0" w:line="240" w:lineRule="auto"/>
              <w:ind w:firstLine="0"/>
              <w:jc w:val="left"/>
            </w:pPr>
            <w:r>
              <w:rPr>
                <w:b w:val="0"/>
                <w:i w:val="0"/>
                <w:sz w:val="20"/>
              </w:rPr>
              <w:t>минеральный концентрат (бастнезитовый, монацитовый, лопаритовый)</w:t>
            </w:r>
          </w:p>
        </w:tc>
        <w:tc>
          <w:tcPr>
            <w:tcW w:type="dxa" w:w="1995"/>
          </w:tcPr>
          <w:p>
            <w:pPr>
              <w:spacing w:after="0" w:line="240" w:lineRule="auto"/>
              <w:ind w:firstLine="0"/>
              <w:jc w:val="center"/>
            </w:pPr>
            <w:r>
              <w:rPr>
                <w:b w:val="0"/>
                <w:i w:val="0"/>
                <w:sz w:val="20"/>
              </w:rPr>
              <w:t>30–70%</w:t>
            </w:r>
          </w:p>
        </w:tc>
        <w:tc>
          <w:tcPr>
            <w:tcW w:type="dxa" w:w="1995"/>
          </w:tcPr>
          <w:p>
            <w:pPr>
              <w:spacing w:after="0" w:line="240" w:lineRule="auto"/>
              <w:ind w:firstLine="0"/>
              <w:jc w:val="center"/>
            </w:pPr>
            <w:r>
              <w:rPr>
                <w:b w:val="0"/>
                <w:i w:val="0"/>
                <w:sz w:val="20"/>
              </w:rPr>
              <w:t>1,5–8</w:t>
            </w:r>
          </w:p>
        </w:tc>
      </w:tr>
      <w:tr>
        <w:tc>
          <w:tcPr>
            <w:tcW w:type="dxa" w:w="1995"/>
          </w:tcPr>
          <w:p>
            <w:pPr>
              <w:spacing w:after="0" w:line="240" w:lineRule="auto"/>
              <w:ind w:firstLine="0"/>
              <w:jc w:val="left"/>
            </w:pPr>
            <w:r>
              <w:rPr>
                <w:b w:val="0"/>
                <w:i w:val="0"/>
                <w:sz w:val="20"/>
              </w:rPr>
              <w:t>2</w:t>
            </w:r>
          </w:p>
        </w:tc>
        <w:tc>
          <w:tcPr>
            <w:tcW w:type="dxa" w:w="1995"/>
          </w:tcPr>
          <w:p>
            <w:pPr>
              <w:spacing w:after="0" w:line="240" w:lineRule="auto"/>
              <w:ind w:firstLine="0"/>
              <w:jc w:val="center"/>
            </w:pPr>
            <w:r>
              <w:rPr>
                <w:b w:val="0"/>
                <w:i w:val="0"/>
                <w:sz w:val="20"/>
              </w:rPr>
              <w:t>Гидрометаллургический</w:t>
            </w:r>
          </w:p>
        </w:tc>
        <w:tc>
          <w:tcPr>
            <w:tcW w:type="dxa" w:w="1995"/>
          </w:tcPr>
          <w:p>
            <w:pPr>
              <w:spacing w:after="0" w:line="240" w:lineRule="auto"/>
              <w:ind w:firstLine="0"/>
              <w:jc w:val="left"/>
            </w:pPr>
            <w:r>
              <w:rPr>
                <w:b w:val="0"/>
                <w:i w:val="0"/>
                <w:sz w:val="20"/>
              </w:rPr>
              <w:t>коллективный карбонат, хлорид, гидроксид РЗМ, MREC</w:t>
            </w:r>
          </w:p>
        </w:tc>
        <w:tc>
          <w:tcPr>
            <w:tcW w:type="dxa" w:w="1995"/>
          </w:tcPr>
          <w:p>
            <w:pPr>
              <w:spacing w:after="0" w:line="240" w:lineRule="auto"/>
              <w:ind w:firstLine="0"/>
              <w:jc w:val="center"/>
            </w:pPr>
            <w:r>
              <w:rPr>
                <w:b w:val="0"/>
                <w:i w:val="0"/>
                <w:sz w:val="20"/>
              </w:rPr>
              <w:t>40–92%</w:t>
            </w:r>
          </w:p>
        </w:tc>
        <w:tc>
          <w:tcPr>
            <w:tcW w:type="dxa" w:w="1995"/>
          </w:tcPr>
          <w:p>
            <w:pPr>
              <w:spacing w:after="0" w:line="240" w:lineRule="auto"/>
              <w:ind w:firstLine="0"/>
              <w:jc w:val="center"/>
            </w:pPr>
            <w:r>
              <w:rPr>
                <w:b w:val="0"/>
                <w:i w:val="0"/>
                <w:sz w:val="20"/>
              </w:rPr>
              <w:t>8–20</w:t>
            </w:r>
          </w:p>
        </w:tc>
      </w:tr>
      <w:tr>
        <w:tc>
          <w:tcPr>
            <w:tcW w:type="dxa" w:w="1995"/>
          </w:tcPr>
          <w:p>
            <w:pPr>
              <w:spacing w:after="0" w:line="240" w:lineRule="auto"/>
              <w:ind w:firstLine="0"/>
              <w:jc w:val="left"/>
            </w:pPr>
            <w:r>
              <w:rPr>
                <w:b w:val="0"/>
                <w:i w:val="0"/>
                <w:sz w:val="20"/>
              </w:rPr>
              <w:t>3</w:t>
            </w:r>
          </w:p>
        </w:tc>
        <w:tc>
          <w:tcPr>
            <w:tcW w:type="dxa" w:w="1995"/>
          </w:tcPr>
          <w:p>
            <w:pPr>
              <w:spacing w:after="0" w:line="240" w:lineRule="auto"/>
              <w:ind w:firstLine="0"/>
              <w:jc w:val="center"/>
            </w:pPr>
            <w:r>
              <w:rPr>
                <w:b w:val="0"/>
                <w:i w:val="0"/>
                <w:sz w:val="20"/>
              </w:rPr>
              <w:t>Разделительный</w:t>
            </w:r>
          </w:p>
        </w:tc>
        <w:tc>
          <w:tcPr>
            <w:tcW w:type="dxa" w:w="1995"/>
          </w:tcPr>
          <w:p>
            <w:pPr>
              <w:spacing w:after="0" w:line="240" w:lineRule="auto"/>
              <w:ind w:firstLine="0"/>
              <w:jc w:val="center"/>
            </w:pPr>
            <w:r>
              <w:rPr>
                <w:b w:val="0"/>
                <w:i w:val="0"/>
                <w:sz w:val="20"/>
              </w:rPr>
              <w:t>индивидуальные оксиды 99,0–99,999%</w:t>
            </w:r>
          </w:p>
        </w:tc>
        <w:tc>
          <w:tcPr>
            <w:tcW w:type="dxa" w:w="1995"/>
          </w:tcPr>
          <w:p>
            <w:pPr>
              <w:spacing w:after="0" w:line="240" w:lineRule="auto"/>
              <w:ind w:firstLine="0"/>
              <w:jc w:val="center"/>
            </w:pPr>
            <w:r>
              <w:rPr>
                <w:b w:val="0"/>
                <w:i w:val="0"/>
                <w:sz w:val="20"/>
              </w:rPr>
              <w:t>99%+</w:t>
            </w:r>
          </w:p>
        </w:tc>
        <w:tc>
          <w:tcPr>
            <w:tcW w:type="dxa" w:w="1995"/>
          </w:tcPr>
          <w:p>
            <w:pPr>
              <w:spacing w:after="0" w:line="240" w:lineRule="auto"/>
              <w:ind w:firstLine="0"/>
              <w:jc w:val="center"/>
            </w:pPr>
            <w:r>
              <w:rPr>
                <w:b w:val="0"/>
                <w:i w:val="0"/>
                <w:sz w:val="20"/>
              </w:rPr>
              <w:t>5–1200</w:t>
            </w:r>
          </w:p>
        </w:tc>
      </w:tr>
      <w:tr>
        <w:tc>
          <w:tcPr>
            <w:tcW w:type="dxa" w:w="1995"/>
          </w:tcPr>
          <w:p>
            <w:pPr>
              <w:spacing w:after="0" w:line="240" w:lineRule="auto"/>
              <w:ind w:firstLine="0"/>
              <w:jc w:val="left"/>
            </w:pPr>
            <w:r>
              <w:rPr>
                <w:b w:val="0"/>
                <w:i w:val="0"/>
                <w:sz w:val="20"/>
              </w:rPr>
              <w:t>4</w:t>
            </w:r>
          </w:p>
        </w:tc>
        <w:tc>
          <w:tcPr>
            <w:tcW w:type="dxa" w:w="1995"/>
          </w:tcPr>
          <w:p>
            <w:pPr>
              <w:spacing w:after="0" w:line="240" w:lineRule="auto"/>
              <w:ind w:firstLine="0"/>
              <w:jc w:val="center"/>
            </w:pPr>
            <w:r>
              <w:rPr>
                <w:b w:val="0"/>
                <w:i w:val="0"/>
                <w:sz w:val="20"/>
              </w:rPr>
              <w:t>Металлургический</w:t>
            </w:r>
          </w:p>
        </w:tc>
        <w:tc>
          <w:tcPr>
            <w:tcW w:type="dxa" w:w="1995"/>
          </w:tcPr>
          <w:p>
            <w:pPr>
              <w:spacing w:after="0" w:line="240" w:lineRule="auto"/>
              <w:ind w:firstLine="0"/>
              <w:jc w:val="left"/>
            </w:pPr>
            <w:r>
              <w:rPr>
                <w:b w:val="0"/>
                <w:i w:val="0"/>
                <w:sz w:val="20"/>
              </w:rPr>
              <w:t>металлы, лигатуры, NdFeB-сплав (strip cast)</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20–1500</w:t>
            </w:r>
          </w:p>
        </w:tc>
      </w:tr>
      <w:tr>
        <w:tc>
          <w:tcPr>
            <w:tcW w:type="dxa" w:w="1995"/>
          </w:tcPr>
          <w:p>
            <w:pPr>
              <w:spacing w:after="0" w:line="240" w:lineRule="auto"/>
              <w:ind w:firstLine="0"/>
              <w:jc w:val="left"/>
            </w:pPr>
            <w:r>
              <w:rPr>
                <w:b w:val="0"/>
                <w:i w:val="0"/>
                <w:sz w:val="20"/>
              </w:rPr>
              <w:t>5</w:t>
            </w:r>
          </w:p>
        </w:tc>
        <w:tc>
          <w:tcPr>
            <w:tcW w:type="dxa" w:w="1995"/>
          </w:tcPr>
          <w:p>
            <w:pPr>
              <w:spacing w:after="0" w:line="240" w:lineRule="auto"/>
              <w:ind w:firstLine="0"/>
              <w:jc w:val="center"/>
            </w:pPr>
            <w:r>
              <w:rPr>
                <w:b w:val="0"/>
                <w:i w:val="0"/>
                <w:sz w:val="20"/>
              </w:rPr>
              <w:t>Материаловедческий</w:t>
            </w:r>
          </w:p>
        </w:tc>
        <w:tc>
          <w:tcPr>
            <w:tcW w:type="dxa" w:w="1995"/>
          </w:tcPr>
          <w:p>
            <w:pPr>
              <w:spacing w:after="0" w:line="240" w:lineRule="auto"/>
              <w:ind w:firstLine="0"/>
              <w:jc w:val="left"/>
            </w:pPr>
            <w:r>
              <w:rPr>
                <w:b w:val="0"/>
                <w:i w:val="0"/>
                <w:sz w:val="20"/>
              </w:rPr>
              <w:t>спечённые магниты NdFeB, SmCo, люминофоры</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60–120 ($/кг магнита)</w:t>
            </w:r>
          </w:p>
        </w:tc>
      </w:tr>
    </w:tbl>
    <w:p>
      <w:pPr>
        <w:spacing w:after="180"/>
        <w:ind w:firstLine="0"/>
      </w:pPr>
      <w:r>
        <w:rPr>
          <w:i/>
          <w:sz w:val="20"/>
        </w:rPr>
        <w:t>Источник: аналитический центр</w:t>
      </w:r>
    </w:p>
    <w:p>
      <w:r>
        <w:rPr>
          <w:b w:val="0"/>
          <w:i w:val="0"/>
        </w:rPr>
        <w:t>Ключевой особенностью структуры цен является нелинейность добавленной стоимости. Переход от концентрата к коллективному карбонату увеличивает стоимость примерно в 2–3 раза, тогда как переход от карбоната к разделённым оксидам — в 5–20 раз в зависимости от корзины. Именно поэтому экспорт минерального концентрата экономически невыгоден и характерен для стран, не располагающих переработкой; исторически по этой модели работали Россия (лопаритовый концентрат и коллективный карбонат), Австралия (до пуска малайзийского завода Lynas), США (до 2023 г. — концентрат Mountain Pass в КНР).</w:t>
      </w:r>
    </w:p>
    <w:p>
      <w:pPr>
        <w:keepNext/>
        <w:spacing w:before="160" w:after="60"/>
        <w:ind w:firstLine="0"/>
        <w:jc w:val="left"/>
      </w:pPr>
      <w:r>
        <w:rPr>
          <w:b/>
          <w:sz w:val="22"/>
        </w:rPr>
        <w:t>Рисунок 3. Рост удельной стоимости продукции по переделам (в пересчёте на 1 кг TREO лёгкой корзины), $/кг</w:t>
      </w:r>
    </w:p>
    <w:p>
      <w:pPr>
        <w:ind w:firstLine="0"/>
        <w:jc w:val="center"/>
      </w:pPr>
      <w:r>
        <w:drawing>
          <wp:inline xmlns:a="http://schemas.openxmlformats.org/drawingml/2006/main" xmlns:pic="http://schemas.openxmlformats.org/drawingml/2006/picture">
            <wp:extent cx="5580000" cy="2751559"/>
            <wp:docPr id="3" name="Picture 3"/>
            <wp:cNvGraphicFramePr>
              <a:graphicFrameLocks noChangeAspect="1"/>
            </wp:cNvGraphicFramePr>
            <a:graphic>
              <a:graphicData uri="http://schemas.openxmlformats.org/drawingml/2006/picture">
                <pic:pic>
                  <pic:nvPicPr>
                    <pic:cNvPr id="0" name="fig3.png"/>
                    <pic:cNvPicPr/>
                  </pic:nvPicPr>
                  <pic:blipFill>
                    <a:blip r:embed="rId13"/>
                    <a:stretch>
                      <a:fillRect/>
                    </a:stretch>
                  </pic:blipFill>
                  <pic:spPr>
                    <a:xfrm>
                      <a:off x="0" y="0"/>
                      <a:ext cx="5580000" cy="2751559"/>
                    </a:xfrm>
                    <a:prstGeom prst="rect"/>
                  </pic:spPr>
                </pic:pic>
              </a:graphicData>
            </a:graphic>
          </wp:inline>
        </w:drawing>
      </w:r>
    </w:p>
    <w:p>
      <w:pPr>
        <w:spacing w:after="180"/>
        <w:ind w:firstLine="0"/>
      </w:pPr>
      <w:r>
        <w:rPr>
          <w:i/>
          <w:sz w:val="20"/>
        </w:rPr>
        <w:t>Источник: аналитический центр, оценка на основе ценовых уровней 2024–2025 гг.</w:t>
      </w:r>
    </w:p>
    <w:p>
      <w:pPr>
        <w:pStyle w:val="Heading3"/>
      </w:pPr>
      <w:r>
        <w:rPr>
          <w:b w:val="0"/>
          <w:i w:val="0"/>
        </w:rPr>
        <w:t>Товарная номенклатура и коды ТН ВЭД ЕАЭС</w:t>
      </w:r>
    </w:p>
    <w:p>
      <w:r>
        <w:rPr>
          <w:b w:val="0"/>
          <w:i w:val="0"/>
        </w:rPr>
        <w:t>Внешнеторговый учёт редкоземельной продукции осложнён тем, что специализированные коды покрывают лишь часть номенклатуры, а значительная доля продукции проходит по «корзиночным» и остаточным позициям. Ключевые коды приведены в таблице 6; расширенный перечень с примечаниями — в Приложении 4.</w:t>
      </w:r>
    </w:p>
    <w:p>
      <w:pPr>
        <w:keepNext/>
        <w:spacing w:before="160" w:after="60"/>
        <w:ind w:firstLine="0"/>
        <w:jc w:val="left"/>
      </w:pPr>
      <w:r>
        <w:rPr>
          <w:b/>
          <w:sz w:val="22"/>
        </w:rPr>
        <w:t>Таблица 6. Основные коды ТН ВЭД ЕАЭС и HS, применяемые к редкоземельной продукции</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Код</w:t>
            </w:r>
          </w:p>
        </w:tc>
        <w:tc>
          <w:tcPr>
            <w:tcW w:type="dxa" w:w="3324"/>
            <w:shd w:val="clear" w:fill="DCE6F1"/>
          </w:tcPr>
          <w:p>
            <w:pPr>
              <w:spacing w:after="0" w:line="240" w:lineRule="auto"/>
              <w:ind w:firstLine="0"/>
              <w:jc w:val="center"/>
            </w:pPr>
            <w:r>
              <w:rPr>
                <w:b/>
                <w:i w:val="0"/>
                <w:sz w:val="20"/>
              </w:rPr>
              <w:t>Наименование позиции</w:t>
            </w:r>
          </w:p>
        </w:tc>
        <w:tc>
          <w:tcPr>
            <w:tcW w:type="dxa" w:w="3324"/>
            <w:shd w:val="clear" w:fill="DCE6F1"/>
          </w:tcPr>
          <w:p>
            <w:pPr>
              <w:spacing w:after="0" w:line="240" w:lineRule="auto"/>
              <w:ind w:firstLine="0"/>
              <w:jc w:val="center"/>
            </w:pPr>
            <w:r>
              <w:rPr>
                <w:b/>
                <w:i w:val="0"/>
                <w:sz w:val="20"/>
              </w:rPr>
              <w:t>Товарная форма</w:t>
            </w:r>
          </w:p>
        </w:tc>
      </w:tr>
      <w:tr>
        <w:tc>
          <w:tcPr>
            <w:tcW w:type="dxa" w:w="3324"/>
          </w:tcPr>
          <w:p>
            <w:pPr>
              <w:spacing w:after="0" w:line="240" w:lineRule="auto"/>
              <w:ind w:firstLine="0"/>
              <w:jc w:val="left"/>
            </w:pPr>
            <w:r>
              <w:rPr>
                <w:b w:val="0"/>
                <w:i w:val="0"/>
                <w:sz w:val="20"/>
              </w:rPr>
              <w:t>2530 90 000</w:t>
            </w:r>
          </w:p>
        </w:tc>
        <w:tc>
          <w:tcPr>
            <w:tcW w:type="dxa" w:w="3324"/>
          </w:tcPr>
          <w:p>
            <w:pPr>
              <w:spacing w:after="0" w:line="240" w:lineRule="auto"/>
              <w:ind w:firstLine="0"/>
              <w:jc w:val="left"/>
            </w:pPr>
            <w:r>
              <w:rPr>
                <w:b w:val="0"/>
                <w:i w:val="0"/>
                <w:sz w:val="20"/>
              </w:rPr>
              <w:t>Прочие минеральные вещества (включая руды и концентраты РЗМ)</w:t>
            </w:r>
          </w:p>
        </w:tc>
        <w:tc>
          <w:tcPr>
            <w:tcW w:type="dxa" w:w="3324"/>
          </w:tcPr>
          <w:p>
            <w:pPr>
              <w:spacing w:after="0" w:line="240" w:lineRule="auto"/>
              <w:ind w:firstLine="0"/>
              <w:jc w:val="center"/>
            </w:pPr>
            <w:r>
              <w:rPr>
                <w:b w:val="0"/>
                <w:i w:val="0"/>
                <w:sz w:val="20"/>
              </w:rPr>
              <w:t>концентраты</w:t>
            </w:r>
          </w:p>
        </w:tc>
      </w:tr>
      <w:tr>
        <w:tc>
          <w:tcPr>
            <w:tcW w:type="dxa" w:w="3324"/>
          </w:tcPr>
          <w:p>
            <w:pPr>
              <w:spacing w:after="0" w:line="240" w:lineRule="auto"/>
              <w:ind w:firstLine="0"/>
              <w:jc w:val="left"/>
            </w:pPr>
            <w:r>
              <w:rPr>
                <w:b w:val="0"/>
                <w:i w:val="0"/>
                <w:sz w:val="20"/>
              </w:rPr>
              <w:t>2612 20</w:t>
            </w:r>
          </w:p>
        </w:tc>
        <w:tc>
          <w:tcPr>
            <w:tcW w:type="dxa" w:w="3324"/>
          </w:tcPr>
          <w:p>
            <w:pPr>
              <w:spacing w:after="0" w:line="240" w:lineRule="auto"/>
              <w:ind w:firstLine="0"/>
              <w:jc w:val="left"/>
            </w:pPr>
            <w:r>
              <w:rPr>
                <w:b w:val="0"/>
                <w:i w:val="0"/>
                <w:sz w:val="20"/>
              </w:rPr>
              <w:t>Монацитовые руды и концентраты (торийсодержащие)</w:t>
            </w:r>
          </w:p>
        </w:tc>
        <w:tc>
          <w:tcPr>
            <w:tcW w:type="dxa" w:w="3324"/>
          </w:tcPr>
          <w:p>
            <w:pPr>
              <w:spacing w:after="0" w:line="240" w:lineRule="auto"/>
              <w:ind w:firstLine="0"/>
              <w:jc w:val="center"/>
            </w:pPr>
            <w:r>
              <w:rPr>
                <w:b w:val="0"/>
                <w:i w:val="0"/>
                <w:sz w:val="20"/>
              </w:rPr>
              <w:t>концентраты</w:t>
            </w:r>
          </w:p>
        </w:tc>
      </w:tr>
      <w:tr>
        <w:tc>
          <w:tcPr>
            <w:tcW w:type="dxa" w:w="3324"/>
          </w:tcPr>
          <w:p>
            <w:pPr>
              <w:spacing w:after="0" w:line="240" w:lineRule="auto"/>
              <w:ind w:firstLine="0"/>
              <w:jc w:val="left"/>
            </w:pPr>
            <w:r>
              <w:rPr>
                <w:b w:val="0"/>
                <w:i w:val="0"/>
                <w:sz w:val="20"/>
              </w:rPr>
              <w:t>2805 30</w:t>
            </w:r>
          </w:p>
        </w:tc>
        <w:tc>
          <w:tcPr>
            <w:tcW w:type="dxa" w:w="3324"/>
          </w:tcPr>
          <w:p>
            <w:pPr>
              <w:spacing w:after="0" w:line="240" w:lineRule="auto"/>
              <w:ind w:firstLine="0"/>
              <w:jc w:val="left"/>
            </w:pPr>
            <w:r>
              <w:rPr>
                <w:b w:val="0"/>
                <w:i w:val="0"/>
                <w:sz w:val="20"/>
              </w:rPr>
              <w:t>Металлы редкоземельные, скандий и иттрий, в чистом виде, смеси или сплавы</w:t>
            </w:r>
          </w:p>
        </w:tc>
        <w:tc>
          <w:tcPr>
            <w:tcW w:type="dxa" w:w="3324"/>
          </w:tcPr>
          <w:p>
            <w:pPr>
              <w:spacing w:after="0" w:line="240" w:lineRule="auto"/>
              <w:ind w:firstLine="0"/>
              <w:jc w:val="center"/>
            </w:pPr>
            <w:r>
              <w:rPr>
                <w:b w:val="0"/>
                <w:i w:val="0"/>
                <w:sz w:val="20"/>
              </w:rPr>
              <w:t>металлы, мишметалл</w:t>
            </w:r>
          </w:p>
        </w:tc>
      </w:tr>
      <w:tr>
        <w:tc>
          <w:tcPr>
            <w:tcW w:type="dxa" w:w="3324"/>
          </w:tcPr>
          <w:p>
            <w:pPr>
              <w:spacing w:after="0" w:line="240" w:lineRule="auto"/>
              <w:ind w:firstLine="0"/>
              <w:jc w:val="left"/>
            </w:pPr>
            <w:r>
              <w:rPr>
                <w:b w:val="0"/>
                <w:i w:val="0"/>
                <w:sz w:val="20"/>
              </w:rPr>
              <w:t>2846 10 000</w:t>
            </w:r>
          </w:p>
        </w:tc>
        <w:tc>
          <w:tcPr>
            <w:tcW w:type="dxa" w:w="3324"/>
          </w:tcPr>
          <w:p>
            <w:pPr>
              <w:spacing w:after="0" w:line="240" w:lineRule="auto"/>
              <w:ind w:firstLine="0"/>
              <w:jc w:val="center"/>
            </w:pPr>
            <w:r>
              <w:rPr>
                <w:b w:val="0"/>
                <w:i w:val="0"/>
                <w:sz w:val="20"/>
              </w:rPr>
              <w:t>Соединения церия</w:t>
            </w:r>
          </w:p>
        </w:tc>
        <w:tc>
          <w:tcPr>
            <w:tcW w:type="dxa" w:w="3324"/>
          </w:tcPr>
          <w:p>
            <w:pPr>
              <w:spacing w:after="0" w:line="240" w:lineRule="auto"/>
              <w:ind w:firstLine="0"/>
              <w:jc w:val="center"/>
            </w:pPr>
            <w:r>
              <w:rPr>
                <w:b w:val="0"/>
                <w:i w:val="0"/>
                <w:sz w:val="20"/>
              </w:rPr>
              <w:t>оксид, карбонат, хлорид Ce</w:t>
            </w:r>
          </w:p>
        </w:tc>
      </w:tr>
      <w:tr>
        <w:tc>
          <w:tcPr>
            <w:tcW w:type="dxa" w:w="3324"/>
          </w:tcPr>
          <w:p>
            <w:pPr>
              <w:spacing w:after="0" w:line="240" w:lineRule="auto"/>
              <w:ind w:firstLine="0"/>
              <w:jc w:val="left"/>
            </w:pPr>
            <w:r>
              <w:rPr>
                <w:b w:val="0"/>
                <w:i w:val="0"/>
                <w:sz w:val="20"/>
              </w:rPr>
              <w:t>2846 90</w:t>
            </w:r>
          </w:p>
        </w:tc>
        <w:tc>
          <w:tcPr>
            <w:tcW w:type="dxa" w:w="3324"/>
          </w:tcPr>
          <w:p>
            <w:pPr>
              <w:spacing w:after="0" w:line="240" w:lineRule="auto"/>
              <w:ind w:firstLine="0"/>
              <w:jc w:val="left"/>
            </w:pPr>
            <w:r>
              <w:rPr>
                <w:b w:val="0"/>
                <w:i w:val="0"/>
                <w:sz w:val="20"/>
              </w:rPr>
              <w:t>Соединения прочих РЗМ, иттрия, скандия и их смесей</w:t>
            </w:r>
          </w:p>
        </w:tc>
        <w:tc>
          <w:tcPr>
            <w:tcW w:type="dxa" w:w="3324"/>
          </w:tcPr>
          <w:p>
            <w:pPr>
              <w:spacing w:after="0" w:line="240" w:lineRule="auto"/>
              <w:ind w:firstLine="0"/>
              <w:jc w:val="center"/>
            </w:pPr>
            <w:r>
              <w:rPr>
                <w:b w:val="0"/>
                <w:i w:val="0"/>
                <w:sz w:val="20"/>
              </w:rPr>
              <w:t>оксиды, карбонаты индивидуальные</w:t>
            </w:r>
          </w:p>
        </w:tc>
      </w:tr>
      <w:tr>
        <w:tc>
          <w:tcPr>
            <w:tcW w:type="dxa" w:w="3324"/>
          </w:tcPr>
          <w:p>
            <w:pPr>
              <w:spacing w:after="0" w:line="240" w:lineRule="auto"/>
              <w:ind w:firstLine="0"/>
              <w:jc w:val="left"/>
            </w:pPr>
            <w:r>
              <w:rPr>
                <w:b w:val="0"/>
                <w:i w:val="0"/>
                <w:sz w:val="20"/>
              </w:rPr>
              <w:t>3606 90</w:t>
            </w:r>
          </w:p>
        </w:tc>
        <w:tc>
          <w:tcPr>
            <w:tcW w:type="dxa" w:w="3324"/>
          </w:tcPr>
          <w:p>
            <w:pPr>
              <w:spacing w:after="0" w:line="240" w:lineRule="auto"/>
              <w:ind w:firstLine="0"/>
              <w:jc w:val="center"/>
            </w:pPr>
            <w:r>
              <w:rPr>
                <w:b w:val="0"/>
                <w:i w:val="0"/>
                <w:sz w:val="20"/>
              </w:rPr>
              <w:t>Ферроцерий и пирофорные сплавы прочие</w:t>
            </w:r>
          </w:p>
        </w:tc>
        <w:tc>
          <w:tcPr>
            <w:tcW w:type="dxa" w:w="3324"/>
          </w:tcPr>
          <w:p>
            <w:pPr>
              <w:spacing w:after="0" w:line="240" w:lineRule="auto"/>
              <w:ind w:firstLine="0"/>
              <w:jc w:val="center"/>
            </w:pPr>
            <w:r>
              <w:rPr>
                <w:b w:val="0"/>
                <w:i w:val="0"/>
                <w:sz w:val="20"/>
              </w:rPr>
              <w:t>лигатуры</w:t>
            </w:r>
          </w:p>
        </w:tc>
      </w:tr>
      <w:tr>
        <w:tc>
          <w:tcPr>
            <w:tcW w:type="dxa" w:w="3324"/>
          </w:tcPr>
          <w:p>
            <w:pPr>
              <w:spacing w:after="0" w:line="240" w:lineRule="auto"/>
              <w:ind w:firstLine="0"/>
              <w:jc w:val="left"/>
            </w:pPr>
            <w:r>
              <w:rPr>
                <w:b w:val="0"/>
                <w:i w:val="0"/>
                <w:sz w:val="20"/>
              </w:rPr>
              <w:t>7202 99 800</w:t>
            </w:r>
          </w:p>
        </w:tc>
        <w:tc>
          <w:tcPr>
            <w:tcW w:type="dxa" w:w="3324"/>
          </w:tcPr>
          <w:p>
            <w:pPr>
              <w:spacing w:after="0" w:line="240" w:lineRule="auto"/>
              <w:ind w:firstLine="0"/>
              <w:jc w:val="left"/>
            </w:pPr>
            <w:r>
              <w:rPr>
                <w:b w:val="0"/>
                <w:i w:val="0"/>
                <w:sz w:val="20"/>
              </w:rPr>
              <w:t>Ферросплавы прочие (в т. ч. ферроцерий, лигатуры)</w:t>
            </w:r>
          </w:p>
        </w:tc>
        <w:tc>
          <w:tcPr>
            <w:tcW w:type="dxa" w:w="3324"/>
          </w:tcPr>
          <w:p>
            <w:pPr>
              <w:spacing w:after="0" w:line="240" w:lineRule="auto"/>
              <w:ind w:firstLine="0"/>
              <w:jc w:val="center"/>
            </w:pPr>
            <w:r>
              <w:rPr>
                <w:b w:val="0"/>
                <w:i w:val="0"/>
                <w:sz w:val="20"/>
              </w:rPr>
              <w:t>лигатуры</w:t>
            </w:r>
          </w:p>
        </w:tc>
      </w:tr>
      <w:tr>
        <w:tc>
          <w:tcPr>
            <w:tcW w:type="dxa" w:w="3324"/>
          </w:tcPr>
          <w:p>
            <w:pPr>
              <w:spacing w:after="0" w:line="240" w:lineRule="auto"/>
              <w:ind w:firstLine="0"/>
              <w:jc w:val="left"/>
            </w:pPr>
            <w:r>
              <w:rPr>
                <w:b w:val="0"/>
                <w:i w:val="0"/>
                <w:sz w:val="20"/>
              </w:rPr>
              <w:t>8505 11</w:t>
            </w:r>
          </w:p>
        </w:tc>
        <w:tc>
          <w:tcPr>
            <w:tcW w:type="dxa" w:w="3324"/>
          </w:tcPr>
          <w:p>
            <w:pPr>
              <w:spacing w:after="0" w:line="240" w:lineRule="auto"/>
              <w:ind w:firstLine="0"/>
              <w:jc w:val="center"/>
            </w:pPr>
            <w:r>
              <w:rPr>
                <w:b w:val="0"/>
                <w:i w:val="0"/>
                <w:sz w:val="20"/>
              </w:rPr>
              <w:t>Магниты постоянные металлические</w:t>
            </w:r>
          </w:p>
        </w:tc>
        <w:tc>
          <w:tcPr>
            <w:tcW w:type="dxa" w:w="3324"/>
          </w:tcPr>
          <w:p>
            <w:pPr>
              <w:spacing w:after="0" w:line="240" w:lineRule="auto"/>
              <w:ind w:firstLine="0"/>
              <w:jc w:val="center"/>
            </w:pPr>
            <w:r>
              <w:rPr>
                <w:b w:val="0"/>
                <w:i w:val="0"/>
                <w:sz w:val="20"/>
              </w:rPr>
              <w:t>магниты NdFeB, SmCo</w:t>
            </w:r>
          </w:p>
        </w:tc>
      </w:tr>
      <w:tr>
        <w:tc>
          <w:tcPr>
            <w:tcW w:type="dxa" w:w="3324"/>
          </w:tcPr>
          <w:p>
            <w:pPr>
              <w:spacing w:after="0" w:line="240" w:lineRule="auto"/>
              <w:ind w:firstLine="0"/>
              <w:jc w:val="left"/>
            </w:pPr>
            <w:r>
              <w:rPr>
                <w:b w:val="0"/>
                <w:i w:val="0"/>
                <w:sz w:val="20"/>
              </w:rPr>
              <w:t>8505 19</w:t>
            </w:r>
          </w:p>
        </w:tc>
        <w:tc>
          <w:tcPr>
            <w:tcW w:type="dxa" w:w="3324"/>
          </w:tcPr>
          <w:p>
            <w:pPr>
              <w:spacing w:after="0" w:line="240" w:lineRule="auto"/>
              <w:ind w:firstLine="0"/>
              <w:jc w:val="center"/>
            </w:pPr>
            <w:r>
              <w:rPr>
                <w:b w:val="0"/>
                <w:i w:val="0"/>
                <w:sz w:val="20"/>
              </w:rPr>
              <w:t>Магниты постоянные прочие</w:t>
            </w:r>
          </w:p>
        </w:tc>
        <w:tc>
          <w:tcPr>
            <w:tcW w:type="dxa" w:w="3324"/>
          </w:tcPr>
          <w:p>
            <w:pPr>
              <w:spacing w:after="0" w:line="240" w:lineRule="auto"/>
              <w:ind w:firstLine="0"/>
              <w:jc w:val="center"/>
            </w:pPr>
            <w:r>
              <w:rPr>
                <w:b w:val="0"/>
                <w:i w:val="0"/>
                <w:sz w:val="20"/>
              </w:rPr>
              <w:t>связанные магниты</w:t>
            </w:r>
          </w:p>
        </w:tc>
      </w:tr>
      <w:tr>
        <w:tc>
          <w:tcPr>
            <w:tcW w:type="dxa" w:w="3324"/>
          </w:tcPr>
          <w:p>
            <w:pPr>
              <w:spacing w:after="0" w:line="240" w:lineRule="auto"/>
              <w:ind w:firstLine="0"/>
              <w:jc w:val="left"/>
            </w:pPr>
            <w:r>
              <w:rPr>
                <w:b w:val="0"/>
                <w:i w:val="0"/>
                <w:sz w:val="20"/>
              </w:rPr>
              <w:t>2841 90</w:t>
            </w:r>
          </w:p>
        </w:tc>
        <w:tc>
          <w:tcPr>
            <w:tcW w:type="dxa" w:w="3324"/>
          </w:tcPr>
          <w:p>
            <w:pPr>
              <w:spacing w:after="0" w:line="240" w:lineRule="auto"/>
              <w:ind w:firstLine="0"/>
              <w:jc w:val="left"/>
            </w:pPr>
            <w:r>
              <w:rPr>
                <w:b w:val="0"/>
                <w:i w:val="0"/>
                <w:sz w:val="20"/>
              </w:rPr>
              <w:t>Соли оксометаллических кислот (в т. ч. ванадаты, часть Sc-продукции)</w:t>
            </w:r>
          </w:p>
        </w:tc>
        <w:tc>
          <w:tcPr>
            <w:tcW w:type="dxa" w:w="3324"/>
          </w:tcPr>
          <w:p>
            <w:pPr>
              <w:spacing w:after="0" w:line="240" w:lineRule="auto"/>
              <w:ind w:firstLine="0"/>
              <w:jc w:val="center"/>
            </w:pPr>
            <w:r>
              <w:rPr>
                <w:b w:val="0"/>
                <w:i w:val="0"/>
                <w:sz w:val="20"/>
              </w:rPr>
              <w:t>соединения Sc</w:t>
            </w:r>
          </w:p>
        </w:tc>
      </w:tr>
    </w:tbl>
    <w:p>
      <w:pPr>
        <w:spacing w:after="180"/>
        <w:ind w:firstLine="0"/>
      </w:pPr>
      <w:r>
        <w:rPr>
          <w:i/>
          <w:sz w:val="20"/>
        </w:rPr>
        <w:t>Источник: ТН ВЭД ЕАЭС; Гармонизированная система описания и кодирования товаров</w:t>
      </w:r>
    </w:p>
    <w:p>
      <w:r>
        <w:rPr>
          <w:b w:val="0"/>
          <w:i w:val="0"/>
        </w:rPr>
        <w:t>Основной методологической проблемой является позиция 2846 90, объединяющая индивидуальные оксиды 16 элементов с ценами от 1,5 до 1200 долл./кг. Средняя цена по этой позиции лишена экономического смысла, и её использование в аналитике без структурной декомпозиции приводит к грубым ошибкам. В настоящем отчёте (глава 13) декомпозиция выполнена расчётным путём на основе сопоставления зеркальной статистики стран-контрагентов и ценовых котировок.</w:t>
      </w:r>
    </w:p>
    <w:p>
      <w:pPr>
        <w:pStyle w:val="Heading2"/>
      </w:pPr>
      <w:r>
        <w:rPr>
          <w:b w:val="0"/>
          <w:i w:val="0"/>
        </w:rPr>
        <w:t>1.5. Проблема баланса корзины как ключевой фактор экономики отрасли</w:t>
      </w:r>
    </w:p>
    <w:p>
      <w:r>
        <w:rPr>
          <w:b w:val="0"/>
          <w:i w:val="0"/>
        </w:rPr>
        <w:t>Редкоземельные элементы не могут быть добыты по отдельности. Из руды извлекается вся сумма элементов в том соотношении, в каком она присутствует в минерале, и это соотношение задано геологией, а не рынком. Между тем структура спроса радикально отличается от структуры предложения.</w:t>
      </w:r>
    </w:p>
    <w:p>
      <w:r>
        <w:rPr>
          <w:b w:val="0"/>
          <w:i w:val="0"/>
        </w:rPr>
        <w:t>Порядка 90% стоимости мирового рынка редкоземельного сырья формируется четырьмя элементами — неодимом, празеодимом, диспрозием и тербием, — на которые приходится менее 20% физического объёма производства. Одновременно церий и лантан, составляющие до 70–80% физического объёма, формируют менее 5% стоимости.</w:t>
      </w:r>
    </w:p>
    <w:p>
      <w:pPr>
        <w:keepNext/>
        <w:spacing w:before="160" w:after="60"/>
        <w:ind w:firstLine="0"/>
        <w:jc w:val="left"/>
      </w:pPr>
      <w:r>
        <w:rPr>
          <w:b/>
          <w:sz w:val="22"/>
        </w:rPr>
        <w:t>Таблица 7. Соотношение физической и стоимостной структуры мирового производства РЗМ, 2024 г. (оценка)</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Элемент (оксид)</w:t>
            </w:r>
          </w:p>
        </w:tc>
        <w:tc>
          <w:tcPr>
            <w:tcW w:type="dxa" w:w="1995"/>
            <w:shd w:val="clear" w:fill="DCE6F1"/>
          </w:tcPr>
          <w:p>
            <w:pPr>
              <w:spacing w:after="0" w:line="240" w:lineRule="auto"/>
              <w:ind w:firstLine="0"/>
              <w:jc w:val="center"/>
            </w:pPr>
            <w:r>
              <w:rPr>
                <w:b/>
                <w:i w:val="0"/>
                <w:sz w:val="20"/>
              </w:rPr>
              <w:t>Доля в физ. объёме, %</w:t>
            </w:r>
          </w:p>
        </w:tc>
        <w:tc>
          <w:tcPr>
            <w:tcW w:type="dxa" w:w="1995"/>
            <w:shd w:val="clear" w:fill="DCE6F1"/>
          </w:tcPr>
          <w:p>
            <w:pPr>
              <w:spacing w:after="0" w:line="240" w:lineRule="auto"/>
              <w:ind w:firstLine="0"/>
              <w:jc w:val="center"/>
            </w:pPr>
            <w:r>
              <w:rPr>
                <w:b/>
                <w:i w:val="0"/>
                <w:sz w:val="20"/>
              </w:rPr>
              <w:t>Средняя цена 2024, $/кг</w:t>
            </w:r>
          </w:p>
        </w:tc>
        <w:tc>
          <w:tcPr>
            <w:tcW w:type="dxa" w:w="1995"/>
            <w:shd w:val="clear" w:fill="DCE6F1"/>
          </w:tcPr>
          <w:p>
            <w:pPr>
              <w:spacing w:after="0" w:line="240" w:lineRule="auto"/>
              <w:ind w:firstLine="0"/>
              <w:jc w:val="center"/>
            </w:pPr>
            <w:r>
              <w:rPr>
                <w:b/>
                <w:i w:val="0"/>
                <w:sz w:val="20"/>
              </w:rPr>
              <w:t>Доля в стоимости, %</w:t>
            </w:r>
          </w:p>
        </w:tc>
        <w:tc>
          <w:tcPr>
            <w:tcW w:type="dxa" w:w="1995"/>
            <w:shd w:val="clear" w:fill="DCE6F1"/>
          </w:tcPr>
          <w:p>
            <w:pPr>
              <w:spacing w:after="0" w:line="240" w:lineRule="auto"/>
              <w:ind w:firstLine="0"/>
              <w:jc w:val="center"/>
            </w:pPr>
            <w:r>
              <w:rPr>
                <w:b/>
                <w:i w:val="0"/>
                <w:sz w:val="20"/>
              </w:rPr>
              <w:t>Соотношение стоим./физ.</w:t>
            </w:r>
          </w:p>
        </w:tc>
      </w:tr>
      <w:tr>
        <w:tc>
          <w:tcPr>
            <w:tcW w:type="dxa" w:w="1995"/>
          </w:tcPr>
          <w:p>
            <w:pPr>
              <w:spacing w:after="0" w:line="240" w:lineRule="auto"/>
              <w:ind w:firstLine="0"/>
              <w:jc w:val="left"/>
            </w:pPr>
            <w:r>
              <w:rPr>
                <w:b w:val="0"/>
                <w:i w:val="0"/>
                <w:sz w:val="20"/>
              </w:rPr>
              <w:t>La₂O₃</w:t>
            </w:r>
          </w:p>
        </w:tc>
        <w:tc>
          <w:tcPr>
            <w:tcW w:type="dxa" w:w="1995"/>
          </w:tcPr>
          <w:p>
            <w:pPr>
              <w:spacing w:after="0" w:line="240" w:lineRule="auto"/>
              <w:ind w:firstLine="0"/>
              <w:jc w:val="center"/>
            </w:pPr>
            <w:r>
              <w:rPr>
                <w:b w:val="0"/>
                <w:i w:val="0"/>
                <w:sz w:val="20"/>
              </w:rPr>
              <w:t>24,0</w:t>
            </w:r>
          </w:p>
        </w:tc>
        <w:tc>
          <w:tcPr>
            <w:tcW w:type="dxa" w:w="1995"/>
          </w:tcPr>
          <w:p>
            <w:pPr>
              <w:spacing w:after="0" w:line="240" w:lineRule="auto"/>
              <w:ind w:firstLine="0"/>
              <w:jc w:val="center"/>
            </w:pPr>
            <w:r>
              <w:rPr>
                <w:b w:val="0"/>
                <w:i w:val="0"/>
                <w:sz w:val="20"/>
              </w:rPr>
              <w:t>0,7</w:t>
            </w:r>
          </w:p>
        </w:tc>
        <w:tc>
          <w:tcPr>
            <w:tcW w:type="dxa" w:w="1995"/>
          </w:tcPr>
          <w:p>
            <w:pPr>
              <w:spacing w:after="0" w:line="240" w:lineRule="auto"/>
              <w:ind w:firstLine="0"/>
              <w:jc w:val="center"/>
            </w:pPr>
            <w:r>
              <w:rPr>
                <w:b w:val="0"/>
                <w:i w:val="0"/>
                <w:sz w:val="20"/>
              </w:rPr>
              <w:t>0,6</w:t>
            </w:r>
          </w:p>
        </w:tc>
        <w:tc>
          <w:tcPr>
            <w:tcW w:type="dxa" w:w="1995"/>
          </w:tcPr>
          <w:p>
            <w:pPr>
              <w:spacing w:after="0" w:line="240" w:lineRule="auto"/>
              <w:ind w:firstLine="0"/>
              <w:jc w:val="center"/>
            </w:pPr>
            <w:r>
              <w:rPr>
                <w:b w:val="0"/>
                <w:i w:val="0"/>
                <w:sz w:val="20"/>
              </w:rPr>
              <w:t>0,03</w:t>
            </w:r>
          </w:p>
        </w:tc>
      </w:tr>
      <w:tr>
        <w:tc>
          <w:tcPr>
            <w:tcW w:type="dxa" w:w="1995"/>
          </w:tcPr>
          <w:p>
            <w:pPr>
              <w:spacing w:after="0" w:line="240" w:lineRule="auto"/>
              <w:ind w:firstLine="0"/>
              <w:jc w:val="left"/>
            </w:pPr>
            <w:r>
              <w:rPr>
                <w:b w:val="0"/>
                <w:i w:val="0"/>
                <w:sz w:val="20"/>
              </w:rPr>
              <w:t>CeO₂</w:t>
            </w:r>
          </w:p>
        </w:tc>
        <w:tc>
          <w:tcPr>
            <w:tcW w:type="dxa" w:w="1995"/>
          </w:tcPr>
          <w:p>
            <w:pPr>
              <w:spacing w:after="0" w:line="240" w:lineRule="auto"/>
              <w:ind w:firstLine="0"/>
              <w:jc w:val="center"/>
            </w:pPr>
            <w:r>
              <w:rPr>
                <w:b w:val="0"/>
                <w:i w:val="0"/>
                <w:sz w:val="20"/>
              </w:rPr>
              <w:t>44,0</w:t>
            </w:r>
          </w:p>
        </w:tc>
        <w:tc>
          <w:tcPr>
            <w:tcW w:type="dxa" w:w="1995"/>
          </w:tcPr>
          <w:p>
            <w:pPr>
              <w:spacing w:after="0" w:line="240" w:lineRule="auto"/>
              <w:ind w:firstLine="0"/>
              <w:jc w:val="center"/>
            </w:pPr>
            <w:r>
              <w:rPr>
                <w:b w:val="0"/>
                <w:i w:val="0"/>
                <w:sz w:val="20"/>
              </w:rPr>
              <w:t>0,8</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0,03</w:t>
            </w:r>
          </w:p>
        </w:tc>
      </w:tr>
      <w:tr>
        <w:tc>
          <w:tcPr>
            <w:tcW w:type="dxa" w:w="1995"/>
          </w:tcPr>
          <w:p>
            <w:pPr>
              <w:spacing w:after="0" w:line="240" w:lineRule="auto"/>
              <w:ind w:firstLine="0"/>
              <w:jc w:val="left"/>
            </w:pPr>
            <w:r>
              <w:rPr>
                <w:b w:val="0"/>
                <w:i w:val="0"/>
                <w:sz w:val="20"/>
              </w:rPr>
              <w:t>Pr₆O₁₁</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62</w:t>
            </w:r>
          </w:p>
        </w:tc>
        <w:tc>
          <w:tcPr>
            <w:tcW w:type="dxa" w:w="1995"/>
          </w:tcPr>
          <w:p>
            <w:pPr>
              <w:spacing w:after="0" w:line="240" w:lineRule="auto"/>
              <w:ind w:firstLine="0"/>
              <w:jc w:val="center"/>
            </w:pPr>
            <w:r>
              <w:rPr>
                <w:b w:val="0"/>
                <w:i w:val="0"/>
                <w:sz w:val="20"/>
              </w:rPr>
              <w:t>9,8</w:t>
            </w:r>
          </w:p>
        </w:tc>
        <w:tc>
          <w:tcPr>
            <w:tcW w:type="dxa" w:w="1995"/>
          </w:tcPr>
          <w:p>
            <w:pPr>
              <w:spacing w:after="0" w:line="240" w:lineRule="auto"/>
              <w:ind w:firstLine="0"/>
              <w:jc w:val="center"/>
            </w:pPr>
            <w:r>
              <w:rPr>
                <w:b w:val="0"/>
                <w:i w:val="0"/>
                <w:sz w:val="20"/>
              </w:rPr>
              <w:t>2,2</w:t>
            </w:r>
          </w:p>
        </w:tc>
      </w:tr>
      <w:tr>
        <w:tc>
          <w:tcPr>
            <w:tcW w:type="dxa" w:w="1995"/>
          </w:tcPr>
          <w:p>
            <w:pPr>
              <w:spacing w:after="0" w:line="240" w:lineRule="auto"/>
              <w:ind w:firstLine="0"/>
              <w:jc w:val="left"/>
            </w:pPr>
            <w:r>
              <w:rPr>
                <w:b w:val="0"/>
                <w:i w:val="0"/>
                <w:sz w:val="20"/>
              </w:rPr>
              <w:t>Nd₂O₃</w:t>
            </w:r>
          </w:p>
        </w:tc>
        <w:tc>
          <w:tcPr>
            <w:tcW w:type="dxa" w:w="1995"/>
          </w:tcPr>
          <w:p>
            <w:pPr>
              <w:spacing w:after="0" w:line="240" w:lineRule="auto"/>
              <w:ind w:firstLine="0"/>
              <w:jc w:val="center"/>
            </w:pPr>
            <w:r>
              <w:rPr>
                <w:b w:val="0"/>
                <w:i w:val="0"/>
                <w:sz w:val="20"/>
              </w:rPr>
              <w:t>16,5</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34,7</w:t>
            </w:r>
          </w:p>
        </w:tc>
        <w:tc>
          <w:tcPr>
            <w:tcW w:type="dxa" w:w="1995"/>
          </w:tcPr>
          <w:p>
            <w:pPr>
              <w:spacing w:after="0" w:line="240" w:lineRule="auto"/>
              <w:ind w:firstLine="0"/>
              <w:jc w:val="center"/>
            </w:pPr>
            <w:r>
              <w:rPr>
                <w:b w:val="0"/>
                <w:i w:val="0"/>
                <w:sz w:val="20"/>
              </w:rPr>
              <w:t>2,1</w:t>
            </w:r>
          </w:p>
        </w:tc>
      </w:tr>
      <w:tr>
        <w:tc>
          <w:tcPr>
            <w:tcW w:type="dxa" w:w="1995"/>
          </w:tcPr>
          <w:p>
            <w:pPr>
              <w:spacing w:after="0" w:line="240" w:lineRule="auto"/>
              <w:ind w:firstLine="0"/>
              <w:jc w:val="left"/>
            </w:pPr>
            <w:r>
              <w:rPr>
                <w:b w:val="0"/>
                <w:i w:val="0"/>
                <w:sz w:val="20"/>
              </w:rPr>
              <w:t>Sm₂O₃</w:t>
            </w:r>
          </w:p>
        </w:tc>
        <w:tc>
          <w:tcPr>
            <w:tcW w:type="dxa" w:w="1995"/>
          </w:tcPr>
          <w:p>
            <w:pPr>
              <w:spacing w:after="0" w:line="240" w:lineRule="auto"/>
              <w:ind w:firstLine="0"/>
              <w:jc w:val="center"/>
            </w:pPr>
            <w:r>
              <w:rPr>
                <w:b w:val="0"/>
                <w:i w:val="0"/>
                <w:sz w:val="20"/>
              </w:rPr>
              <w:t>1,8</w:t>
            </w:r>
          </w:p>
        </w:tc>
        <w:tc>
          <w:tcPr>
            <w:tcW w:type="dxa" w:w="1995"/>
          </w:tcPr>
          <w:p>
            <w:pPr>
              <w:spacing w:after="0" w:line="240" w:lineRule="auto"/>
              <w:ind w:firstLine="0"/>
              <w:jc w:val="center"/>
            </w:pPr>
            <w:r>
              <w:rPr>
                <w:b w:val="0"/>
                <w:i w:val="0"/>
                <w:sz w:val="20"/>
              </w:rPr>
              <w:t>2,0</w:t>
            </w:r>
          </w:p>
        </w:tc>
        <w:tc>
          <w:tcPr>
            <w:tcW w:type="dxa" w:w="1995"/>
          </w:tcPr>
          <w:p>
            <w:pPr>
              <w:spacing w:after="0" w:line="240" w:lineRule="auto"/>
              <w:ind w:firstLine="0"/>
              <w:jc w:val="center"/>
            </w:pPr>
            <w:r>
              <w:rPr>
                <w:b w:val="0"/>
                <w:i w:val="0"/>
                <w:sz w:val="20"/>
              </w:rPr>
              <w:t>0,1</w:t>
            </w:r>
          </w:p>
        </w:tc>
        <w:tc>
          <w:tcPr>
            <w:tcW w:type="dxa" w:w="1995"/>
          </w:tcPr>
          <w:p>
            <w:pPr>
              <w:spacing w:after="0" w:line="240" w:lineRule="auto"/>
              <w:ind w:firstLine="0"/>
              <w:jc w:val="center"/>
            </w:pPr>
            <w:r>
              <w:rPr>
                <w:b w:val="0"/>
                <w:i w:val="0"/>
                <w:sz w:val="20"/>
              </w:rPr>
              <w:t>0,06</w:t>
            </w:r>
          </w:p>
        </w:tc>
      </w:tr>
      <w:tr>
        <w:tc>
          <w:tcPr>
            <w:tcW w:type="dxa" w:w="1995"/>
          </w:tcPr>
          <w:p>
            <w:pPr>
              <w:spacing w:after="0" w:line="240" w:lineRule="auto"/>
              <w:ind w:firstLine="0"/>
              <w:jc w:val="left"/>
            </w:pPr>
            <w:r>
              <w:rPr>
                <w:b w:val="0"/>
                <w:i w:val="0"/>
                <w:sz w:val="20"/>
              </w:rPr>
              <w:t>Eu₂O₃</w:t>
            </w:r>
          </w:p>
        </w:tc>
        <w:tc>
          <w:tcPr>
            <w:tcW w:type="dxa" w:w="1995"/>
          </w:tcPr>
          <w:p>
            <w:pPr>
              <w:spacing w:after="0" w:line="240" w:lineRule="auto"/>
              <w:ind w:firstLine="0"/>
              <w:jc w:val="center"/>
            </w:pPr>
            <w:r>
              <w:rPr>
                <w:b w:val="0"/>
                <w:i w:val="0"/>
                <w:sz w:val="20"/>
              </w:rPr>
              <w:t>0,3</w:t>
            </w:r>
          </w:p>
        </w:tc>
        <w:tc>
          <w:tcPr>
            <w:tcW w:type="dxa" w:w="1995"/>
          </w:tcPr>
          <w:p>
            <w:pPr>
              <w:spacing w:after="0" w:line="240" w:lineRule="auto"/>
              <w:ind w:firstLine="0"/>
              <w:jc w:val="center"/>
            </w:pPr>
            <w:r>
              <w:rPr>
                <w:b w:val="0"/>
                <w:i w:val="0"/>
                <w:sz w:val="20"/>
              </w:rPr>
              <w:t>26</w:t>
            </w:r>
          </w:p>
        </w:tc>
        <w:tc>
          <w:tcPr>
            <w:tcW w:type="dxa" w:w="1995"/>
          </w:tcPr>
          <w:p>
            <w:pPr>
              <w:spacing w:after="0" w:line="240" w:lineRule="auto"/>
              <w:ind w:firstLine="0"/>
              <w:jc w:val="center"/>
            </w:pPr>
            <w:r>
              <w:rPr>
                <w:b w:val="0"/>
                <w:i w:val="0"/>
                <w:sz w:val="20"/>
              </w:rPr>
              <w:t>0,3</w:t>
            </w:r>
          </w:p>
        </w:tc>
        <w:tc>
          <w:tcPr>
            <w:tcW w:type="dxa" w:w="1995"/>
          </w:tcPr>
          <w:p>
            <w:pPr>
              <w:spacing w:after="0" w:line="240" w:lineRule="auto"/>
              <w:ind w:firstLine="0"/>
              <w:jc w:val="center"/>
            </w:pPr>
            <w:r>
              <w:rPr>
                <w:b w:val="0"/>
                <w:i w:val="0"/>
                <w:sz w:val="20"/>
              </w:rPr>
              <w:t>1,0</w:t>
            </w:r>
          </w:p>
        </w:tc>
      </w:tr>
      <w:tr>
        <w:tc>
          <w:tcPr>
            <w:tcW w:type="dxa" w:w="1995"/>
          </w:tcPr>
          <w:p>
            <w:pPr>
              <w:spacing w:after="0" w:line="240" w:lineRule="auto"/>
              <w:ind w:firstLine="0"/>
              <w:jc w:val="left"/>
            </w:pPr>
            <w:r>
              <w:rPr>
                <w:b w:val="0"/>
                <w:i w:val="0"/>
                <w:sz w:val="20"/>
              </w:rPr>
              <w:t>Gd₂O₃</w:t>
            </w:r>
          </w:p>
        </w:tc>
        <w:tc>
          <w:tcPr>
            <w:tcW w:type="dxa" w:w="1995"/>
          </w:tcPr>
          <w:p>
            <w:pPr>
              <w:spacing w:after="0" w:line="240" w:lineRule="auto"/>
              <w:ind w:firstLine="0"/>
              <w:jc w:val="center"/>
            </w:pPr>
            <w:r>
              <w:rPr>
                <w:b w:val="0"/>
                <w:i w:val="0"/>
                <w:sz w:val="20"/>
              </w:rPr>
              <w:t>1,7</w:t>
            </w:r>
          </w:p>
        </w:tc>
        <w:tc>
          <w:tcPr>
            <w:tcW w:type="dxa" w:w="1995"/>
          </w:tcPr>
          <w:p>
            <w:pPr>
              <w:spacing w:after="0" w:line="240" w:lineRule="auto"/>
              <w:ind w:firstLine="0"/>
              <w:jc w:val="center"/>
            </w:pPr>
            <w:r>
              <w:rPr>
                <w:b w:val="0"/>
                <w:i w:val="0"/>
                <w:sz w:val="20"/>
              </w:rPr>
              <w:t>32</w:t>
            </w:r>
          </w:p>
        </w:tc>
        <w:tc>
          <w:tcPr>
            <w:tcW w:type="dxa" w:w="1995"/>
          </w:tcPr>
          <w:p>
            <w:pPr>
              <w:spacing w:after="0" w:line="240" w:lineRule="auto"/>
              <w:ind w:firstLine="0"/>
              <w:jc w:val="center"/>
            </w:pPr>
            <w:r>
              <w:rPr>
                <w:b w:val="0"/>
                <w:i w:val="0"/>
                <w:sz w:val="20"/>
              </w:rPr>
              <w:t>1,9</w:t>
            </w:r>
          </w:p>
        </w:tc>
        <w:tc>
          <w:tcPr>
            <w:tcW w:type="dxa" w:w="1995"/>
          </w:tcPr>
          <w:p>
            <w:pPr>
              <w:spacing w:after="0" w:line="240" w:lineRule="auto"/>
              <w:ind w:firstLine="0"/>
              <w:jc w:val="center"/>
            </w:pPr>
            <w:r>
              <w:rPr>
                <w:b w:val="0"/>
                <w:i w:val="0"/>
                <w:sz w:val="20"/>
              </w:rPr>
              <w:t>1,1</w:t>
            </w:r>
          </w:p>
        </w:tc>
      </w:tr>
      <w:tr>
        <w:tc>
          <w:tcPr>
            <w:tcW w:type="dxa" w:w="1995"/>
          </w:tcPr>
          <w:p>
            <w:pPr>
              <w:spacing w:after="0" w:line="240" w:lineRule="auto"/>
              <w:ind w:firstLine="0"/>
              <w:jc w:val="left"/>
            </w:pPr>
            <w:r>
              <w:rPr>
                <w:b w:val="0"/>
                <w:i w:val="0"/>
                <w:sz w:val="20"/>
              </w:rPr>
              <w:t>Tb₄O₇</w:t>
            </w:r>
          </w:p>
        </w:tc>
        <w:tc>
          <w:tcPr>
            <w:tcW w:type="dxa" w:w="1995"/>
          </w:tcPr>
          <w:p>
            <w:pPr>
              <w:spacing w:after="0" w:line="240" w:lineRule="auto"/>
              <w:ind w:firstLine="0"/>
              <w:jc w:val="center"/>
            </w:pPr>
            <w:r>
              <w:rPr>
                <w:b w:val="0"/>
                <w:i w:val="0"/>
                <w:sz w:val="20"/>
              </w:rPr>
              <w:t>0,25</w:t>
            </w:r>
          </w:p>
        </w:tc>
        <w:tc>
          <w:tcPr>
            <w:tcW w:type="dxa" w:w="1995"/>
          </w:tcPr>
          <w:p>
            <w:pPr>
              <w:spacing w:after="0" w:line="240" w:lineRule="auto"/>
              <w:ind w:firstLine="0"/>
              <w:jc w:val="center"/>
            </w:pPr>
            <w:r>
              <w:rPr>
                <w:b w:val="0"/>
                <w:i w:val="0"/>
                <w:sz w:val="20"/>
              </w:rPr>
              <w:t>830</w:t>
            </w:r>
          </w:p>
        </w:tc>
        <w:tc>
          <w:tcPr>
            <w:tcW w:type="dxa" w:w="1995"/>
          </w:tcPr>
          <w:p>
            <w:pPr>
              <w:spacing w:after="0" w:line="240" w:lineRule="auto"/>
              <w:ind w:firstLine="0"/>
              <w:jc w:val="center"/>
            </w:pPr>
            <w:r>
              <w:rPr>
                <w:b w:val="0"/>
                <w:i w:val="0"/>
                <w:sz w:val="20"/>
              </w:rPr>
              <w:t>7,3</w:t>
            </w:r>
          </w:p>
        </w:tc>
        <w:tc>
          <w:tcPr>
            <w:tcW w:type="dxa" w:w="1995"/>
          </w:tcPr>
          <w:p>
            <w:pPr>
              <w:spacing w:after="0" w:line="240" w:lineRule="auto"/>
              <w:ind w:firstLine="0"/>
              <w:jc w:val="center"/>
            </w:pPr>
            <w:r>
              <w:rPr>
                <w:b w:val="0"/>
                <w:i w:val="0"/>
                <w:sz w:val="20"/>
              </w:rPr>
              <w:t>29,2</w:t>
            </w:r>
          </w:p>
        </w:tc>
      </w:tr>
      <w:tr>
        <w:tc>
          <w:tcPr>
            <w:tcW w:type="dxa" w:w="1995"/>
          </w:tcPr>
          <w:p>
            <w:pPr>
              <w:spacing w:after="0" w:line="240" w:lineRule="auto"/>
              <w:ind w:firstLine="0"/>
              <w:jc w:val="left"/>
            </w:pPr>
            <w:r>
              <w:rPr>
                <w:b w:val="0"/>
                <w:i w:val="0"/>
                <w:sz w:val="20"/>
              </w:rPr>
              <w:t>Dy₂O₃</w:t>
            </w:r>
          </w:p>
        </w:tc>
        <w:tc>
          <w:tcPr>
            <w:tcW w:type="dxa" w:w="1995"/>
          </w:tcPr>
          <w:p>
            <w:pPr>
              <w:spacing w:after="0" w:line="240" w:lineRule="auto"/>
              <w:ind w:firstLine="0"/>
              <w:jc w:val="center"/>
            </w:pPr>
            <w:r>
              <w:rPr>
                <w:b w:val="0"/>
                <w:i w:val="0"/>
                <w:sz w:val="20"/>
              </w:rPr>
              <w:t>1,1</w:t>
            </w:r>
          </w:p>
        </w:tc>
        <w:tc>
          <w:tcPr>
            <w:tcW w:type="dxa" w:w="1995"/>
          </w:tcPr>
          <w:p>
            <w:pPr>
              <w:spacing w:after="0" w:line="240" w:lineRule="auto"/>
              <w:ind w:firstLine="0"/>
              <w:jc w:val="center"/>
            </w:pPr>
            <w:r>
              <w:rPr>
                <w:b w:val="0"/>
                <w:i w:val="0"/>
                <w:sz w:val="20"/>
              </w:rPr>
              <w:t>245</w:t>
            </w:r>
          </w:p>
        </w:tc>
        <w:tc>
          <w:tcPr>
            <w:tcW w:type="dxa" w:w="1995"/>
          </w:tcPr>
          <w:p>
            <w:pPr>
              <w:spacing w:after="0" w:line="240" w:lineRule="auto"/>
              <w:ind w:firstLine="0"/>
              <w:jc w:val="center"/>
            </w:pPr>
            <w:r>
              <w:rPr>
                <w:b w:val="0"/>
                <w:i w:val="0"/>
                <w:sz w:val="20"/>
              </w:rPr>
              <w:t>9,5</w:t>
            </w:r>
          </w:p>
        </w:tc>
        <w:tc>
          <w:tcPr>
            <w:tcW w:type="dxa" w:w="1995"/>
          </w:tcPr>
          <w:p>
            <w:pPr>
              <w:spacing w:after="0" w:line="240" w:lineRule="auto"/>
              <w:ind w:firstLine="0"/>
              <w:jc w:val="center"/>
            </w:pPr>
            <w:r>
              <w:rPr>
                <w:b w:val="0"/>
                <w:i w:val="0"/>
                <w:sz w:val="20"/>
              </w:rPr>
              <w:t>8,6</w:t>
            </w:r>
          </w:p>
        </w:tc>
      </w:tr>
      <w:tr>
        <w:tc>
          <w:tcPr>
            <w:tcW w:type="dxa" w:w="1995"/>
          </w:tcPr>
          <w:p>
            <w:pPr>
              <w:spacing w:after="0" w:line="240" w:lineRule="auto"/>
              <w:ind w:firstLine="0"/>
              <w:jc w:val="left"/>
            </w:pPr>
            <w:r>
              <w:rPr>
                <w:b w:val="0"/>
                <w:i w:val="0"/>
                <w:sz w:val="20"/>
              </w:rPr>
              <w:t>Ho–Lu</w:t>
            </w:r>
          </w:p>
        </w:tc>
        <w:tc>
          <w:tcPr>
            <w:tcW w:type="dxa" w:w="1995"/>
          </w:tcPr>
          <w:p>
            <w:pPr>
              <w:spacing w:after="0" w:line="240" w:lineRule="auto"/>
              <w:ind w:firstLine="0"/>
              <w:jc w:val="center"/>
            </w:pPr>
            <w:r>
              <w:rPr>
                <w:b w:val="0"/>
                <w:i w:val="0"/>
                <w:sz w:val="20"/>
              </w:rPr>
              <w:t>0,85</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1,3</w:t>
            </w:r>
          </w:p>
        </w:tc>
        <w:tc>
          <w:tcPr>
            <w:tcW w:type="dxa" w:w="1995"/>
          </w:tcPr>
          <w:p>
            <w:pPr>
              <w:spacing w:after="0" w:line="240" w:lineRule="auto"/>
              <w:ind w:firstLine="0"/>
              <w:jc w:val="center"/>
            </w:pPr>
            <w:r>
              <w:rPr>
                <w:b w:val="0"/>
                <w:i w:val="0"/>
                <w:sz w:val="20"/>
              </w:rPr>
              <w:t>1,5</w:t>
            </w:r>
          </w:p>
        </w:tc>
      </w:tr>
      <w:tr>
        <w:tc>
          <w:tcPr>
            <w:tcW w:type="dxa" w:w="1995"/>
          </w:tcPr>
          <w:p>
            <w:pPr>
              <w:spacing w:after="0" w:line="240" w:lineRule="auto"/>
              <w:ind w:firstLine="0"/>
              <w:jc w:val="left"/>
            </w:pPr>
            <w:r>
              <w:rPr>
                <w:b w:val="0"/>
                <w:i w:val="0"/>
                <w:sz w:val="20"/>
              </w:rPr>
              <w:t>Y₂O₃</w:t>
            </w:r>
          </w:p>
        </w:tc>
        <w:tc>
          <w:tcPr>
            <w:tcW w:type="dxa" w:w="1995"/>
          </w:tcPr>
          <w:p>
            <w:pPr>
              <w:spacing w:after="0" w:line="240" w:lineRule="auto"/>
              <w:ind w:firstLine="0"/>
              <w:jc w:val="center"/>
            </w:pPr>
            <w:r>
              <w:rPr>
                <w:b w:val="0"/>
                <w:i w:val="0"/>
                <w:sz w:val="20"/>
              </w:rPr>
              <w:t>5,0</w:t>
            </w:r>
          </w:p>
        </w:tc>
        <w:tc>
          <w:tcPr>
            <w:tcW w:type="dxa" w:w="1995"/>
          </w:tcPr>
          <w:p>
            <w:pPr>
              <w:spacing w:after="0" w:line="240" w:lineRule="auto"/>
              <w:ind w:firstLine="0"/>
              <w:jc w:val="center"/>
            </w:pPr>
            <w:r>
              <w:rPr>
                <w:b w:val="0"/>
                <w:i w:val="0"/>
                <w:sz w:val="20"/>
              </w:rPr>
              <w:t>7,0</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0,24</w:t>
            </w:r>
          </w:p>
        </w:tc>
      </w:tr>
      <w:tr>
        <w:tc>
          <w:tcPr>
            <w:tcW w:type="dxa" w:w="1995"/>
          </w:tcPr>
          <w:p>
            <w:pPr>
              <w:spacing w:after="0" w:line="240" w:lineRule="auto"/>
              <w:ind w:firstLine="0"/>
              <w:jc w:val="left"/>
            </w:pPr>
            <w:r>
              <w:rPr>
                <w:b w:val="0"/>
                <w:i w:val="0"/>
                <w:sz w:val="20"/>
              </w:rPr>
              <w:t>Прочее / магнитная премия</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32,1</w:t>
            </w:r>
          </w:p>
        </w:tc>
        <w:tc>
          <w:tcPr>
            <w:tcW w:type="dxa" w:w="1995"/>
          </w:tcPr>
          <w:p>
            <w:pPr>
              <w:spacing w:after="0" w:line="240" w:lineRule="auto"/>
              <w:ind w:firstLine="0"/>
              <w:jc w:val="center"/>
            </w:pPr>
            <w:r>
              <w:rPr>
                <w:b w:val="0"/>
                <w:i w:val="0"/>
                <w:sz w:val="20"/>
              </w:rPr>
              <w:t>—</w:t>
            </w:r>
          </w:p>
        </w:tc>
      </w:tr>
    </w:tbl>
    <w:p>
      <w:pPr>
        <w:spacing w:after="180"/>
        <w:ind w:firstLine="0"/>
      </w:pPr>
      <w:r>
        <w:rPr>
          <w:i/>
          <w:sz w:val="20"/>
        </w:rPr>
        <w:t>Источник: аналитический центр на основе данных о производстве и среднегодовых ценах 2024 г.</w:t>
      </w:r>
    </w:p>
    <w:p>
      <w:r>
        <w:rPr>
          <w:b w:val="0"/>
          <w:i w:val="0"/>
        </w:rPr>
        <w:t>Практические следствия проблемы баланса корзины:</w:t>
      </w:r>
    </w:p>
    <w:p>
      <w:pPr>
        <w:pStyle w:val="ListBullet"/>
        <w:spacing w:after="20"/>
        <w:ind w:firstLine="0"/>
      </w:pPr>
      <w:r>
        <w:rPr>
          <w:b/>
          <w:i w:val="0"/>
        </w:rPr>
        <w:t>Себестоимость дефицитных элементов определяется не их извлечением, а сбытом сопутствующих.</w:t>
      </w:r>
      <w:r>
        <w:rPr>
          <w:b w:val="0"/>
          <w:i w:val="0"/>
        </w:rPr>
        <w:t xml:space="preserve"> Проект, не имеющий рынка сбыта церия и лантана, вынужден относить все затраты на NdPr, что резко ухудшает экономику. Классическим примером является ситуация Mountain Pass в 2013–2015 гг., когда обвал цен на церий и лантан при невозможности их складирования стал одной из причин банкротства Molycorp.</w:t>
      </w:r>
    </w:p>
    <w:p>
      <w:pPr>
        <w:pStyle w:val="ListBullet"/>
        <w:spacing w:after="20"/>
        <w:ind w:firstLine="0"/>
      </w:pPr>
      <w:r>
        <w:rPr>
          <w:b/>
          <w:i w:val="0"/>
        </w:rPr>
        <w:t>Складские излишки не утилизируемы.</w:t>
      </w:r>
      <w:r>
        <w:rPr>
          <w:b w:val="0"/>
          <w:i w:val="0"/>
        </w:rPr>
        <w:t xml:space="preserve"> Мировые накопленные запасы оксидов церия и лантана оцениваются в десятки тысяч тонн; их вывод на рынок дополнительно подавляет цены.</w:t>
      </w:r>
    </w:p>
    <w:p>
      <w:pPr>
        <w:pStyle w:val="ListBullet"/>
        <w:spacing w:after="20"/>
        <w:ind w:firstLine="0"/>
      </w:pPr>
      <w:r>
        <w:rPr>
          <w:b/>
          <w:i w:val="0"/>
        </w:rPr>
        <w:t>Наращивание производства NdPr неизбежно наращивает производство церия.</w:t>
      </w:r>
      <w:r>
        <w:rPr>
          <w:b w:val="0"/>
          <w:i w:val="0"/>
        </w:rPr>
        <w:t xml:space="preserve"> Для получения дополнительной тонны NdPr из бастнезитового сырья требуется переработать сырьё, дающее около 4 т церия и лантана.</w:t>
      </w:r>
    </w:p>
    <w:p>
      <w:pPr>
        <w:pStyle w:val="ListBullet"/>
        <w:spacing w:after="20"/>
        <w:ind w:firstLine="0"/>
      </w:pPr>
      <w:r>
        <w:rPr>
          <w:b/>
          <w:i w:val="0"/>
        </w:rPr>
        <w:t>Тяжёлые элементы не могут быть получены наращиванием лёгкого сырья.</w:t>
      </w:r>
      <w:r>
        <w:rPr>
          <w:b w:val="0"/>
          <w:i w:val="0"/>
        </w:rPr>
        <w:t xml:space="preserve"> Увеличение производства бастнезита в 10 раз не решает проблему дефицита диспрозия и тербия, поскольку их содержание в бастнезите ничтожно.</w:t>
      </w:r>
    </w:p>
    <w:p>
      <w:r>
        <w:rPr>
          <w:b w:val="0"/>
          <w:i w:val="0"/>
        </w:rPr>
        <w:t>Из последнего тезиса следует важнейший вывод для оценки российских перспектив: наличие крупных запасов лёгкой корзины (Ловозеро, Томтор, апатит Хибин) обеспечивает потенциальную самодостаточность по неодиму и празеодиму, но не решает вопрос обеспечения диспрозием и тербием, критичными для высокотемпературных магнитов. Этот вопрос детально рассматривается в разделах 9.5 и 16.4.</w:t>
      </w:r>
    </w:p>
    <w:p>
      <w:pPr>
        <w:keepNext/>
        <w:spacing w:before="160" w:after="60"/>
        <w:ind w:firstLine="0"/>
        <w:jc w:val="left"/>
      </w:pPr>
      <w:r>
        <w:rPr>
          <w:b/>
          <w:sz w:val="22"/>
        </w:rPr>
        <w:t>Рисунок 4. Сопоставление структуры мирового производства и структуры стоимости РЗМ, 2024 г., %</w:t>
      </w:r>
    </w:p>
    <w:p>
      <w:pPr>
        <w:ind w:firstLine="0"/>
        <w:jc w:val="center"/>
      </w:pPr>
      <w:r>
        <w:drawing>
          <wp:inline xmlns:a="http://schemas.openxmlformats.org/drawingml/2006/main" xmlns:pic="http://schemas.openxmlformats.org/drawingml/2006/picture">
            <wp:extent cx="5580000" cy="2385652"/>
            <wp:docPr id="4" name="Picture 4"/>
            <wp:cNvGraphicFramePr>
              <a:graphicFrameLocks noChangeAspect="1"/>
            </wp:cNvGraphicFramePr>
            <a:graphic>
              <a:graphicData uri="http://schemas.openxmlformats.org/drawingml/2006/picture">
                <pic:pic>
                  <pic:nvPicPr>
                    <pic:cNvPr id="0" name="fig4.png"/>
                    <pic:cNvPicPr/>
                  </pic:nvPicPr>
                  <pic:blipFill>
                    <a:blip r:embed="rId14"/>
                    <a:stretch>
                      <a:fillRect/>
                    </a:stretch>
                  </pic:blipFill>
                  <pic:spPr>
                    <a:xfrm>
                      <a:off x="0" y="0"/>
                      <a:ext cx="5580000" cy="2385652"/>
                    </a:xfrm>
                    <a:prstGeom prst="rect"/>
                  </pic:spPr>
                </pic:pic>
              </a:graphicData>
            </a:graphic>
          </wp:inline>
        </w:drawing>
      </w:r>
    </w:p>
    <w:p>
      <w:pPr>
        <w:spacing w:after="180"/>
        <w:ind w:firstLine="0"/>
      </w:pPr>
      <w:r>
        <w:rPr>
          <w:i/>
          <w:sz w:val="20"/>
        </w:rPr>
        <w:t>Источник: аналитический центр (обобщение табл. 7)</w:t>
      </w:r>
    </w:p>
    <w:p>
      <w:pPr>
        <w:pStyle w:val="Heading2"/>
      </w:pPr>
      <w:r>
        <w:rPr>
          <w:b w:val="0"/>
          <w:i w:val="0"/>
        </w:rPr>
        <w:t>1.6. Структура мирового рынка и его основные особенности</w:t>
      </w:r>
    </w:p>
    <w:p>
      <w:r>
        <w:rPr>
          <w:b w:val="0"/>
          <w:i w:val="0"/>
        </w:rPr>
        <w:t>Мировой рынок редкоземельной продукции обладает набором характеристик, отличающих его от большинства сырьевых рынков:</w:t>
      </w:r>
    </w:p>
    <w:p>
      <w:r>
        <w:rPr>
          <w:b/>
          <w:i w:val="0"/>
        </w:rPr>
        <w:t>Крайне высокая концентрация.</w:t>
      </w:r>
      <w:r>
        <w:rPr>
          <w:b w:val="0"/>
          <w:i w:val="0"/>
        </w:rPr>
        <w:t xml:space="preserve"> Одна юрисдикция контролирует свыше двух третей добычи, около 90% разделения и свыше 90% производства магнитов. Уровень концентрации по индексу Херфиндаля — Хиршмана для стадии разделения превышает 7 000, что соответствует практически монопольной структуре.</w:t>
      </w:r>
    </w:p>
    <w:p>
      <w:r>
        <w:rPr>
          <w:b/>
          <w:i w:val="0"/>
        </w:rPr>
        <w:t>Отсутствие биржевой торговли.</w:t>
      </w:r>
      <w:r>
        <w:rPr>
          <w:b w:val="0"/>
          <w:i w:val="0"/>
        </w:rPr>
        <w:t xml:space="preserve"> Попытки организации фьючерсной торговли РЗМ предпринимались неоднократно (в том числе на Baotou Rare Earth Products Exchange), но ликвидного рынка не сформировалось. Ценообразование остаётся внебиржевым, а ориентиром служат котировки специализированных ценовых агентств.</w:t>
      </w:r>
    </w:p>
    <w:p>
      <w:r>
        <w:rPr>
          <w:b/>
          <w:i w:val="0"/>
        </w:rPr>
        <w:t>Малая ёмкость в физическом выражении при высокой критичности.</w:t>
      </w:r>
      <w:r>
        <w:rPr>
          <w:b w:val="0"/>
          <w:i w:val="0"/>
        </w:rPr>
        <w:t xml:space="preserve"> Годовое мировое потребление 17 элементов сопоставимо с производством одного среднего металлургического завода, что затрудняет привлечение крупного капитала: масштаб рынка не соответствует масштабу инвестиций, необходимых для создания цепочки полного цикла.</w:t>
      </w:r>
    </w:p>
    <w:p>
      <w:r>
        <w:rPr>
          <w:b/>
          <w:i w:val="0"/>
        </w:rPr>
        <w:t>Экстремальная волатильность цен.</w:t>
      </w:r>
      <w:r>
        <w:rPr>
          <w:b w:val="0"/>
          <w:i w:val="0"/>
        </w:rPr>
        <w:t xml:space="preserve"> Амплитуда колебаний цен на отдельные оксиды в 2010–2011 гг. достигала 10–20 раз в течение нескольких месяцев, что делает проектное финансирование крайне затруднённым и требует механизмов ценовой поддержки (см. раздел 7.2 о ценовом поле для MP Materials).</w:t>
      </w:r>
    </w:p>
    <w:p>
      <w:r>
        <w:rPr>
          <w:b/>
          <w:i w:val="0"/>
        </w:rPr>
        <w:t>Регуляторная и экологическая нагрузка.</w:t>
      </w:r>
      <w:r>
        <w:rPr>
          <w:b w:val="0"/>
          <w:i w:val="0"/>
        </w:rPr>
        <w:t xml:space="preserve"> Переработка большинства видов сырья сопряжена с обращением радиоактивных отходов (торий, уран), что в юрисдикциях с развитым экологическим правом добавляет к проекту 2–4 года и значительные издержки. Именно этот фактор — а не геология и не капитал — чаще всего оказывался решающим при остановке проектов вне КНР.</w:t>
      </w:r>
    </w:p>
    <w:p>
      <w:pPr>
        <w:keepNext/>
        <w:spacing w:before="160" w:after="60"/>
        <w:ind w:firstLine="0"/>
        <w:jc w:val="left"/>
      </w:pPr>
      <w:r>
        <w:rPr>
          <w:b/>
          <w:sz w:val="22"/>
        </w:rPr>
        <w:t>Таблица 8. Сопоставление рынка РЗМ с другими сырьевыми рынками, 2024 г. (оценка)</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Показатель</w:t>
            </w:r>
          </w:p>
        </w:tc>
        <w:tc>
          <w:tcPr>
            <w:tcW w:type="dxa" w:w="1995"/>
            <w:shd w:val="clear" w:fill="DCE6F1"/>
          </w:tcPr>
          <w:p>
            <w:pPr>
              <w:spacing w:after="0" w:line="240" w:lineRule="auto"/>
              <w:ind w:firstLine="0"/>
              <w:jc w:val="center"/>
            </w:pPr>
            <w:r>
              <w:rPr>
                <w:b/>
                <w:i w:val="0"/>
                <w:sz w:val="20"/>
              </w:rPr>
              <w:t>РЗМ (TREO)</w:t>
            </w:r>
          </w:p>
        </w:tc>
        <w:tc>
          <w:tcPr>
            <w:tcW w:type="dxa" w:w="1995"/>
            <w:shd w:val="clear" w:fill="DCE6F1"/>
          </w:tcPr>
          <w:p>
            <w:pPr>
              <w:spacing w:after="0" w:line="240" w:lineRule="auto"/>
              <w:ind w:firstLine="0"/>
              <w:jc w:val="center"/>
            </w:pPr>
            <w:r>
              <w:rPr>
                <w:b/>
                <w:i w:val="0"/>
                <w:sz w:val="20"/>
              </w:rPr>
              <w:t>Литий (LCE)</w:t>
            </w:r>
          </w:p>
        </w:tc>
        <w:tc>
          <w:tcPr>
            <w:tcW w:type="dxa" w:w="1995"/>
            <w:shd w:val="clear" w:fill="DCE6F1"/>
          </w:tcPr>
          <w:p>
            <w:pPr>
              <w:spacing w:after="0" w:line="240" w:lineRule="auto"/>
              <w:ind w:firstLine="0"/>
              <w:jc w:val="center"/>
            </w:pPr>
            <w:r>
              <w:rPr>
                <w:b/>
                <w:i w:val="0"/>
                <w:sz w:val="20"/>
              </w:rPr>
              <w:t>Медь</w:t>
            </w:r>
          </w:p>
        </w:tc>
        <w:tc>
          <w:tcPr>
            <w:tcW w:type="dxa" w:w="1995"/>
            <w:shd w:val="clear" w:fill="DCE6F1"/>
          </w:tcPr>
          <w:p>
            <w:pPr>
              <w:spacing w:after="0" w:line="240" w:lineRule="auto"/>
              <w:ind w:firstLine="0"/>
              <w:jc w:val="center"/>
            </w:pPr>
            <w:r>
              <w:rPr>
                <w:b/>
                <w:i w:val="0"/>
                <w:sz w:val="20"/>
              </w:rPr>
              <w:t>Сталь</w:t>
            </w:r>
          </w:p>
        </w:tc>
      </w:tr>
      <w:tr>
        <w:tc>
          <w:tcPr>
            <w:tcW w:type="dxa" w:w="1995"/>
          </w:tcPr>
          <w:p>
            <w:pPr>
              <w:spacing w:after="0" w:line="240" w:lineRule="auto"/>
              <w:ind w:firstLine="0"/>
              <w:jc w:val="left"/>
            </w:pPr>
            <w:r>
              <w:rPr>
                <w:b w:val="0"/>
                <w:i w:val="0"/>
                <w:sz w:val="20"/>
              </w:rPr>
              <w:t>Мировое производство</w:t>
            </w:r>
          </w:p>
        </w:tc>
        <w:tc>
          <w:tcPr>
            <w:tcW w:type="dxa" w:w="1995"/>
          </w:tcPr>
          <w:p>
            <w:pPr>
              <w:spacing w:after="0" w:line="240" w:lineRule="auto"/>
              <w:ind w:firstLine="0"/>
              <w:jc w:val="center"/>
            </w:pPr>
            <w:r>
              <w:rPr>
                <w:b w:val="0"/>
                <w:i w:val="0"/>
                <w:sz w:val="20"/>
              </w:rPr>
              <w:t>0,39 млн т</w:t>
            </w:r>
          </w:p>
        </w:tc>
        <w:tc>
          <w:tcPr>
            <w:tcW w:type="dxa" w:w="1995"/>
          </w:tcPr>
          <w:p>
            <w:pPr>
              <w:spacing w:after="0" w:line="240" w:lineRule="auto"/>
              <w:ind w:firstLine="0"/>
              <w:jc w:val="center"/>
            </w:pPr>
            <w:r>
              <w:rPr>
                <w:b w:val="0"/>
                <w:i w:val="0"/>
                <w:sz w:val="20"/>
              </w:rPr>
              <w:t>1,3 млн т</w:t>
            </w:r>
          </w:p>
        </w:tc>
        <w:tc>
          <w:tcPr>
            <w:tcW w:type="dxa" w:w="1995"/>
          </w:tcPr>
          <w:p>
            <w:pPr>
              <w:spacing w:after="0" w:line="240" w:lineRule="auto"/>
              <w:ind w:firstLine="0"/>
              <w:jc w:val="center"/>
            </w:pPr>
            <w:r>
              <w:rPr>
                <w:b w:val="0"/>
                <w:i w:val="0"/>
                <w:sz w:val="20"/>
              </w:rPr>
              <w:t>22,8 млн т</w:t>
            </w:r>
          </w:p>
        </w:tc>
        <w:tc>
          <w:tcPr>
            <w:tcW w:type="dxa" w:w="1995"/>
          </w:tcPr>
          <w:p>
            <w:pPr>
              <w:spacing w:after="0" w:line="240" w:lineRule="auto"/>
              <w:ind w:firstLine="0"/>
              <w:jc w:val="center"/>
            </w:pPr>
            <w:r>
              <w:rPr>
                <w:b w:val="0"/>
                <w:i w:val="0"/>
                <w:sz w:val="20"/>
              </w:rPr>
              <w:t>1 850 млн т</w:t>
            </w:r>
          </w:p>
        </w:tc>
      </w:tr>
      <w:tr>
        <w:tc>
          <w:tcPr>
            <w:tcW w:type="dxa" w:w="1995"/>
          </w:tcPr>
          <w:p>
            <w:pPr>
              <w:spacing w:after="0" w:line="240" w:lineRule="auto"/>
              <w:ind w:firstLine="0"/>
              <w:jc w:val="left"/>
            </w:pPr>
            <w:r>
              <w:rPr>
                <w:b w:val="0"/>
                <w:i w:val="0"/>
                <w:sz w:val="20"/>
              </w:rPr>
              <w:t>Ёмкость рынка сырья</w:t>
            </w:r>
          </w:p>
        </w:tc>
        <w:tc>
          <w:tcPr>
            <w:tcW w:type="dxa" w:w="1995"/>
          </w:tcPr>
          <w:p>
            <w:pPr>
              <w:spacing w:after="0" w:line="240" w:lineRule="auto"/>
              <w:ind w:firstLine="0"/>
              <w:jc w:val="center"/>
            </w:pPr>
            <w:r>
              <w:rPr>
                <w:b w:val="0"/>
                <w:i w:val="0"/>
                <w:sz w:val="20"/>
              </w:rPr>
              <w:t>6–9 млрд $</w:t>
            </w:r>
          </w:p>
        </w:tc>
        <w:tc>
          <w:tcPr>
            <w:tcW w:type="dxa" w:w="1995"/>
          </w:tcPr>
          <w:p>
            <w:pPr>
              <w:spacing w:after="0" w:line="240" w:lineRule="auto"/>
              <w:ind w:firstLine="0"/>
              <w:jc w:val="center"/>
            </w:pPr>
            <w:r>
              <w:rPr>
                <w:b w:val="0"/>
                <w:i w:val="0"/>
                <w:sz w:val="20"/>
              </w:rPr>
              <w:t>20–28 млрд $</w:t>
            </w:r>
          </w:p>
        </w:tc>
        <w:tc>
          <w:tcPr>
            <w:tcW w:type="dxa" w:w="1995"/>
          </w:tcPr>
          <w:p>
            <w:pPr>
              <w:spacing w:after="0" w:line="240" w:lineRule="auto"/>
              <w:ind w:firstLine="0"/>
              <w:jc w:val="center"/>
            </w:pPr>
            <w:r>
              <w:rPr>
                <w:b w:val="0"/>
                <w:i w:val="0"/>
                <w:sz w:val="20"/>
              </w:rPr>
              <w:t>210 млрд $</w:t>
            </w:r>
          </w:p>
        </w:tc>
        <w:tc>
          <w:tcPr>
            <w:tcW w:type="dxa" w:w="1995"/>
          </w:tcPr>
          <w:p>
            <w:pPr>
              <w:spacing w:after="0" w:line="240" w:lineRule="auto"/>
              <w:ind w:firstLine="0"/>
              <w:jc w:val="center"/>
            </w:pPr>
            <w:r>
              <w:rPr>
                <w:b w:val="0"/>
                <w:i w:val="0"/>
                <w:sz w:val="20"/>
              </w:rPr>
              <w:t>1 400 млрд $</w:t>
            </w:r>
          </w:p>
        </w:tc>
      </w:tr>
      <w:tr>
        <w:tc>
          <w:tcPr>
            <w:tcW w:type="dxa" w:w="1995"/>
          </w:tcPr>
          <w:p>
            <w:pPr>
              <w:spacing w:after="0" w:line="240" w:lineRule="auto"/>
              <w:ind w:firstLine="0"/>
              <w:jc w:val="left"/>
            </w:pPr>
            <w:r>
              <w:rPr>
                <w:b w:val="0"/>
                <w:i w:val="0"/>
                <w:sz w:val="20"/>
              </w:rPr>
              <w:t>Доля крупнейшей страны в добыче</w:t>
            </w:r>
          </w:p>
        </w:tc>
        <w:tc>
          <w:tcPr>
            <w:tcW w:type="dxa" w:w="1995"/>
          </w:tcPr>
          <w:p>
            <w:pPr>
              <w:spacing w:after="0" w:line="240" w:lineRule="auto"/>
              <w:ind w:firstLine="0"/>
              <w:jc w:val="center"/>
            </w:pPr>
            <w:r>
              <w:rPr>
                <w:b w:val="0"/>
                <w:i w:val="0"/>
                <w:sz w:val="20"/>
              </w:rPr>
              <w:t>69%</w:t>
            </w:r>
          </w:p>
        </w:tc>
        <w:tc>
          <w:tcPr>
            <w:tcW w:type="dxa" w:w="1995"/>
          </w:tcPr>
          <w:p>
            <w:pPr>
              <w:spacing w:after="0" w:line="240" w:lineRule="auto"/>
              <w:ind w:firstLine="0"/>
              <w:jc w:val="center"/>
            </w:pPr>
            <w:r>
              <w:rPr>
                <w:b w:val="0"/>
                <w:i w:val="0"/>
                <w:sz w:val="20"/>
              </w:rPr>
              <w:t>24%</w:t>
            </w:r>
          </w:p>
        </w:tc>
        <w:tc>
          <w:tcPr>
            <w:tcW w:type="dxa" w:w="1995"/>
          </w:tcPr>
          <w:p>
            <w:pPr>
              <w:spacing w:after="0" w:line="240" w:lineRule="auto"/>
              <w:ind w:firstLine="0"/>
              <w:jc w:val="center"/>
            </w:pPr>
            <w:r>
              <w:rPr>
                <w:b w:val="0"/>
                <w:i w:val="0"/>
                <w:sz w:val="20"/>
              </w:rPr>
              <w:t>24%</w:t>
            </w:r>
          </w:p>
        </w:tc>
        <w:tc>
          <w:tcPr>
            <w:tcW w:type="dxa" w:w="1995"/>
          </w:tcPr>
          <w:p>
            <w:pPr>
              <w:spacing w:after="0" w:line="240" w:lineRule="auto"/>
              <w:ind w:firstLine="0"/>
              <w:jc w:val="center"/>
            </w:pPr>
            <w:r>
              <w:rPr>
                <w:b w:val="0"/>
                <w:i w:val="0"/>
                <w:sz w:val="20"/>
              </w:rPr>
              <w:t>54%</w:t>
            </w:r>
          </w:p>
        </w:tc>
      </w:tr>
      <w:tr>
        <w:tc>
          <w:tcPr>
            <w:tcW w:type="dxa" w:w="1995"/>
          </w:tcPr>
          <w:p>
            <w:pPr>
              <w:spacing w:after="0" w:line="240" w:lineRule="auto"/>
              <w:ind w:firstLine="0"/>
              <w:jc w:val="left"/>
            </w:pPr>
            <w:r>
              <w:rPr>
                <w:b w:val="0"/>
                <w:i w:val="0"/>
                <w:sz w:val="20"/>
              </w:rPr>
              <w:t>Доля крупнейшей страны в переделе</w:t>
            </w:r>
          </w:p>
        </w:tc>
        <w:tc>
          <w:tcPr>
            <w:tcW w:type="dxa" w:w="1995"/>
          </w:tcPr>
          <w:p>
            <w:pPr>
              <w:spacing w:after="0" w:line="240" w:lineRule="auto"/>
              <w:ind w:firstLine="0"/>
              <w:jc w:val="center"/>
            </w:pPr>
            <w:r>
              <w:rPr>
                <w:b w:val="0"/>
                <w:i w:val="0"/>
                <w:sz w:val="20"/>
              </w:rPr>
              <w:t>88%</w:t>
            </w:r>
          </w:p>
        </w:tc>
        <w:tc>
          <w:tcPr>
            <w:tcW w:type="dxa" w:w="1995"/>
          </w:tcPr>
          <w:p>
            <w:pPr>
              <w:spacing w:after="0" w:line="240" w:lineRule="auto"/>
              <w:ind w:firstLine="0"/>
              <w:jc w:val="center"/>
            </w:pPr>
            <w:r>
              <w:rPr>
                <w:b w:val="0"/>
                <w:i w:val="0"/>
                <w:sz w:val="20"/>
              </w:rPr>
              <w:t>58%</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54%</w:t>
            </w:r>
          </w:p>
        </w:tc>
      </w:tr>
      <w:tr>
        <w:tc>
          <w:tcPr>
            <w:tcW w:type="dxa" w:w="1995"/>
          </w:tcPr>
          <w:p>
            <w:pPr>
              <w:spacing w:after="0" w:line="240" w:lineRule="auto"/>
              <w:ind w:firstLine="0"/>
              <w:jc w:val="left"/>
            </w:pPr>
            <w:r>
              <w:rPr>
                <w:b w:val="0"/>
                <w:i w:val="0"/>
                <w:sz w:val="20"/>
              </w:rPr>
              <w:t>Наличие биржевых котировок</w:t>
            </w:r>
          </w:p>
        </w:tc>
        <w:tc>
          <w:tcPr>
            <w:tcW w:type="dxa" w:w="1995"/>
          </w:tcPr>
          <w:p>
            <w:pPr>
              <w:spacing w:after="0" w:line="240" w:lineRule="auto"/>
              <w:ind w:firstLine="0"/>
              <w:jc w:val="center"/>
            </w:pPr>
            <w:r>
              <w:rPr>
                <w:b w:val="0"/>
                <w:i w:val="0"/>
                <w:sz w:val="20"/>
              </w:rPr>
              <w:t>нет</w:t>
            </w:r>
          </w:p>
        </w:tc>
        <w:tc>
          <w:tcPr>
            <w:tcW w:type="dxa" w:w="1995"/>
          </w:tcPr>
          <w:p>
            <w:pPr>
              <w:spacing w:after="0" w:line="240" w:lineRule="auto"/>
              <w:ind w:firstLine="0"/>
              <w:jc w:val="center"/>
            </w:pPr>
            <w:r>
              <w:rPr>
                <w:b w:val="0"/>
                <w:i w:val="0"/>
                <w:sz w:val="20"/>
              </w:rPr>
              <w:t>частично</w:t>
            </w:r>
          </w:p>
        </w:tc>
        <w:tc>
          <w:tcPr>
            <w:tcW w:type="dxa" w:w="1995"/>
          </w:tcPr>
          <w:p>
            <w:pPr>
              <w:spacing w:after="0" w:line="240" w:lineRule="auto"/>
              <w:ind w:firstLine="0"/>
              <w:jc w:val="center"/>
            </w:pPr>
            <w:r>
              <w:rPr>
                <w:b w:val="0"/>
                <w:i w:val="0"/>
                <w:sz w:val="20"/>
              </w:rPr>
              <w:t>да (LME/COMEX)</w:t>
            </w:r>
          </w:p>
        </w:tc>
        <w:tc>
          <w:tcPr>
            <w:tcW w:type="dxa" w:w="1995"/>
          </w:tcPr>
          <w:p>
            <w:pPr>
              <w:spacing w:after="0" w:line="240" w:lineRule="auto"/>
              <w:ind w:firstLine="0"/>
              <w:jc w:val="center"/>
            </w:pPr>
            <w:r>
              <w:rPr>
                <w:b w:val="0"/>
                <w:i w:val="0"/>
                <w:sz w:val="20"/>
              </w:rPr>
              <w:t>частично</w:t>
            </w:r>
          </w:p>
        </w:tc>
      </w:tr>
    </w:tbl>
    <w:p>
      <w:pPr>
        <w:spacing w:after="180"/>
        <w:ind w:firstLine="0"/>
      </w:pPr>
      <w:r>
        <w:rPr>
          <w:i/>
          <w:sz w:val="20"/>
        </w:rPr>
        <w:t>Источник: аналитический центр по данным USGS, World Steel Association, ICSG, ILZSG</w:t>
      </w:r>
    </w:p>
    <w:p>
      <w:pPr>
        <w:keepNext/>
        <w:spacing w:before="160" w:after="60"/>
        <w:ind w:firstLine="0"/>
        <w:jc w:val="left"/>
      </w:pPr>
      <w:r>
        <w:rPr>
          <w:b/>
          <w:sz w:val="22"/>
        </w:rPr>
        <w:t>Рисунок 5. Структура мирового рынка редкоземельной продукции по стадиям передела, доля КНР, 2025 г. (оценка), %</w:t>
      </w:r>
    </w:p>
    <w:p>
      <w:pPr>
        <w:ind w:firstLine="0"/>
        <w:jc w:val="center"/>
      </w:pPr>
      <w:r>
        <w:drawing>
          <wp:inline xmlns:a="http://schemas.openxmlformats.org/drawingml/2006/main" xmlns:pic="http://schemas.openxmlformats.org/drawingml/2006/picture">
            <wp:extent cx="5580000" cy="3600000"/>
            <wp:docPr id="5" name="Picture 5"/>
            <wp:cNvGraphicFramePr>
              <a:graphicFrameLocks noChangeAspect="1"/>
            </wp:cNvGraphicFramePr>
            <a:graphic>
              <a:graphicData uri="http://schemas.openxmlformats.org/drawingml/2006/picture">
                <pic:pic>
                  <pic:nvPicPr>
                    <pic:cNvPr id="0" name="fig5.png"/>
                    <pic:cNvPicPr/>
                  </pic:nvPicPr>
                  <pic:blipFill>
                    <a:blip r:embed="rId15"/>
                    <a:stretch>
                      <a:fillRect/>
                    </a:stretch>
                  </pic:blipFill>
                  <pic:spPr>
                    <a:xfrm>
                      <a:off x="0" y="0"/>
                      <a:ext cx="5580000" cy="3600000"/>
                    </a:xfrm>
                    <a:prstGeom prst="rect"/>
                  </pic:spPr>
                </pic:pic>
              </a:graphicData>
            </a:graphic>
          </wp:inline>
        </w:drawing>
      </w:r>
    </w:p>
    <w:p>
      <w:pPr>
        <w:spacing w:after="180"/>
        <w:ind w:firstLine="0"/>
      </w:pPr>
      <w:r>
        <w:rPr>
          <w:i/>
          <w:sz w:val="20"/>
        </w:rPr>
        <w:t>Источник: аналитический центр по данным USGS, Adamas Intelligence, корпоративных раскрытий</w:t>
      </w:r>
    </w:p>
    <w:p>
      <w:r>
        <w:rPr>
          <w:b w:val="0"/>
          <w:i w:val="0"/>
        </w:rPr>
        <w:t>Диаграмма на рисунке 5 приведена в форме сопоставления долей по стадиям и демонстрирует главную закономерность: концентрация нарастает по мере продвижения по цепочке добавленной стоимости. Диверсификация добычи, достигнутая в 2020–2025 гг. за счёт США, Австралии, Мьянмы и Нигерии, практически не изменила расстановку сил на стадиях, определяющих доступ к конечной продукции. Это и является содержательным ответом на вопрос, почему рост числа проектов добычи вне Китая не привёл к снижению зависимости: узкое место находится не в горном, а в химическом и материаловедческом переделе.</w:t>
      </w:r>
    </w:p>
    <w:p>
      <w:r>
        <w:br w:type="page"/>
      </w:r>
    </w:p>
    <w:p>
      <w:pPr>
        <w:pStyle w:val="Heading1"/>
      </w:pPr>
      <w:r>
        <w:rPr>
          <w:b w:val="0"/>
          <w:i w:val="0"/>
        </w:rPr>
        <w:t>2. Мировая сырьевая база редкоземельных металлов</w:t>
      </w:r>
    </w:p>
    <w:p>
      <w:pPr>
        <w:pStyle w:val="Heading2"/>
      </w:pPr>
      <w:r>
        <w:rPr>
          <w:b w:val="0"/>
          <w:i w:val="0"/>
        </w:rPr>
        <w:t>2.1. Запасы и ресурсы: общая характеристика и проблема сопоставимости данных</w:t>
      </w:r>
    </w:p>
    <w:p>
      <w:r>
        <w:rPr>
          <w:b w:val="0"/>
          <w:i w:val="0"/>
        </w:rPr>
        <w:t>Оценка мировых запасов редкоземельных металлов сопряжена с методологическими трудностями, превосходящими типичные для сырьевых рынков. Основные из них:</w:t>
      </w:r>
    </w:p>
    <w:p>
      <w:r>
        <w:rPr>
          <w:b/>
          <w:i w:val="0"/>
        </w:rPr>
        <w:t>Различие систем классификации.</w:t>
      </w:r>
      <w:r>
        <w:rPr>
          <w:b w:val="0"/>
          <w:i w:val="0"/>
        </w:rPr>
        <w:t xml:space="preserve"> Российская классификация (категории A, B, C₁, C₂ и забалансовые запасы) построена на степени геологической изученности и не содержит требования экономической подтверждённости на момент подсчёта. Международные системы (JORC, NI 43-101, PERC, SAMREC), напротив, требуют подтверждения экономической целесообразности отработки. Прямое сопоставление российских балансовых запасов с «reserves» по USGS некорректно и систематически завышает позицию России; в терминах JORC значительная часть российских балансовых запасов соответствовала бы категории Mineral Resources, а не Ore Reserves.</w:t>
      </w:r>
    </w:p>
    <w:p>
      <w:r>
        <w:rPr>
          <w:b/>
          <w:i w:val="0"/>
        </w:rPr>
        <w:t>Учёт по сумме оксидов.</w:t>
      </w:r>
      <w:r>
        <w:rPr>
          <w:b w:val="0"/>
          <w:i w:val="0"/>
        </w:rPr>
        <w:t xml:space="preserve"> Запасы учитываются в TREO, при этом состав корзины в отчётности раскрывается редко. Месторождение с 1 млн т TREO лёгкой корзины и месторождение с 1 млн т TREO тяжёлой корзины различаются по потенциальной стоимости продукции в 5–15 раз, но в сводных таблицах выглядят одинаково.</w:t>
      </w:r>
    </w:p>
    <w:p>
      <w:r>
        <w:rPr>
          <w:b/>
          <w:i w:val="0"/>
        </w:rPr>
        <w:t>Включение или исключение иттрия и скандия.</w:t>
      </w:r>
      <w:r>
        <w:rPr>
          <w:b w:val="0"/>
          <w:i w:val="0"/>
        </w:rPr>
        <w:t xml:space="preserve"> Разные источники применяют разные подходы, расхождение может достигать 5–10%.</w:t>
      </w:r>
    </w:p>
    <w:p>
      <w:r>
        <w:rPr>
          <w:b/>
          <w:i w:val="0"/>
        </w:rPr>
        <w:t>Неучёт вторичных и попутных источников.</w:t>
      </w:r>
      <w:r>
        <w:rPr>
          <w:b w:val="0"/>
          <w:i w:val="0"/>
        </w:rPr>
        <w:t xml:space="preserve"> Огромные объёмы РЗМ, содержащиеся в фосфогипсе, красных шламах, отвалах и хвостохранилищах, в балансовые запасы не включаются, хотя технологически доступны и в ряде случаев дешевле в отработке, чем первичные руды.</w:t>
      </w:r>
    </w:p>
    <w:p>
      <w:r>
        <w:rPr>
          <w:b w:val="0"/>
          <w:i w:val="0"/>
        </w:rPr>
        <w:t>По данным Геологической службы США, мировые запасы редкоземельных металлов оцениваются примерно в 90 млн т TREO, что при текущем уровне добычи соответствует обеспеченности свыше 200 лет. Таким образом, редкоземельная отрасль не является и в обозримой перспективе не станет ресурсно-ограниченной; ограничения носят технологический, экологический, капитальный и институциональный характер.</w:t>
      </w:r>
    </w:p>
    <w:p>
      <w:pPr>
        <w:keepNext/>
        <w:spacing w:before="160" w:after="60"/>
        <w:ind w:firstLine="0"/>
        <w:jc w:val="left"/>
      </w:pPr>
      <w:r>
        <w:rPr>
          <w:b/>
          <w:sz w:val="22"/>
        </w:rPr>
        <w:t>Таблица 9. Мировые запасы редкоземельных металлов по странам, тыс. т TREO</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Страна</w:t>
            </w:r>
          </w:p>
        </w:tc>
        <w:tc>
          <w:tcPr>
            <w:tcW w:type="dxa" w:w="1995"/>
            <w:shd w:val="clear" w:fill="DCE6F1"/>
          </w:tcPr>
          <w:p>
            <w:pPr>
              <w:spacing w:after="0" w:line="240" w:lineRule="auto"/>
              <w:ind w:firstLine="0"/>
              <w:jc w:val="center"/>
            </w:pPr>
            <w:r>
              <w:rPr>
                <w:b/>
                <w:i w:val="0"/>
                <w:sz w:val="20"/>
              </w:rPr>
              <w:t>Запасы, тыс. т</w:t>
            </w:r>
          </w:p>
        </w:tc>
        <w:tc>
          <w:tcPr>
            <w:tcW w:type="dxa" w:w="1995"/>
            <w:shd w:val="clear" w:fill="DCE6F1"/>
          </w:tcPr>
          <w:p>
            <w:pPr>
              <w:spacing w:after="0" w:line="240" w:lineRule="auto"/>
              <w:ind w:firstLine="0"/>
              <w:jc w:val="center"/>
            </w:pPr>
            <w:r>
              <w:rPr>
                <w:b/>
                <w:i w:val="0"/>
                <w:sz w:val="20"/>
              </w:rPr>
              <w:t>Доля в мире, %</w:t>
            </w:r>
          </w:p>
        </w:tc>
        <w:tc>
          <w:tcPr>
            <w:tcW w:type="dxa" w:w="1995"/>
            <w:shd w:val="clear" w:fill="DCE6F1"/>
          </w:tcPr>
          <w:p>
            <w:pPr>
              <w:spacing w:after="0" w:line="240" w:lineRule="auto"/>
              <w:ind w:firstLine="0"/>
              <w:jc w:val="center"/>
            </w:pPr>
            <w:r>
              <w:rPr>
                <w:b/>
                <w:i w:val="0"/>
                <w:sz w:val="20"/>
              </w:rPr>
              <w:t>Добыча 2024, т</w:t>
            </w:r>
          </w:p>
        </w:tc>
        <w:tc>
          <w:tcPr>
            <w:tcW w:type="dxa" w:w="1995"/>
            <w:shd w:val="clear" w:fill="DCE6F1"/>
          </w:tcPr>
          <w:p>
            <w:pPr>
              <w:spacing w:after="0" w:line="240" w:lineRule="auto"/>
              <w:ind w:firstLine="0"/>
              <w:jc w:val="center"/>
            </w:pPr>
            <w:r>
              <w:rPr>
                <w:b/>
                <w:i w:val="0"/>
                <w:sz w:val="20"/>
              </w:rPr>
              <w:t>Обеспеченность, лет</w:t>
            </w:r>
          </w:p>
        </w:tc>
      </w:tr>
      <w:tr>
        <w:tc>
          <w:tcPr>
            <w:tcW w:type="dxa" w:w="1995"/>
          </w:tcPr>
          <w:p>
            <w:pPr>
              <w:spacing w:after="0" w:line="240" w:lineRule="auto"/>
              <w:ind w:firstLine="0"/>
              <w:jc w:val="left"/>
            </w:pPr>
            <w:r>
              <w:rPr>
                <w:b w:val="0"/>
                <w:i w:val="0"/>
                <w:sz w:val="20"/>
              </w:rPr>
              <w:t>Китай</w:t>
            </w:r>
          </w:p>
        </w:tc>
        <w:tc>
          <w:tcPr>
            <w:tcW w:type="dxa" w:w="1995"/>
          </w:tcPr>
          <w:p>
            <w:pPr>
              <w:spacing w:after="0" w:line="240" w:lineRule="auto"/>
              <w:ind w:firstLine="0"/>
              <w:jc w:val="center"/>
            </w:pPr>
            <w:r>
              <w:rPr>
                <w:b w:val="0"/>
                <w:i w:val="0"/>
                <w:sz w:val="20"/>
              </w:rPr>
              <w:t>44 000</w:t>
            </w:r>
          </w:p>
        </w:tc>
        <w:tc>
          <w:tcPr>
            <w:tcW w:type="dxa" w:w="1995"/>
          </w:tcPr>
          <w:p>
            <w:pPr>
              <w:spacing w:after="0" w:line="240" w:lineRule="auto"/>
              <w:ind w:firstLine="0"/>
              <w:jc w:val="center"/>
            </w:pPr>
            <w:r>
              <w:rPr>
                <w:b w:val="0"/>
                <w:i w:val="0"/>
                <w:sz w:val="20"/>
              </w:rPr>
              <w:t>48,9</w:t>
            </w:r>
          </w:p>
        </w:tc>
        <w:tc>
          <w:tcPr>
            <w:tcW w:type="dxa" w:w="1995"/>
          </w:tcPr>
          <w:p>
            <w:pPr>
              <w:spacing w:after="0" w:line="240" w:lineRule="auto"/>
              <w:ind w:firstLine="0"/>
              <w:jc w:val="center"/>
            </w:pPr>
            <w:r>
              <w:rPr>
                <w:b w:val="0"/>
                <w:i w:val="0"/>
                <w:sz w:val="20"/>
              </w:rPr>
              <w:t>270 000</w:t>
            </w:r>
          </w:p>
        </w:tc>
        <w:tc>
          <w:tcPr>
            <w:tcW w:type="dxa" w:w="1995"/>
          </w:tcPr>
          <w:p>
            <w:pPr>
              <w:spacing w:after="0" w:line="240" w:lineRule="auto"/>
              <w:ind w:firstLine="0"/>
              <w:jc w:val="center"/>
            </w:pPr>
            <w:r>
              <w:rPr>
                <w:b w:val="0"/>
                <w:i w:val="0"/>
                <w:sz w:val="20"/>
              </w:rPr>
              <w:t>163</w:t>
            </w:r>
          </w:p>
        </w:tc>
      </w:tr>
      <w:tr>
        <w:tc>
          <w:tcPr>
            <w:tcW w:type="dxa" w:w="1995"/>
          </w:tcPr>
          <w:p>
            <w:pPr>
              <w:spacing w:after="0" w:line="240" w:lineRule="auto"/>
              <w:ind w:firstLine="0"/>
              <w:jc w:val="left"/>
            </w:pPr>
            <w:r>
              <w:rPr>
                <w:b w:val="0"/>
                <w:i w:val="0"/>
                <w:sz w:val="20"/>
              </w:rPr>
              <w:t>Бразилия</w:t>
            </w:r>
          </w:p>
        </w:tc>
        <w:tc>
          <w:tcPr>
            <w:tcW w:type="dxa" w:w="1995"/>
          </w:tcPr>
          <w:p>
            <w:pPr>
              <w:spacing w:after="0" w:line="240" w:lineRule="auto"/>
              <w:ind w:firstLine="0"/>
              <w:jc w:val="center"/>
            </w:pPr>
            <w:r>
              <w:rPr>
                <w:b w:val="0"/>
                <w:i w:val="0"/>
                <w:sz w:val="20"/>
              </w:rPr>
              <w:t>21 000</w:t>
            </w:r>
          </w:p>
        </w:tc>
        <w:tc>
          <w:tcPr>
            <w:tcW w:type="dxa" w:w="1995"/>
          </w:tcPr>
          <w:p>
            <w:pPr>
              <w:spacing w:after="0" w:line="240" w:lineRule="auto"/>
              <w:ind w:firstLine="0"/>
              <w:jc w:val="center"/>
            </w:pPr>
            <w:r>
              <w:rPr>
                <w:b w:val="0"/>
                <w:i w:val="0"/>
                <w:sz w:val="20"/>
              </w:rPr>
              <w:t>23,3</w:t>
            </w:r>
          </w:p>
        </w:tc>
        <w:tc>
          <w:tcPr>
            <w:tcW w:type="dxa" w:w="1995"/>
          </w:tcPr>
          <w:p>
            <w:pPr>
              <w:spacing w:after="0" w:line="240" w:lineRule="auto"/>
              <w:ind w:firstLine="0"/>
              <w:jc w:val="center"/>
            </w:pPr>
            <w:r>
              <w:rPr>
                <w:b w:val="0"/>
                <w:i w:val="0"/>
                <w:sz w:val="20"/>
              </w:rPr>
              <w:t>20</w:t>
            </w:r>
          </w:p>
        </w:tc>
        <w:tc>
          <w:tcPr>
            <w:tcW w:type="dxa" w:w="1995"/>
          </w:tcPr>
          <w:p>
            <w:pPr>
              <w:spacing w:after="0" w:line="240" w:lineRule="auto"/>
              <w:ind w:firstLine="0"/>
              <w:jc w:val="center"/>
            </w:pPr>
            <w:r>
              <w:rPr>
                <w:b w:val="0"/>
                <w:i w:val="0"/>
                <w:sz w:val="20"/>
              </w:rPr>
              <w:t>&gt;1000</w:t>
            </w:r>
          </w:p>
        </w:tc>
      </w:tr>
      <w:tr>
        <w:tc>
          <w:tcPr>
            <w:tcW w:type="dxa" w:w="1995"/>
          </w:tcPr>
          <w:p>
            <w:pPr>
              <w:spacing w:after="0" w:line="240" w:lineRule="auto"/>
              <w:ind w:firstLine="0"/>
              <w:jc w:val="left"/>
            </w:pPr>
            <w:r>
              <w:rPr>
                <w:b w:val="0"/>
                <w:i w:val="0"/>
                <w:sz w:val="20"/>
              </w:rPr>
              <w:t>Индия</w:t>
            </w:r>
          </w:p>
        </w:tc>
        <w:tc>
          <w:tcPr>
            <w:tcW w:type="dxa" w:w="1995"/>
          </w:tcPr>
          <w:p>
            <w:pPr>
              <w:spacing w:after="0" w:line="240" w:lineRule="auto"/>
              <w:ind w:firstLine="0"/>
              <w:jc w:val="center"/>
            </w:pPr>
            <w:r>
              <w:rPr>
                <w:b w:val="0"/>
                <w:i w:val="0"/>
                <w:sz w:val="20"/>
              </w:rPr>
              <w:t>6 900</w:t>
            </w:r>
          </w:p>
        </w:tc>
        <w:tc>
          <w:tcPr>
            <w:tcW w:type="dxa" w:w="1995"/>
          </w:tcPr>
          <w:p>
            <w:pPr>
              <w:spacing w:after="0" w:line="240" w:lineRule="auto"/>
              <w:ind w:firstLine="0"/>
              <w:jc w:val="center"/>
            </w:pPr>
            <w:r>
              <w:rPr>
                <w:b w:val="0"/>
                <w:i w:val="0"/>
                <w:sz w:val="20"/>
              </w:rPr>
              <w:t>7,7</w:t>
            </w:r>
          </w:p>
        </w:tc>
        <w:tc>
          <w:tcPr>
            <w:tcW w:type="dxa" w:w="1995"/>
          </w:tcPr>
          <w:p>
            <w:pPr>
              <w:spacing w:after="0" w:line="240" w:lineRule="auto"/>
              <w:ind w:firstLine="0"/>
              <w:jc w:val="center"/>
            </w:pPr>
            <w:r>
              <w:rPr>
                <w:b w:val="0"/>
                <w:i w:val="0"/>
                <w:sz w:val="20"/>
              </w:rPr>
              <w:t>2 900</w:t>
            </w:r>
          </w:p>
        </w:tc>
        <w:tc>
          <w:tcPr>
            <w:tcW w:type="dxa" w:w="1995"/>
          </w:tcPr>
          <w:p>
            <w:pPr>
              <w:spacing w:after="0" w:line="240" w:lineRule="auto"/>
              <w:ind w:firstLine="0"/>
              <w:jc w:val="center"/>
            </w:pPr>
            <w:r>
              <w:rPr>
                <w:b w:val="0"/>
                <w:i w:val="0"/>
                <w:sz w:val="20"/>
              </w:rPr>
              <w:t>&gt;1000</w:t>
            </w:r>
          </w:p>
        </w:tc>
      </w:tr>
      <w:tr>
        <w:tc>
          <w:tcPr>
            <w:tcW w:type="dxa" w:w="1995"/>
          </w:tcPr>
          <w:p>
            <w:pPr>
              <w:spacing w:after="0" w:line="240" w:lineRule="auto"/>
              <w:ind w:firstLine="0"/>
              <w:jc w:val="left"/>
            </w:pPr>
            <w:r>
              <w:rPr>
                <w:b w:val="0"/>
                <w:i w:val="0"/>
                <w:sz w:val="20"/>
              </w:rPr>
              <w:t>Австралия</w:t>
            </w:r>
          </w:p>
        </w:tc>
        <w:tc>
          <w:tcPr>
            <w:tcW w:type="dxa" w:w="1995"/>
          </w:tcPr>
          <w:p>
            <w:pPr>
              <w:spacing w:after="0" w:line="240" w:lineRule="auto"/>
              <w:ind w:firstLine="0"/>
              <w:jc w:val="center"/>
            </w:pPr>
            <w:r>
              <w:rPr>
                <w:b w:val="0"/>
                <w:i w:val="0"/>
                <w:sz w:val="20"/>
              </w:rPr>
              <w:t>5 700</w:t>
            </w:r>
          </w:p>
        </w:tc>
        <w:tc>
          <w:tcPr>
            <w:tcW w:type="dxa" w:w="1995"/>
          </w:tcPr>
          <w:p>
            <w:pPr>
              <w:spacing w:after="0" w:line="240" w:lineRule="auto"/>
              <w:ind w:firstLine="0"/>
              <w:jc w:val="center"/>
            </w:pPr>
            <w:r>
              <w:rPr>
                <w:b w:val="0"/>
                <w:i w:val="0"/>
                <w:sz w:val="20"/>
              </w:rPr>
              <w:t>6,3</w:t>
            </w:r>
          </w:p>
        </w:tc>
        <w:tc>
          <w:tcPr>
            <w:tcW w:type="dxa" w:w="1995"/>
          </w:tcPr>
          <w:p>
            <w:pPr>
              <w:spacing w:after="0" w:line="240" w:lineRule="auto"/>
              <w:ind w:firstLine="0"/>
              <w:jc w:val="center"/>
            </w:pPr>
            <w:r>
              <w:rPr>
                <w:b w:val="0"/>
                <w:i w:val="0"/>
                <w:sz w:val="20"/>
              </w:rPr>
              <w:t>13 000</w:t>
            </w:r>
          </w:p>
        </w:tc>
        <w:tc>
          <w:tcPr>
            <w:tcW w:type="dxa" w:w="1995"/>
          </w:tcPr>
          <w:p>
            <w:pPr>
              <w:spacing w:after="0" w:line="240" w:lineRule="auto"/>
              <w:ind w:firstLine="0"/>
              <w:jc w:val="center"/>
            </w:pPr>
            <w:r>
              <w:rPr>
                <w:b w:val="0"/>
                <w:i w:val="0"/>
                <w:sz w:val="20"/>
              </w:rPr>
              <w:t>438</w:t>
            </w:r>
          </w:p>
        </w:tc>
      </w:tr>
      <w:tr>
        <w:tc>
          <w:tcPr>
            <w:tcW w:type="dxa" w:w="1995"/>
          </w:tcPr>
          <w:p>
            <w:pPr>
              <w:spacing w:after="0" w:line="240" w:lineRule="auto"/>
              <w:ind w:firstLine="0"/>
              <w:jc w:val="left"/>
            </w:pPr>
            <w:r>
              <w:rPr>
                <w:b w:val="0"/>
                <w:i w:val="0"/>
                <w:sz w:val="20"/>
              </w:rPr>
              <w:t>Россия</w:t>
            </w:r>
          </w:p>
        </w:tc>
        <w:tc>
          <w:tcPr>
            <w:tcW w:type="dxa" w:w="1995"/>
          </w:tcPr>
          <w:p>
            <w:pPr>
              <w:spacing w:after="0" w:line="240" w:lineRule="auto"/>
              <w:ind w:firstLine="0"/>
              <w:jc w:val="center"/>
            </w:pPr>
            <w:r>
              <w:rPr>
                <w:b w:val="0"/>
                <w:i w:val="0"/>
                <w:sz w:val="20"/>
              </w:rPr>
              <w:t>3 800</w:t>
            </w:r>
          </w:p>
        </w:tc>
        <w:tc>
          <w:tcPr>
            <w:tcW w:type="dxa" w:w="1995"/>
          </w:tcPr>
          <w:p>
            <w:pPr>
              <w:spacing w:after="0" w:line="240" w:lineRule="auto"/>
              <w:ind w:firstLine="0"/>
              <w:jc w:val="center"/>
            </w:pPr>
            <w:r>
              <w:rPr>
                <w:b w:val="0"/>
                <w:i w:val="0"/>
                <w:sz w:val="20"/>
              </w:rPr>
              <w:t>4,2</w:t>
            </w:r>
          </w:p>
        </w:tc>
        <w:tc>
          <w:tcPr>
            <w:tcW w:type="dxa" w:w="1995"/>
          </w:tcPr>
          <w:p>
            <w:pPr>
              <w:spacing w:after="0" w:line="240" w:lineRule="auto"/>
              <w:ind w:firstLine="0"/>
              <w:jc w:val="center"/>
            </w:pPr>
            <w:r>
              <w:rPr>
                <w:b w:val="0"/>
                <w:i w:val="0"/>
                <w:sz w:val="20"/>
              </w:rPr>
              <w:t>2 500</w:t>
            </w:r>
          </w:p>
        </w:tc>
        <w:tc>
          <w:tcPr>
            <w:tcW w:type="dxa" w:w="1995"/>
          </w:tcPr>
          <w:p>
            <w:pPr>
              <w:spacing w:after="0" w:line="240" w:lineRule="auto"/>
              <w:ind w:firstLine="0"/>
              <w:jc w:val="center"/>
            </w:pPr>
            <w:r>
              <w:rPr>
                <w:b w:val="0"/>
                <w:i w:val="0"/>
                <w:sz w:val="20"/>
              </w:rPr>
              <w:t>&gt;1000</w:t>
            </w:r>
          </w:p>
        </w:tc>
      </w:tr>
      <w:tr>
        <w:tc>
          <w:tcPr>
            <w:tcW w:type="dxa" w:w="1995"/>
          </w:tcPr>
          <w:p>
            <w:pPr>
              <w:spacing w:after="0" w:line="240" w:lineRule="auto"/>
              <w:ind w:firstLine="0"/>
              <w:jc w:val="left"/>
            </w:pPr>
            <w:r>
              <w:rPr>
                <w:b w:val="0"/>
                <w:i w:val="0"/>
                <w:sz w:val="20"/>
              </w:rPr>
              <w:t>Вьетнам</w:t>
            </w:r>
          </w:p>
        </w:tc>
        <w:tc>
          <w:tcPr>
            <w:tcW w:type="dxa" w:w="1995"/>
          </w:tcPr>
          <w:p>
            <w:pPr>
              <w:spacing w:after="0" w:line="240" w:lineRule="auto"/>
              <w:ind w:firstLine="0"/>
              <w:jc w:val="center"/>
            </w:pPr>
            <w:r>
              <w:rPr>
                <w:b w:val="0"/>
                <w:i w:val="0"/>
                <w:sz w:val="20"/>
              </w:rPr>
              <w:t>3 500</w:t>
            </w:r>
          </w:p>
        </w:tc>
        <w:tc>
          <w:tcPr>
            <w:tcW w:type="dxa" w:w="1995"/>
          </w:tcPr>
          <w:p>
            <w:pPr>
              <w:spacing w:after="0" w:line="240" w:lineRule="auto"/>
              <w:ind w:firstLine="0"/>
              <w:jc w:val="center"/>
            </w:pPr>
            <w:r>
              <w:rPr>
                <w:b w:val="0"/>
                <w:i w:val="0"/>
                <w:sz w:val="20"/>
              </w:rPr>
              <w:t>3,9</w:t>
            </w:r>
          </w:p>
        </w:tc>
        <w:tc>
          <w:tcPr>
            <w:tcW w:type="dxa" w:w="1995"/>
          </w:tcPr>
          <w:p>
            <w:pPr>
              <w:spacing w:after="0" w:line="240" w:lineRule="auto"/>
              <w:ind w:firstLine="0"/>
              <w:jc w:val="center"/>
            </w:pPr>
            <w:r>
              <w:rPr>
                <w:b w:val="0"/>
                <w:i w:val="0"/>
                <w:sz w:val="20"/>
              </w:rPr>
              <w:t>300</w:t>
            </w:r>
          </w:p>
        </w:tc>
        <w:tc>
          <w:tcPr>
            <w:tcW w:type="dxa" w:w="1995"/>
          </w:tcPr>
          <w:p>
            <w:pPr>
              <w:spacing w:after="0" w:line="240" w:lineRule="auto"/>
              <w:ind w:firstLine="0"/>
              <w:jc w:val="center"/>
            </w:pPr>
            <w:r>
              <w:rPr>
                <w:b w:val="0"/>
                <w:i w:val="0"/>
                <w:sz w:val="20"/>
              </w:rPr>
              <w:t>&gt;1000</w:t>
            </w:r>
          </w:p>
        </w:tc>
      </w:tr>
      <w:tr>
        <w:tc>
          <w:tcPr>
            <w:tcW w:type="dxa" w:w="1995"/>
          </w:tcPr>
          <w:p>
            <w:pPr>
              <w:spacing w:after="0" w:line="240" w:lineRule="auto"/>
              <w:ind w:firstLine="0"/>
              <w:jc w:val="left"/>
            </w:pPr>
            <w:r>
              <w:rPr>
                <w:b w:val="0"/>
                <w:i w:val="0"/>
                <w:sz w:val="20"/>
              </w:rPr>
              <w:t>США</w:t>
            </w:r>
          </w:p>
        </w:tc>
        <w:tc>
          <w:tcPr>
            <w:tcW w:type="dxa" w:w="1995"/>
          </w:tcPr>
          <w:p>
            <w:pPr>
              <w:spacing w:after="0" w:line="240" w:lineRule="auto"/>
              <w:ind w:firstLine="0"/>
              <w:jc w:val="center"/>
            </w:pPr>
            <w:r>
              <w:rPr>
                <w:b w:val="0"/>
                <w:i w:val="0"/>
                <w:sz w:val="20"/>
              </w:rPr>
              <w:t>1 900</w:t>
            </w:r>
          </w:p>
        </w:tc>
        <w:tc>
          <w:tcPr>
            <w:tcW w:type="dxa" w:w="1995"/>
          </w:tcPr>
          <w:p>
            <w:pPr>
              <w:spacing w:after="0" w:line="240" w:lineRule="auto"/>
              <w:ind w:firstLine="0"/>
              <w:jc w:val="center"/>
            </w:pPr>
            <w:r>
              <w:rPr>
                <w:b w:val="0"/>
                <w:i w:val="0"/>
                <w:sz w:val="20"/>
              </w:rPr>
              <w:t>2,1</w:t>
            </w:r>
          </w:p>
        </w:tc>
        <w:tc>
          <w:tcPr>
            <w:tcW w:type="dxa" w:w="1995"/>
          </w:tcPr>
          <w:p>
            <w:pPr>
              <w:spacing w:after="0" w:line="240" w:lineRule="auto"/>
              <w:ind w:firstLine="0"/>
              <w:jc w:val="center"/>
            </w:pPr>
            <w:r>
              <w:rPr>
                <w:b w:val="0"/>
                <w:i w:val="0"/>
                <w:sz w:val="20"/>
              </w:rPr>
              <w:t>45 000</w:t>
            </w:r>
          </w:p>
        </w:tc>
        <w:tc>
          <w:tcPr>
            <w:tcW w:type="dxa" w:w="1995"/>
          </w:tcPr>
          <w:p>
            <w:pPr>
              <w:spacing w:after="0" w:line="240" w:lineRule="auto"/>
              <w:ind w:firstLine="0"/>
              <w:jc w:val="center"/>
            </w:pPr>
            <w:r>
              <w:rPr>
                <w:b w:val="0"/>
                <w:i w:val="0"/>
                <w:sz w:val="20"/>
              </w:rPr>
              <w:t>42</w:t>
            </w:r>
          </w:p>
        </w:tc>
      </w:tr>
      <w:tr>
        <w:tc>
          <w:tcPr>
            <w:tcW w:type="dxa" w:w="1995"/>
          </w:tcPr>
          <w:p>
            <w:pPr>
              <w:spacing w:after="0" w:line="240" w:lineRule="auto"/>
              <w:ind w:firstLine="0"/>
              <w:jc w:val="left"/>
            </w:pPr>
            <w:r>
              <w:rPr>
                <w:b w:val="0"/>
                <w:i w:val="0"/>
                <w:sz w:val="20"/>
              </w:rPr>
              <w:t>Гренландия (Дания)</w:t>
            </w:r>
          </w:p>
        </w:tc>
        <w:tc>
          <w:tcPr>
            <w:tcW w:type="dxa" w:w="1995"/>
          </w:tcPr>
          <w:p>
            <w:pPr>
              <w:spacing w:after="0" w:line="240" w:lineRule="auto"/>
              <w:ind w:firstLine="0"/>
              <w:jc w:val="center"/>
            </w:pPr>
            <w:r>
              <w:rPr>
                <w:b w:val="0"/>
                <w:i w:val="0"/>
                <w:sz w:val="20"/>
              </w:rPr>
              <w:t>1 500</w:t>
            </w:r>
          </w:p>
        </w:tc>
        <w:tc>
          <w:tcPr>
            <w:tcW w:type="dxa" w:w="1995"/>
          </w:tcPr>
          <w:p>
            <w:pPr>
              <w:spacing w:after="0" w:line="240" w:lineRule="auto"/>
              <w:ind w:firstLine="0"/>
              <w:jc w:val="center"/>
            </w:pPr>
            <w:r>
              <w:rPr>
                <w:b w:val="0"/>
                <w:i w:val="0"/>
                <w:sz w:val="20"/>
              </w:rPr>
              <w:t>1,7</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Танзания</w:t>
            </w:r>
          </w:p>
        </w:tc>
        <w:tc>
          <w:tcPr>
            <w:tcW w:type="dxa" w:w="1995"/>
          </w:tcPr>
          <w:p>
            <w:pPr>
              <w:spacing w:after="0" w:line="240" w:lineRule="auto"/>
              <w:ind w:firstLine="0"/>
              <w:jc w:val="center"/>
            </w:pPr>
            <w:r>
              <w:rPr>
                <w:b w:val="0"/>
                <w:i w:val="0"/>
                <w:sz w:val="20"/>
              </w:rPr>
              <w:t>890</w:t>
            </w:r>
          </w:p>
        </w:tc>
        <w:tc>
          <w:tcPr>
            <w:tcW w:type="dxa" w:w="1995"/>
          </w:tcPr>
          <w:p>
            <w:pPr>
              <w:spacing w:after="0" w:line="240" w:lineRule="auto"/>
              <w:ind w:firstLine="0"/>
              <w:jc w:val="center"/>
            </w:pPr>
            <w:r>
              <w:rPr>
                <w:b w:val="0"/>
                <w:i w:val="0"/>
                <w:sz w:val="20"/>
              </w:rPr>
              <w:t>1,0</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Канада</w:t>
            </w:r>
          </w:p>
        </w:tc>
        <w:tc>
          <w:tcPr>
            <w:tcW w:type="dxa" w:w="1995"/>
          </w:tcPr>
          <w:p>
            <w:pPr>
              <w:spacing w:after="0" w:line="240" w:lineRule="auto"/>
              <w:ind w:firstLine="0"/>
              <w:jc w:val="center"/>
            </w:pPr>
            <w:r>
              <w:rPr>
                <w:b w:val="0"/>
                <w:i w:val="0"/>
                <w:sz w:val="20"/>
              </w:rPr>
              <w:t>830</w:t>
            </w:r>
          </w:p>
        </w:tc>
        <w:tc>
          <w:tcPr>
            <w:tcW w:type="dxa" w:w="1995"/>
          </w:tcPr>
          <w:p>
            <w:pPr>
              <w:spacing w:after="0" w:line="240" w:lineRule="auto"/>
              <w:ind w:firstLine="0"/>
              <w:jc w:val="center"/>
            </w:pPr>
            <w:r>
              <w:rPr>
                <w:b w:val="0"/>
                <w:i w:val="0"/>
                <w:sz w:val="20"/>
              </w:rPr>
              <w:t>0,9</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ЮАР</w:t>
            </w:r>
          </w:p>
        </w:tc>
        <w:tc>
          <w:tcPr>
            <w:tcW w:type="dxa" w:w="1995"/>
          </w:tcPr>
          <w:p>
            <w:pPr>
              <w:spacing w:after="0" w:line="240" w:lineRule="auto"/>
              <w:ind w:firstLine="0"/>
              <w:jc w:val="center"/>
            </w:pPr>
            <w:r>
              <w:rPr>
                <w:b w:val="0"/>
                <w:i w:val="0"/>
                <w:sz w:val="20"/>
              </w:rPr>
              <w:t>790</w:t>
            </w:r>
          </w:p>
        </w:tc>
        <w:tc>
          <w:tcPr>
            <w:tcW w:type="dxa" w:w="1995"/>
          </w:tcPr>
          <w:p>
            <w:pPr>
              <w:spacing w:after="0" w:line="240" w:lineRule="auto"/>
              <w:ind w:firstLine="0"/>
              <w:jc w:val="center"/>
            </w:pPr>
            <w:r>
              <w:rPr>
                <w:b w:val="0"/>
                <w:i w:val="0"/>
                <w:sz w:val="20"/>
              </w:rPr>
              <w:t>0,9</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Прочие страны</w:t>
            </w:r>
          </w:p>
        </w:tc>
        <w:tc>
          <w:tcPr>
            <w:tcW w:type="dxa" w:w="1995"/>
          </w:tcPr>
          <w:p>
            <w:pPr>
              <w:spacing w:after="0" w:line="240" w:lineRule="auto"/>
              <w:ind w:firstLine="0"/>
              <w:jc w:val="center"/>
            </w:pPr>
            <w:r>
              <w:rPr>
                <w:b w:val="0"/>
                <w:i w:val="0"/>
                <w:sz w:val="20"/>
              </w:rPr>
              <w:t>310</w:t>
            </w:r>
          </w:p>
        </w:tc>
        <w:tc>
          <w:tcPr>
            <w:tcW w:type="dxa" w:w="1995"/>
          </w:tcPr>
          <w:p>
            <w:pPr>
              <w:spacing w:after="0" w:line="240" w:lineRule="auto"/>
              <w:ind w:firstLine="0"/>
              <w:jc w:val="center"/>
            </w:pPr>
            <w:r>
              <w:rPr>
                <w:b w:val="0"/>
                <w:i w:val="0"/>
                <w:sz w:val="20"/>
              </w:rPr>
              <w:t>0,3</w:t>
            </w:r>
          </w:p>
        </w:tc>
        <w:tc>
          <w:tcPr>
            <w:tcW w:type="dxa" w:w="1995"/>
          </w:tcPr>
          <w:p>
            <w:pPr>
              <w:spacing w:after="0" w:line="240" w:lineRule="auto"/>
              <w:ind w:firstLine="0"/>
              <w:jc w:val="center"/>
            </w:pPr>
            <w:r>
              <w:rPr>
                <w:b w:val="0"/>
                <w:i w:val="0"/>
                <w:sz w:val="20"/>
              </w:rPr>
              <w:t>50 000</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i w:val="0"/>
                <w:sz w:val="20"/>
              </w:rPr>
              <w:t>Мир, всего</w:t>
            </w:r>
          </w:p>
        </w:tc>
        <w:tc>
          <w:tcPr>
            <w:tcW w:type="dxa" w:w="1995"/>
          </w:tcPr>
          <w:p>
            <w:pPr>
              <w:spacing w:after="0" w:line="240" w:lineRule="auto"/>
              <w:ind w:firstLine="0"/>
              <w:jc w:val="center"/>
            </w:pPr>
            <w:r>
              <w:rPr>
                <w:b/>
                <w:i w:val="0"/>
                <w:sz w:val="20"/>
              </w:rPr>
              <w:t>90 000</w:t>
            </w:r>
          </w:p>
        </w:tc>
        <w:tc>
          <w:tcPr>
            <w:tcW w:type="dxa" w:w="1995"/>
          </w:tcPr>
          <w:p>
            <w:pPr>
              <w:spacing w:after="0" w:line="240" w:lineRule="auto"/>
              <w:ind w:firstLine="0"/>
              <w:jc w:val="center"/>
            </w:pPr>
            <w:r>
              <w:rPr>
                <w:b/>
                <w:i w:val="0"/>
                <w:sz w:val="20"/>
              </w:rPr>
              <w:t>100,0</w:t>
            </w:r>
          </w:p>
        </w:tc>
        <w:tc>
          <w:tcPr>
            <w:tcW w:type="dxa" w:w="1995"/>
          </w:tcPr>
          <w:p>
            <w:pPr>
              <w:spacing w:after="0" w:line="240" w:lineRule="auto"/>
              <w:ind w:firstLine="0"/>
              <w:jc w:val="center"/>
            </w:pPr>
            <w:r>
              <w:rPr>
                <w:b/>
                <w:i w:val="0"/>
                <w:sz w:val="20"/>
              </w:rPr>
              <w:t>390 000</w:t>
            </w:r>
          </w:p>
        </w:tc>
        <w:tc>
          <w:tcPr>
            <w:tcW w:type="dxa" w:w="1995"/>
          </w:tcPr>
          <w:p>
            <w:pPr>
              <w:spacing w:after="0" w:line="240" w:lineRule="auto"/>
              <w:ind w:firstLine="0"/>
              <w:jc w:val="center"/>
            </w:pPr>
            <w:r>
              <w:rPr>
                <w:b/>
                <w:i w:val="0"/>
                <w:sz w:val="20"/>
              </w:rPr>
              <w:t>231</w:t>
            </w:r>
          </w:p>
        </w:tc>
      </w:tr>
    </w:tbl>
    <w:p>
      <w:pPr>
        <w:spacing w:after="180"/>
        <w:ind w:firstLine="0"/>
      </w:pPr>
      <w:r>
        <w:rPr>
          <w:i/>
          <w:sz w:val="20"/>
        </w:rPr>
        <w:t>Источник: USGS Mineral Commodity Summaries (различные годы); Государственный баланс запасов полезных ископаемых РФ; данные приведены в сопоставимом виде с оговорками, изложенными в разделе 2.1</w:t>
      </w:r>
    </w:p>
    <w:p>
      <w:pPr>
        <w:keepNext/>
        <w:spacing w:before="160" w:after="60"/>
        <w:ind w:firstLine="0"/>
        <w:jc w:val="left"/>
      </w:pPr>
      <w:r>
        <w:rPr>
          <w:b/>
          <w:sz w:val="22"/>
        </w:rPr>
        <w:t>Рисунок 6. Структура мировых запасов редкоземельных металлов по странам, 2025 г., %</w:t>
      </w:r>
    </w:p>
    <w:p>
      <w:pPr>
        <w:ind w:firstLine="0"/>
        <w:jc w:val="center"/>
      </w:pPr>
      <w:r>
        <w:drawing>
          <wp:inline xmlns:a="http://schemas.openxmlformats.org/drawingml/2006/main" xmlns:pic="http://schemas.openxmlformats.org/drawingml/2006/picture">
            <wp:extent cx="5580000" cy="3600000"/>
            <wp:docPr id="6" name="Picture 6"/>
            <wp:cNvGraphicFramePr>
              <a:graphicFrameLocks noChangeAspect="1"/>
            </wp:cNvGraphicFramePr>
            <a:graphic>
              <a:graphicData uri="http://schemas.openxmlformats.org/drawingml/2006/picture">
                <pic:pic>
                  <pic:nvPicPr>
                    <pic:cNvPr id="0" name="fig6.png"/>
                    <pic:cNvPicPr/>
                  </pic:nvPicPr>
                  <pic:blipFill>
                    <a:blip r:embed="rId16"/>
                    <a:stretch>
                      <a:fillRect/>
                    </a:stretch>
                  </pic:blipFill>
                  <pic:spPr>
                    <a:xfrm>
                      <a:off x="0" y="0"/>
                      <a:ext cx="5580000" cy="3600000"/>
                    </a:xfrm>
                    <a:prstGeom prst="rect"/>
                  </pic:spPr>
                </pic:pic>
              </a:graphicData>
            </a:graphic>
          </wp:inline>
        </w:drawing>
      </w:r>
    </w:p>
    <w:p>
      <w:pPr>
        <w:spacing w:after="180"/>
        <w:ind w:firstLine="0"/>
      </w:pPr>
      <w:r>
        <w:rPr>
          <w:i/>
          <w:sz w:val="20"/>
        </w:rPr>
        <w:t>Источник: USGS Mineral Commodity Summaries</w:t>
      </w:r>
    </w:p>
    <w:p>
      <w:r>
        <w:rPr>
          <w:b w:val="0"/>
          <w:i w:val="0"/>
        </w:rPr>
        <w:t>Сопоставление колонок «запасы» и «добыча» в таблице 9 выявляет фундаментальную асимметрию отрасли. Бразилия, обладая почти четвертью мировых запасов, добывает менее 0,01% мирового объёма. Вьетнам с 3,9% запасов производит около 0,08%. Напротив, США при 2,1% запасов обеспечивают 11,5% добычи, а Мьянма, вовсе не фигурирующая в перечне стран с учтёнными запасами, даёт около 8% мирового производства. Запасы, таким образом, не являются предиктором производства; определяющими выступают наличие переработки, регуляторный режим и доступ к рынку сбыта.</w:t>
      </w:r>
    </w:p>
    <w:p>
      <w:pPr>
        <w:pStyle w:val="Heading2"/>
      </w:pPr>
      <w:r>
        <w:rPr>
          <w:b w:val="0"/>
          <w:i w:val="0"/>
        </w:rPr>
        <w:t>2.2. Промышленные типы месторождений</w:t>
      </w:r>
    </w:p>
    <w:p>
      <w:pPr>
        <w:pStyle w:val="Heading3"/>
      </w:pPr>
      <w:r>
        <w:rPr>
          <w:b w:val="0"/>
          <w:i w:val="0"/>
        </w:rPr>
        <w:t>2.2.1. Карбонатитовые месторождения</w:t>
      </w:r>
    </w:p>
    <w:p>
      <w:r>
        <w:rPr>
          <w:b w:val="0"/>
          <w:i w:val="0"/>
        </w:rPr>
        <w:t>Карбонатиты — магматические породы, состоящие более чем на 50% из карбонатных минералов, — являются источником около 70% мировой добычи редких земель. Редкоземельная минерализация представлена преимущественно бастнезитом, паризитом, синхизитом, монацитом.</w:t>
      </w:r>
    </w:p>
    <w:p>
      <w:r>
        <w:rPr>
          <w:b w:val="0"/>
          <w:i w:val="0"/>
        </w:rPr>
        <w:t>Ключевые характеристики типа: высокие содержания TREO (от 3 до 8–10%), крупные запасы, лёгкая корзина с преобладанием церия и лантана, наличие попутных компонентов (ниобий, железо, флюорит, барит, фосфор), относительно простое обогащение флотацией.</w:t>
      </w:r>
    </w:p>
    <w:p>
      <w:r>
        <w:rPr>
          <w:b w:val="0"/>
          <w:i w:val="0"/>
        </w:rPr>
        <w:t xml:space="preserve">Крупнейшие объекты: </w:t>
      </w:r>
      <w:r>
        <w:rPr>
          <w:b/>
          <w:i w:val="0"/>
        </w:rPr>
        <w:t>Bayan Obo</w:t>
      </w:r>
      <w:r>
        <w:rPr>
          <w:b w:val="0"/>
          <w:i w:val="0"/>
        </w:rPr>
        <w:t xml:space="preserve"> (Внутренняя Монголия, КНР) — уникальное железо-ниобий-редкоземельное месторождение, где редкие земли добываются попутно при разработке железных руд, что радикально снижает себестоимость; </w:t>
      </w:r>
      <w:r>
        <w:rPr>
          <w:b/>
          <w:i w:val="0"/>
        </w:rPr>
        <w:t>Mountain Pass</w:t>
      </w:r>
      <w:r>
        <w:rPr>
          <w:b w:val="0"/>
          <w:i w:val="0"/>
        </w:rPr>
        <w:t xml:space="preserve"> (Калифорния, США); </w:t>
      </w:r>
      <w:r>
        <w:rPr>
          <w:b/>
          <w:i w:val="0"/>
        </w:rPr>
        <w:t>Maoniuping</w:t>
      </w:r>
      <w:r>
        <w:rPr>
          <w:b w:val="0"/>
          <w:i w:val="0"/>
        </w:rPr>
        <w:t xml:space="preserve"> и </w:t>
      </w:r>
      <w:r>
        <w:rPr>
          <w:b/>
          <w:i w:val="0"/>
        </w:rPr>
        <w:t>Dalucao</w:t>
      </w:r>
      <w:r>
        <w:rPr>
          <w:b w:val="0"/>
          <w:i w:val="0"/>
        </w:rPr>
        <w:t xml:space="preserve"> (Сычуань, КНР); </w:t>
      </w:r>
      <w:r>
        <w:rPr>
          <w:b/>
          <w:i w:val="0"/>
        </w:rPr>
        <w:t>Mount Weld</w:t>
      </w:r>
      <w:r>
        <w:rPr>
          <w:b w:val="0"/>
          <w:i w:val="0"/>
        </w:rPr>
        <w:t xml:space="preserve"> (Западная Австралия); </w:t>
      </w:r>
      <w:r>
        <w:rPr>
          <w:b/>
          <w:i w:val="0"/>
        </w:rPr>
        <w:t>Araxá</w:t>
      </w:r>
      <w:r>
        <w:rPr>
          <w:b w:val="0"/>
          <w:i w:val="0"/>
        </w:rPr>
        <w:t xml:space="preserve"> и </w:t>
      </w:r>
      <w:r>
        <w:rPr>
          <w:b/>
          <w:i w:val="0"/>
        </w:rPr>
        <w:t>Catalão</w:t>
      </w:r>
      <w:r>
        <w:rPr>
          <w:b w:val="0"/>
          <w:i w:val="0"/>
        </w:rPr>
        <w:t xml:space="preserve"> (Бразилия); </w:t>
      </w:r>
      <w:r>
        <w:rPr>
          <w:b/>
          <w:i w:val="0"/>
        </w:rPr>
        <w:t>Palabora</w:t>
      </w:r>
      <w:r>
        <w:rPr>
          <w:b w:val="0"/>
          <w:i w:val="0"/>
        </w:rPr>
        <w:t xml:space="preserve"> (ЮАР); </w:t>
      </w:r>
      <w:r>
        <w:rPr>
          <w:b/>
          <w:i w:val="0"/>
        </w:rPr>
        <w:t>Ковдорское</w:t>
      </w:r>
      <w:r>
        <w:rPr>
          <w:b w:val="0"/>
          <w:i w:val="0"/>
        </w:rPr>
        <w:t xml:space="preserve"> и </w:t>
      </w:r>
      <w:r>
        <w:rPr>
          <w:b/>
          <w:i w:val="0"/>
        </w:rPr>
        <w:t>Белозиминское</w:t>
      </w:r>
      <w:r>
        <w:rPr>
          <w:b w:val="0"/>
          <w:i w:val="0"/>
        </w:rPr>
        <w:t xml:space="preserve"> (Россия).</w:t>
      </w:r>
    </w:p>
    <w:p>
      <w:pPr>
        <w:pStyle w:val="Heading3"/>
      </w:pPr>
      <w:r>
        <w:rPr>
          <w:b w:val="0"/>
          <w:i w:val="0"/>
        </w:rPr>
        <w:t>2.2.2. Месторождения щелочных комплексов</w:t>
      </w:r>
    </w:p>
    <w:p>
      <w:r>
        <w:rPr>
          <w:b w:val="0"/>
          <w:i w:val="0"/>
        </w:rPr>
        <w:t>Приурочены к массивам нефелиновых сиенитов и агпаитовых пород. Минерализация представлена лопаритом, эвдиалитом, стенструпином, апатитом. Содержания TREO, как правило, ниже (0,5–3%), корзина более сбалансирована, с повышенной долей средней и тяжёлой групп. Технологические трудности связаны со сложностью вскрытия силикатных и титанатных матриц.</w:t>
      </w:r>
    </w:p>
    <w:p>
      <w:r>
        <w:rPr>
          <w:b w:val="0"/>
          <w:i w:val="0"/>
        </w:rPr>
        <w:t xml:space="preserve">Ключевые объекты: </w:t>
      </w:r>
      <w:r>
        <w:rPr>
          <w:b/>
          <w:i w:val="0"/>
        </w:rPr>
        <w:t>Ловозёрское</w:t>
      </w:r>
      <w:r>
        <w:rPr>
          <w:b w:val="0"/>
          <w:i w:val="0"/>
        </w:rPr>
        <w:t xml:space="preserve"> (Россия, лопарит и эвдиалит), </w:t>
      </w:r>
      <w:r>
        <w:rPr>
          <w:b/>
          <w:i w:val="0"/>
        </w:rPr>
        <w:t>Хибинская группа</w:t>
      </w:r>
      <w:r>
        <w:rPr>
          <w:b w:val="0"/>
          <w:i w:val="0"/>
        </w:rPr>
        <w:t xml:space="preserve"> (Россия, апатит с попутными РЗМ), </w:t>
      </w:r>
      <w:r>
        <w:rPr>
          <w:b/>
          <w:i w:val="0"/>
        </w:rPr>
        <w:t>Илимауссак/Кванефьельд</w:t>
      </w:r>
      <w:r>
        <w:rPr>
          <w:b w:val="0"/>
          <w:i w:val="0"/>
        </w:rPr>
        <w:t xml:space="preserve"> и </w:t>
      </w:r>
      <w:r>
        <w:rPr>
          <w:b/>
          <w:i w:val="0"/>
        </w:rPr>
        <w:t>Кринглерне</w:t>
      </w:r>
      <w:r>
        <w:rPr>
          <w:b w:val="0"/>
          <w:i w:val="0"/>
        </w:rPr>
        <w:t xml:space="preserve"> (Гренландия), </w:t>
      </w:r>
      <w:r>
        <w:rPr>
          <w:b/>
          <w:i w:val="0"/>
        </w:rPr>
        <w:t>Норра-Чер</w:t>
      </w:r>
      <w:r>
        <w:rPr>
          <w:b w:val="0"/>
          <w:i w:val="0"/>
        </w:rPr>
        <w:t xml:space="preserve"> (Швеция), </w:t>
      </w:r>
      <w:r>
        <w:rPr>
          <w:b/>
          <w:i w:val="0"/>
        </w:rPr>
        <w:t>Пилансберг</w:t>
      </w:r>
      <w:r>
        <w:rPr>
          <w:b w:val="0"/>
          <w:i w:val="0"/>
        </w:rPr>
        <w:t xml:space="preserve"> (ЮАР), </w:t>
      </w:r>
      <w:r>
        <w:rPr>
          <w:b/>
          <w:i w:val="0"/>
        </w:rPr>
        <w:t>Катугинское</w:t>
      </w:r>
      <w:r>
        <w:rPr>
          <w:b w:val="0"/>
          <w:i w:val="0"/>
        </w:rPr>
        <w:t xml:space="preserve"> (Россия).</w:t>
      </w:r>
    </w:p>
    <w:p>
      <w:pPr>
        <w:pStyle w:val="Heading3"/>
      </w:pPr>
      <w:r>
        <w:rPr>
          <w:b w:val="0"/>
          <w:i w:val="0"/>
        </w:rPr>
        <w:t>2.2.3. Ионно-адсорбционные месторождения (коры выветривания гранитов)</w:t>
      </w:r>
    </w:p>
    <w:p>
      <w:r>
        <w:rPr>
          <w:b w:val="0"/>
          <w:i w:val="0"/>
        </w:rPr>
        <w:t>Формируются при химическом выветривании редкометалльных гранитов в условиях влажного субтропического климата. Редкоземельные ионы, высвобожденные из акцессорных минералов, адсорбируются на каолините и галлуазите в обменной форме.</w:t>
      </w:r>
    </w:p>
    <w:p>
      <w:r>
        <w:rPr>
          <w:b w:val="0"/>
          <w:i w:val="0"/>
        </w:rPr>
        <w:t>Уникальность типа определяется тремя факторами: обогащённостью тяжёлой группой (до 60–85% корзины приходится на иттрий и тяжёлые лантаноиды), крайней простотой извлечения (выщелачивание раствором сульфата аммония непосредственно в массиве либо в кучах, без дробления, обогащения и высокотемпературного вскрытия) и низким содержанием тория. Себестоимость производства TREO на таких объектах — наименьшая в мире.</w:t>
      </w:r>
    </w:p>
    <w:p>
      <w:r>
        <w:rPr>
          <w:b w:val="0"/>
          <w:i w:val="0"/>
        </w:rPr>
        <w:t>Оборотной стороной является тяжёлый экологический след: выщелачивание in-situ приводит к загрязнению грунтовых вод аммонийными соединениями, оползневым процессам и деградации почв. Именно экологические соображения стали основанием для последовательного ограничения этого вида добычи в КНР начиная с 2011 г. и переноса производства в Мьянму и Лаос.</w:t>
      </w:r>
    </w:p>
    <w:p>
      <w:r>
        <w:rPr>
          <w:b w:val="0"/>
          <w:i w:val="0"/>
        </w:rPr>
        <w:t xml:space="preserve">Ключевые районы: провинции </w:t>
      </w:r>
      <w:r>
        <w:rPr>
          <w:b/>
          <w:i w:val="0"/>
        </w:rPr>
        <w:t>Цзянси</w:t>
      </w:r>
      <w:r>
        <w:rPr>
          <w:b w:val="0"/>
          <w:i w:val="0"/>
        </w:rPr>
        <w:t xml:space="preserve"> (Ганьчжоу — «столица тяжёлых редких земель»), </w:t>
      </w:r>
      <w:r>
        <w:rPr>
          <w:b/>
          <w:i w:val="0"/>
        </w:rPr>
        <w:t>Гуандун</w:t>
      </w:r>
      <w:r>
        <w:rPr>
          <w:b w:val="0"/>
          <w:i w:val="0"/>
        </w:rPr>
        <w:t xml:space="preserve">, </w:t>
      </w:r>
      <w:r>
        <w:rPr>
          <w:b/>
          <w:i w:val="0"/>
        </w:rPr>
        <w:t>Фуцзянь</w:t>
      </w:r>
      <w:r>
        <w:rPr>
          <w:b w:val="0"/>
          <w:i w:val="0"/>
        </w:rPr>
        <w:t xml:space="preserve">, </w:t>
      </w:r>
      <w:r>
        <w:rPr>
          <w:b/>
          <w:i w:val="0"/>
        </w:rPr>
        <w:t>Хунань</w:t>
      </w:r>
      <w:r>
        <w:rPr>
          <w:b w:val="0"/>
          <w:i w:val="0"/>
        </w:rPr>
        <w:t xml:space="preserve">, </w:t>
      </w:r>
      <w:r>
        <w:rPr>
          <w:b/>
          <w:i w:val="0"/>
        </w:rPr>
        <w:t>Гуанси</w:t>
      </w:r>
      <w:r>
        <w:rPr>
          <w:b w:val="0"/>
          <w:i w:val="0"/>
        </w:rPr>
        <w:t xml:space="preserve"> (КНР); штат </w:t>
      </w:r>
      <w:r>
        <w:rPr>
          <w:b/>
          <w:i w:val="0"/>
        </w:rPr>
        <w:t>Качин</w:t>
      </w:r>
      <w:r>
        <w:rPr>
          <w:b w:val="0"/>
          <w:i w:val="0"/>
        </w:rPr>
        <w:t xml:space="preserve"> (Мьянма); провинции </w:t>
      </w:r>
      <w:r>
        <w:rPr>
          <w:b/>
          <w:i w:val="0"/>
        </w:rPr>
        <w:t>Луангнамтха</w:t>
      </w:r>
      <w:r>
        <w:rPr>
          <w:b w:val="0"/>
          <w:i w:val="0"/>
        </w:rPr>
        <w:t xml:space="preserve"> и </w:t>
      </w:r>
      <w:r>
        <w:rPr>
          <w:b/>
          <w:i w:val="0"/>
        </w:rPr>
        <w:t>Хуапхан</w:t>
      </w:r>
      <w:r>
        <w:rPr>
          <w:b w:val="0"/>
          <w:i w:val="0"/>
        </w:rPr>
        <w:t xml:space="preserve"> (Лаос); </w:t>
      </w:r>
      <w:r>
        <w:rPr>
          <w:b/>
          <w:i w:val="0"/>
        </w:rPr>
        <w:t>Амбохимирахавави</w:t>
      </w:r>
      <w:r>
        <w:rPr>
          <w:b w:val="0"/>
          <w:i w:val="0"/>
        </w:rPr>
        <w:t xml:space="preserve"> и другие объекты Мадагаскара.</w:t>
      </w:r>
    </w:p>
    <w:p>
      <w:pPr>
        <w:pStyle w:val="Heading3"/>
      </w:pPr>
      <w:r>
        <w:rPr>
          <w:b w:val="0"/>
          <w:i w:val="0"/>
        </w:rPr>
        <w:t>2.2.4. Россыпные месторождения</w:t>
      </w:r>
    </w:p>
    <w:p>
      <w:r>
        <w:rPr>
          <w:b w:val="0"/>
          <w:i w:val="0"/>
        </w:rPr>
        <w:t>Прибрежно-морские и аллювиальные россыпи тяжёлых минералов, в которых монацит и ксенотим сопутствуют ильмениту, рутилу и циркону. Редкие земли извлекаются попутно при производстве титан-циркониевых концентратов. Себестоимость крайне низка (затраты отнесены на основные продукты), однако наличие тория требует специального обращения.</w:t>
      </w:r>
    </w:p>
    <w:p>
      <w:r>
        <w:rPr>
          <w:b w:val="0"/>
          <w:i w:val="0"/>
        </w:rPr>
        <w:t xml:space="preserve">Ключевые районы: побережья </w:t>
      </w:r>
      <w:r>
        <w:rPr>
          <w:b/>
          <w:i w:val="0"/>
        </w:rPr>
        <w:t>Индии</w:t>
      </w:r>
      <w:r>
        <w:rPr>
          <w:b w:val="0"/>
          <w:i w:val="0"/>
        </w:rPr>
        <w:t xml:space="preserve"> (Керала, Тамилнад, Одиша), </w:t>
      </w:r>
      <w:r>
        <w:rPr>
          <w:b/>
          <w:i w:val="0"/>
        </w:rPr>
        <w:t>Бразилии</w:t>
      </w:r>
      <w:r>
        <w:rPr>
          <w:b w:val="0"/>
          <w:i w:val="0"/>
        </w:rPr>
        <w:t xml:space="preserve">, </w:t>
      </w:r>
      <w:r>
        <w:rPr>
          <w:b/>
          <w:i w:val="0"/>
        </w:rPr>
        <w:t>Австралии</w:t>
      </w:r>
      <w:r>
        <w:rPr>
          <w:b w:val="0"/>
          <w:i w:val="0"/>
        </w:rPr>
        <w:t xml:space="preserve"> (Эниба, Юклы), </w:t>
      </w:r>
      <w:r>
        <w:rPr>
          <w:b/>
          <w:i w:val="0"/>
        </w:rPr>
        <w:t>Малайзии</w:t>
      </w:r>
      <w:r>
        <w:rPr>
          <w:b w:val="0"/>
          <w:i w:val="0"/>
        </w:rPr>
        <w:t xml:space="preserve">, </w:t>
      </w:r>
      <w:r>
        <w:rPr>
          <w:b/>
          <w:i w:val="0"/>
        </w:rPr>
        <w:t>Мадагаскара</w:t>
      </w:r>
      <w:r>
        <w:rPr>
          <w:b w:val="0"/>
          <w:i w:val="0"/>
        </w:rPr>
        <w:t xml:space="preserve">, </w:t>
      </w:r>
      <w:r>
        <w:rPr>
          <w:b/>
          <w:i w:val="0"/>
        </w:rPr>
        <w:t>Шри-Ланки</w:t>
      </w:r>
      <w:r>
        <w:rPr>
          <w:b w:val="0"/>
          <w:i w:val="0"/>
        </w:rPr>
        <w:t xml:space="preserve">, </w:t>
      </w:r>
      <w:r>
        <w:rPr>
          <w:b/>
          <w:i w:val="0"/>
        </w:rPr>
        <w:t>Индонезии</w:t>
      </w:r>
      <w:r>
        <w:rPr>
          <w:b w:val="0"/>
          <w:i w:val="0"/>
        </w:rPr>
        <w:t xml:space="preserve">, </w:t>
      </w:r>
      <w:r>
        <w:rPr>
          <w:b/>
          <w:i w:val="0"/>
        </w:rPr>
        <w:t>Вьетнама</w:t>
      </w:r>
      <w:r>
        <w:rPr>
          <w:b w:val="0"/>
          <w:i w:val="0"/>
        </w:rPr>
        <w:t>.</w:t>
      </w:r>
    </w:p>
    <w:p>
      <w:pPr>
        <w:pStyle w:val="Heading3"/>
      </w:pPr>
      <w:r>
        <w:rPr>
          <w:b w:val="0"/>
          <w:i w:val="0"/>
        </w:rPr>
        <w:t>2.2.5. Вторичные и техногенные источники</w:t>
      </w:r>
    </w:p>
    <w:p>
      <w:r>
        <w:rPr>
          <w:b w:val="0"/>
          <w:i w:val="0"/>
        </w:rPr>
        <w:t>Направление, приобретающее растущее значение:</w:t>
      </w:r>
    </w:p>
    <w:p>
      <w:pPr>
        <w:pStyle w:val="ListBullet"/>
        <w:spacing w:after="20"/>
        <w:ind w:firstLine="0"/>
      </w:pPr>
      <w:r>
        <w:rPr>
          <w:b/>
          <w:i w:val="0"/>
        </w:rPr>
        <w:t>фосфогипс</w:t>
      </w:r>
      <w:r>
        <w:rPr>
          <w:b w:val="0"/>
          <w:i w:val="0"/>
        </w:rPr>
        <w:t xml:space="preserve"> — отход производства экстракционной фосфорной кислоты; содержит 0,3–0,6% TREO, накопленные объёмы в мире превышают 6 млрд т, в России — свыше 300 млн т;</w:t>
      </w:r>
    </w:p>
    <w:p>
      <w:pPr>
        <w:pStyle w:val="ListBullet"/>
        <w:spacing w:after="20"/>
        <w:ind w:firstLine="0"/>
      </w:pPr>
      <w:r>
        <w:rPr>
          <w:b/>
          <w:i w:val="0"/>
        </w:rPr>
        <w:t>красные шламы</w:t>
      </w:r>
      <w:r>
        <w:rPr>
          <w:b w:val="0"/>
          <w:i w:val="0"/>
        </w:rPr>
        <w:t xml:space="preserve"> глинозёмного производства — содержат скандий (60–150 г/т) и РЗМ;</w:t>
      </w:r>
    </w:p>
    <w:p>
      <w:pPr>
        <w:pStyle w:val="ListBullet"/>
        <w:spacing w:after="20"/>
        <w:ind w:firstLine="0"/>
      </w:pPr>
      <w:r>
        <w:rPr>
          <w:b/>
          <w:i w:val="0"/>
        </w:rPr>
        <w:t>хвостохранилища</w:t>
      </w:r>
      <w:r>
        <w:rPr>
          <w:b w:val="0"/>
          <w:i w:val="0"/>
        </w:rPr>
        <w:t xml:space="preserve"> и отвалы горнорудных производств;</w:t>
      </w:r>
    </w:p>
    <w:p>
      <w:pPr>
        <w:pStyle w:val="ListBullet"/>
        <w:spacing w:after="20"/>
        <w:ind w:firstLine="0"/>
      </w:pPr>
      <w:r>
        <w:rPr>
          <w:b/>
          <w:i w:val="0"/>
        </w:rPr>
        <w:t>отработанные постоянные магниты</w:t>
      </w:r>
      <w:r>
        <w:rPr>
          <w:b w:val="0"/>
          <w:i w:val="0"/>
        </w:rPr>
        <w:t xml:space="preserve"> и электронный лом (recycling) — потенциально наиболее ценный источник, поскольку содержит уже разделённые и восстановленные металлы дефицитной группы;</w:t>
      </w:r>
    </w:p>
    <w:p>
      <w:pPr>
        <w:pStyle w:val="ListBullet"/>
        <w:spacing w:after="20"/>
        <w:ind w:firstLine="0"/>
      </w:pPr>
      <w:r>
        <w:rPr>
          <w:b/>
          <w:i w:val="0"/>
        </w:rPr>
        <w:t>отработанные катализаторы</w:t>
      </w:r>
      <w:r>
        <w:rPr>
          <w:b w:val="0"/>
          <w:i w:val="0"/>
        </w:rPr>
        <w:t xml:space="preserve"> FCC (лантан, церий);</w:t>
      </w:r>
    </w:p>
    <w:p>
      <w:pPr>
        <w:pStyle w:val="ListBullet"/>
        <w:spacing w:after="20"/>
        <w:ind w:firstLine="0"/>
      </w:pPr>
      <w:r>
        <w:rPr>
          <w:b/>
          <w:i w:val="0"/>
        </w:rPr>
        <w:t>люминофорный лом</w:t>
      </w:r>
      <w:r>
        <w:rPr>
          <w:b w:val="0"/>
          <w:i w:val="0"/>
        </w:rPr>
        <w:t xml:space="preserve"> (иттрий, европий, тербий).</w:t>
      </w:r>
    </w:p>
    <w:p>
      <w:pPr>
        <w:keepNext/>
        <w:spacing w:before="160" w:after="60"/>
        <w:ind w:firstLine="0"/>
        <w:jc w:val="left"/>
      </w:pPr>
      <w:r>
        <w:rPr>
          <w:b/>
          <w:sz w:val="22"/>
        </w:rPr>
        <w:t>Таблица 10. Сравнительная характеристика промышленных типов месторождений РЗМ</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Тип</w:t>
            </w:r>
          </w:p>
        </w:tc>
        <w:tc>
          <w:tcPr>
            <w:tcW w:type="dxa" w:w="1662"/>
            <w:shd w:val="clear" w:fill="DCE6F1"/>
          </w:tcPr>
          <w:p>
            <w:pPr>
              <w:spacing w:after="0" w:line="240" w:lineRule="auto"/>
              <w:ind w:firstLine="0"/>
              <w:jc w:val="center"/>
            </w:pPr>
            <w:r>
              <w:rPr>
                <w:b/>
                <w:i w:val="0"/>
                <w:sz w:val="20"/>
              </w:rPr>
              <w:t>TREO, %</w:t>
            </w:r>
          </w:p>
        </w:tc>
        <w:tc>
          <w:tcPr>
            <w:tcW w:type="dxa" w:w="1662"/>
            <w:shd w:val="clear" w:fill="DCE6F1"/>
          </w:tcPr>
          <w:p>
            <w:pPr>
              <w:spacing w:after="0" w:line="240" w:lineRule="auto"/>
              <w:ind w:firstLine="0"/>
              <w:jc w:val="center"/>
            </w:pPr>
            <w:r>
              <w:rPr>
                <w:b/>
                <w:i w:val="0"/>
                <w:sz w:val="20"/>
              </w:rPr>
              <w:t>Доля тяжёлых, %</w:t>
            </w:r>
          </w:p>
        </w:tc>
        <w:tc>
          <w:tcPr>
            <w:tcW w:type="dxa" w:w="1662"/>
            <w:shd w:val="clear" w:fill="DCE6F1"/>
          </w:tcPr>
          <w:p>
            <w:pPr>
              <w:spacing w:after="0" w:line="240" w:lineRule="auto"/>
              <w:ind w:firstLine="0"/>
              <w:jc w:val="center"/>
            </w:pPr>
            <w:r>
              <w:rPr>
                <w:b/>
                <w:i w:val="0"/>
                <w:sz w:val="20"/>
              </w:rPr>
              <w:t>Себестоим., $/кг TREO</w:t>
            </w:r>
          </w:p>
        </w:tc>
        <w:tc>
          <w:tcPr>
            <w:tcW w:type="dxa" w:w="1662"/>
            <w:shd w:val="clear" w:fill="DCE6F1"/>
          </w:tcPr>
          <w:p>
            <w:pPr>
              <w:spacing w:after="0" w:line="240" w:lineRule="auto"/>
              <w:ind w:firstLine="0"/>
              <w:jc w:val="center"/>
            </w:pPr>
            <w:r>
              <w:rPr>
                <w:b/>
                <w:i w:val="0"/>
                <w:sz w:val="20"/>
              </w:rPr>
              <w:t>Доля в мир. добыче, %</w:t>
            </w:r>
          </w:p>
        </w:tc>
        <w:tc>
          <w:tcPr>
            <w:tcW w:type="dxa" w:w="1662"/>
            <w:shd w:val="clear" w:fill="DCE6F1"/>
          </w:tcPr>
          <w:p>
            <w:pPr>
              <w:spacing w:after="0" w:line="240" w:lineRule="auto"/>
              <w:ind w:firstLine="0"/>
              <w:jc w:val="center"/>
            </w:pPr>
            <w:r>
              <w:rPr>
                <w:b/>
                <w:i w:val="0"/>
                <w:sz w:val="20"/>
              </w:rPr>
              <w:t>Пример объекта</w:t>
            </w:r>
          </w:p>
        </w:tc>
      </w:tr>
      <w:tr>
        <w:tc>
          <w:tcPr>
            <w:tcW w:type="dxa" w:w="1662"/>
          </w:tcPr>
          <w:p>
            <w:pPr>
              <w:spacing w:after="0" w:line="240" w:lineRule="auto"/>
              <w:ind w:firstLine="0"/>
              <w:jc w:val="left"/>
            </w:pPr>
            <w:r>
              <w:rPr>
                <w:b w:val="0"/>
                <w:i w:val="0"/>
                <w:sz w:val="20"/>
              </w:rPr>
              <w:t>Карбонатитовый</w:t>
            </w:r>
          </w:p>
        </w:tc>
        <w:tc>
          <w:tcPr>
            <w:tcW w:type="dxa" w:w="1662"/>
          </w:tcPr>
          <w:p>
            <w:pPr>
              <w:spacing w:after="0" w:line="240" w:lineRule="auto"/>
              <w:ind w:firstLine="0"/>
              <w:jc w:val="center"/>
            </w:pPr>
            <w:r>
              <w:rPr>
                <w:b w:val="0"/>
                <w:i w:val="0"/>
                <w:sz w:val="20"/>
              </w:rPr>
              <w:t>3–10</w:t>
            </w:r>
          </w:p>
        </w:tc>
        <w:tc>
          <w:tcPr>
            <w:tcW w:type="dxa" w:w="1662"/>
          </w:tcPr>
          <w:p>
            <w:pPr>
              <w:spacing w:after="0" w:line="240" w:lineRule="auto"/>
              <w:ind w:firstLine="0"/>
              <w:jc w:val="center"/>
            </w:pPr>
            <w:r>
              <w:rPr>
                <w:b w:val="0"/>
                <w:i w:val="0"/>
                <w:sz w:val="20"/>
              </w:rPr>
              <w:t>0,3–2</w:t>
            </w:r>
          </w:p>
        </w:tc>
        <w:tc>
          <w:tcPr>
            <w:tcW w:type="dxa" w:w="1662"/>
          </w:tcPr>
          <w:p>
            <w:pPr>
              <w:spacing w:after="0" w:line="240" w:lineRule="auto"/>
              <w:ind w:firstLine="0"/>
              <w:jc w:val="center"/>
            </w:pPr>
            <w:r>
              <w:rPr>
                <w:b w:val="0"/>
                <w:i w:val="0"/>
                <w:sz w:val="20"/>
              </w:rPr>
              <w:t>4–9</w:t>
            </w:r>
          </w:p>
        </w:tc>
        <w:tc>
          <w:tcPr>
            <w:tcW w:type="dxa" w:w="1662"/>
          </w:tcPr>
          <w:p>
            <w:pPr>
              <w:spacing w:after="0" w:line="240" w:lineRule="auto"/>
              <w:ind w:firstLine="0"/>
              <w:jc w:val="center"/>
            </w:pPr>
            <w:r>
              <w:rPr>
                <w:b w:val="0"/>
                <w:i w:val="0"/>
                <w:sz w:val="20"/>
              </w:rPr>
              <w:t>~62</w:t>
            </w:r>
          </w:p>
        </w:tc>
        <w:tc>
          <w:tcPr>
            <w:tcW w:type="dxa" w:w="1662"/>
          </w:tcPr>
          <w:p>
            <w:pPr>
              <w:spacing w:after="0" w:line="240" w:lineRule="auto"/>
              <w:ind w:firstLine="0"/>
              <w:jc w:val="center"/>
            </w:pPr>
            <w:r>
              <w:rPr>
                <w:b w:val="0"/>
                <w:i w:val="0"/>
                <w:sz w:val="20"/>
              </w:rPr>
              <w:t>Bayan Obo, Mountain Pass</w:t>
            </w:r>
          </w:p>
        </w:tc>
      </w:tr>
      <w:tr>
        <w:tc>
          <w:tcPr>
            <w:tcW w:type="dxa" w:w="1662"/>
          </w:tcPr>
          <w:p>
            <w:pPr>
              <w:spacing w:after="0" w:line="240" w:lineRule="auto"/>
              <w:ind w:firstLine="0"/>
              <w:jc w:val="left"/>
            </w:pPr>
            <w:r>
              <w:rPr>
                <w:b w:val="0"/>
                <w:i w:val="0"/>
                <w:sz w:val="20"/>
              </w:rPr>
              <w:t>Ионно-адсорбционный</w:t>
            </w:r>
          </w:p>
        </w:tc>
        <w:tc>
          <w:tcPr>
            <w:tcW w:type="dxa" w:w="1662"/>
          </w:tcPr>
          <w:p>
            <w:pPr>
              <w:spacing w:after="0" w:line="240" w:lineRule="auto"/>
              <w:ind w:firstLine="0"/>
              <w:jc w:val="center"/>
            </w:pPr>
            <w:r>
              <w:rPr>
                <w:b w:val="0"/>
                <w:i w:val="0"/>
                <w:sz w:val="20"/>
              </w:rPr>
              <w:t>0,05–0,3</w:t>
            </w:r>
          </w:p>
        </w:tc>
        <w:tc>
          <w:tcPr>
            <w:tcW w:type="dxa" w:w="1662"/>
          </w:tcPr>
          <w:p>
            <w:pPr>
              <w:spacing w:after="0" w:line="240" w:lineRule="auto"/>
              <w:ind w:firstLine="0"/>
              <w:jc w:val="center"/>
            </w:pPr>
            <w:r>
              <w:rPr>
                <w:b w:val="0"/>
                <w:i w:val="0"/>
                <w:sz w:val="20"/>
              </w:rPr>
              <w:t>30–85</w:t>
            </w:r>
          </w:p>
        </w:tc>
        <w:tc>
          <w:tcPr>
            <w:tcW w:type="dxa" w:w="1662"/>
          </w:tcPr>
          <w:p>
            <w:pPr>
              <w:spacing w:after="0" w:line="240" w:lineRule="auto"/>
              <w:ind w:firstLine="0"/>
              <w:jc w:val="center"/>
            </w:pPr>
            <w:r>
              <w:rPr>
                <w:b w:val="0"/>
                <w:i w:val="0"/>
                <w:sz w:val="20"/>
              </w:rPr>
              <w:t>2–6</w:t>
            </w:r>
          </w:p>
        </w:tc>
        <w:tc>
          <w:tcPr>
            <w:tcW w:type="dxa" w:w="1662"/>
          </w:tcPr>
          <w:p>
            <w:pPr>
              <w:spacing w:after="0" w:line="240" w:lineRule="auto"/>
              <w:ind w:firstLine="0"/>
              <w:jc w:val="center"/>
            </w:pPr>
            <w:r>
              <w:rPr>
                <w:b w:val="0"/>
                <w:i w:val="0"/>
                <w:sz w:val="20"/>
              </w:rPr>
              <w:t>~19</w:t>
            </w:r>
          </w:p>
        </w:tc>
        <w:tc>
          <w:tcPr>
            <w:tcW w:type="dxa" w:w="1662"/>
          </w:tcPr>
          <w:p>
            <w:pPr>
              <w:spacing w:after="0" w:line="240" w:lineRule="auto"/>
              <w:ind w:firstLine="0"/>
              <w:jc w:val="center"/>
            </w:pPr>
            <w:r>
              <w:rPr>
                <w:b w:val="0"/>
                <w:i w:val="0"/>
                <w:sz w:val="20"/>
              </w:rPr>
              <w:t>Ганьчжоу, Качин</w:t>
            </w:r>
          </w:p>
        </w:tc>
      </w:tr>
      <w:tr>
        <w:tc>
          <w:tcPr>
            <w:tcW w:type="dxa" w:w="1662"/>
          </w:tcPr>
          <w:p>
            <w:pPr>
              <w:spacing w:after="0" w:line="240" w:lineRule="auto"/>
              <w:ind w:firstLine="0"/>
              <w:jc w:val="left"/>
            </w:pPr>
            <w:r>
              <w:rPr>
                <w:b w:val="0"/>
                <w:i w:val="0"/>
                <w:sz w:val="20"/>
              </w:rPr>
              <w:t>Россыпной (монацит/ксенотим)</w:t>
            </w:r>
          </w:p>
        </w:tc>
        <w:tc>
          <w:tcPr>
            <w:tcW w:type="dxa" w:w="1662"/>
          </w:tcPr>
          <w:p>
            <w:pPr>
              <w:spacing w:after="0" w:line="240" w:lineRule="auto"/>
              <w:ind w:firstLine="0"/>
              <w:jc w:val="center"/>
            </w:pPr>
            <w:r>
              <w:rPr>
                <w:b w:val="0"/>
                <w:i w:val="0"/>
                <w:sz w:val="20"/>
              </w:rPr>
              <w:t>0,1–2</w:t>
            </w:r>
          </w:p>
        </w:tc>
        <w:tc>
          <w:tcPr>
            <w:tcW w:type="dxa" w:w="1662"/>
          </w:tcPr>
          <w:p>
            <w:pPr>
              <w:spacing w:after="0" w:line="240" w:lineRule="auto"/>
              <w:ind w:firstLine="0"/>
              <w:jc w:val="center"/>
            </w:pPr>
            <w:r>
              <w:rPr>
                <w:b w:val="0"/>
                <w:i w:val="0"/>
                <w:sz w:val="20"/>
              </w:rPr>
              <w:t>3–8</w:t>
            </w:r>
          </w:p>
        </w:tc>
        <w:tc>
          <w:tcPr>
            <w:tcW w:type="dxa" w:w="1662"/>
          </w:tcPr>
          <w:p>
            <w:pPr>
              <w:spacing w:after="0" w:line="240" w:lineRule="auto"/>
              <w:ind w:firstLine="0"/>
              <w:jc w:val="center"/>
            </w:pPr>
            <w:r>
              <w:rPr>
                <w:b w:val="0"/>
                <w:i w:val="0"/>
                <w:sz w:val="20"/>
              </w:rPr>
              <w:t>3–10</w:t>
            </w:r>
          </w:p>
        </w:tc>
        <w:tc>
          <w:tcPr>
            <w:tcW w:type="dxa" w:w="1662"/>
          </w:tcPr>
          <w:p>
            <w:pPr>
              <w:spacing w:after="0" w:line="240" w:lineRule="auto"/>
              <w:ind w:firstLine="0"/>
              <w:jc w:val="center"/>
            </w:pPr>
            <w:r>
              <w:rPr>
                <w:b w:val="0"/>
                <w:i w:val="0"/>
                <w:sz w:val="20"/>
              </w:rPr>
              <w:t>~8</w:t>
            </w:r>
          </w:p>
        </w:tc>
        <w:tc>
          <w:tcPr>
            <w:tcW w:type="dxa" w:w="1662"/>
          </w:tcPr>
          <w:p>
            <w:pPr>
              <w:spacing w:after="0" w:line="240" w:lineRule="auto"/>
              <w:ind w:firstLine="0"/>
              <w:jc w:val="center"/>
            </w:pPr>
            <w:r>
              <w:rPr>
                <w:b w:val="0"/>
                <w:i w:val="0"/>
                <w:sz w:val="20"/>
              </w:rPr>
              <w:t>россыпи Индии</w:t>
            </w:r>
          </w:p>
        </w:tc>
      </w:tr>
      <w:tr>
        <w:tc>
          <w:tcPr>
            <w:tcW w:type="dxa" w:w="1662"/>
          </w:tcPr>
          <w:p>
            <w:pPr>
              <w:spacing w:after="0" w:line="240" w:lineRule="auto"/>
              <w:ind w:firstLine="0"/>
              <w:jc w:val="left"/>
            </w:pPr>
            <w:r>
              <w:rPr>
                <w:b w:val="0"/>
                <w:i w:val="0"/>
                <w:sz w:val="20"/>
              </w:rPr>
              <w:t>Щелочной (лопарит, эвдиалит)</w:t>
            </w:r>
          </w:p>
        </w:tc>
        <w:tc>
          <w:tcPr>
            <w:tcW w:type="dxa" w:w="1662"/>
          </w:tcPr>
          <w:p>
            <w:pPr>
              <w:spacing w:after="0" w:line="240" w:lineRule="auto"/>
              <w:ind w:firstLine="0"/>
              <w:jc w:val="center"/>
            </w:pPr>
            <w:r>
              <w:rPr>
                <w:b w:val="0"/>
                <w:i w:val="0"/>
                <w:sz w:val="20"/>
              </w:rPr>
              <w:t>0,5–3</w:t>
            </w:r>
          </w:p>
        </w:tc>
        <w:tc>
          <w:tcPr>
            <w:tcW w:type="dxa" w:w="1662"/>
          </w:tcPr>
          <w:p>
            <w:pPr>
              <w:spacing w:after="0" w:line="240" w:lineRule="auto"/>
              <w:ind w:firstLine="0"/>
              <w:jc w:val="center"/>
            </w:pPr>
            <w:r>
              <w:rPr>
                <w:b w:val="0"/>
                <w:i w:val="0"/>
                <w:sz w:val="20"/>
              </w:rPr>
              <w:t>2–20</w:t>
            </w:r>
          </w:p>
        </w:tc>
        <w:tc>
          <w:tcPr>
            <w:tcW w:type="dxa" w:w="1662"/>
          </w:tcPr>
          <w:p>
            <w:pPr>
              <w:spacing w:after="0" w:line="240" w:lineRule="auto"/>
              <w:ind w:firstLine="0"/>
              <w:jc w:val="center"/>
            </w:pPr>
            <w:r>
              <w:rPr>
                <w:b w:val="0"/>
                <w:i w:val="0"/>
                <w:sz w:val="20"/>
              </w:rPr>
              <w:t>12–28</w:t>
            </w:r>
          </w:p>
        </w:tc>
        <w:tc>
          <w:tcPr>
            <w:tcW w:type="dxa" w:w="1662"/>
          </w:tcPr>
          <w:p>
            <w:pPr>
              <w:spacing w:after="0" w:line="240" w:lineRule="auto"/>
              <w:ind w:firstLine="0"/>
              <w:jc w:val="center"/>
            </w:pPr>
            <w:r>
              <w:rPr>
                <w:b w:val="0"/>
                <w:i w:val="0"/>
                <w:sz w:val="20"/>
              </w:rPr>
              <w:t>~1</w:t>
            </w:r>
          </w:p>
        </w:tc>
        <w:tc>
          <w:tcPr>
            <w:tcW w:type="dxa" w:w="1662"/>
          </w:tcPr>
          <w:p>
            <w:pPr>
              <w:spacing w:after="0" w:line="240" w:lineRule="auto"/>
              <w:ind w:firstLine="0"/>
              <w:jc w:val="center"/>
            </w:pPr>
            <w:r>
              <w:rPr>
                <w:b w:val="0"/>
                <w:i w:val="0"/>
                <w:sz w:val="20"/>
              </w:rPr>
              <w:t>Ловозеро</w:t>
            </w:r>
          </w:p>
        </w:tc>
      </w:tr>
      <w:tr>
        <w:tc>
          <w:tcPr>
            <w:tcW w:type="dxa" w:w="1662"/>
          </w:tcPr>
          <w:p>
            <w:pPr>
              <w:spacing w:after="0" w:line="240" w:lineRule="auto"/>
              <w:ind w:firstLine="0"/>
              <w:jc w:val="left"/>
            </w:pPr>
            <w:r>
              <w:rPr>
                <w:b w:val="0"/>
                <w:i w:val="0"/>
                <w:sz w:val="20"/>
              </w:rPr>
              <w:t>Кора выветривания карбонатитов</w:t>
            </w:r>
          </w:p>
        </w:tc>
        <w:tc>
          <w:tcPr>
            <w:tcW w:type="dxa" w:w="1662"/>
          </w:tcPr>
          <w:p>
            <w:pPr>
              <w:spacing w:after="0" w:line="240" w:lineRule="auto"/>
              <w:ind w:firstLine="0"/>
              <w:jc w:val="center"/>
            </w:pPr>
            <w:r>
              <w:rPr>
                <w:b w:val="0"/>
                <w:i w:val="0"/>
                <w:sz w:val="20"/>
              </w:rPr>
              <w:t>5–12</w:t>
            </w:r>
          </w:p>
        </w:tc>
        <w:tc>
          <w:tcPr>
            <w:tcW w:type="dxa" w:w="1662"/>
          </w:tcPr>
          <w:p>
            <w:pPr>
              <w:spacing w:after="0" w:line="240" w:lineRule="auto"/>
              <w:ind w:firstLine="0"/>
              <w:jc w:val="center"/>
            </w:pPr>
            <w:r>
              <w:rPr>
                <w:b w:val="0"/>
                <w:i w:val="0"/>
                <w:sz w:val="20"/>
              </w:rPr>
              <w:t>10–20</w:t>
            </w:r>
          </w:p>
        </w:tc>
        <w:tc>
          <w:tcPr>
            <w:tcW w:type="dxa" w:w="1662"/>
          </w:tcPr>
          <w:p>
            <w:pPr>
              <w:spacing w:after="0" w:line="240" w:lineRule="auto"/>
              <w:ind w:firstLine="0"/>
              <w:jc w:val="center"/>
            </w:pPr>
            <w:r>
              <w:rPr>
                <w:b w:val="0"/>
                <w:i w:val="0"/>
                <w:sz w:val="20"/>
              </w:rPr>
              <w:t>6–14</w:t>
            </w:r>
          </w:p>
        </w:tc>
        <w:tc>
          <w:tcPr>
            <w:tcW w:type="dxa" w:w="1662"/>
          </w:tcPr>
          <w:p>
            <w:pPr>
              <w:spacing w:after="0" w:line="240" w:lineRule="auto"/>
              <w:ind w:firstLine="0"/>
              <w:jc w:val="center"/>
            </w:pPr>
            <w:r>
              <w:rPr>
                <w:b w:val="0"/>
                <w:i w:val="0"/>
                <w:sz w:val="20"/>
              </w:rPr>
              <w:t>&lt;1</w:t>
            </w:r>
          </w:p>
        </w:tc>
        <w:tc>
          <w:tcPr>
            <w:tcW w:type="dxa" w:w="1662"/>
          </w:tcPr>
          <w:p>
            <w:pPr>
              <w:spacing w:after="0" w:line="240" w:lineRule="auto"/>
              <w:ind w:firstLine="0"/>
              <w:jc w:val="center"/>
            </w:pPr>
            <w:r>
              <w:rPr>
                <w:b w:val="0"/>
                <w:i w:val="0"/>
                <w:sz w:val="20"/>
              </w:rPr>
              <w:t>Томтор, Чуктукон</w:t>
            </w:r>
          </w:p>
        </w:tc>
      </w:tr>
      <w:tr>
        <w:tc>
          <w:tcPr>
            <w:tcW w:type="dxa" w:w="1662"/>
          </w:tcPr>
          <w:p>
            <w:pPr>
              <w:spacing w:after="0" w:line="240" w:lineRule="auto"/>
              <w:ind w:firstLine="0"/>
              <w:jc w:val="left"/>
            </w:pPr>
            <w:r>
              <w:rPr>
                <w:b w:val="0"/>
                <w:i w:val="0"/>
                <w:sz w:val="20"/>
              </w:rPr>
              <w:t>Вторичные источники</w:t>
            </w:r>
          </w:p>
        </w:tc>
        <w:tc>
          <w:tcPr>
            <w:tcW w:type="dxa" w:w="1662"/>
          </w:tcPr>
          <w:p>
            <w:pPr>
              <w:spacing w:after="0" w:line="240" w:lineRule="auto"/>
              <w:ind w:firstLine="0"/>
              <w:jc w:val="center"/>
            </w:pPr>
            <w:r>
              <w:rPr>
                <w:b w:val="0"/>
                <w:i w:val="0"/>
                <w:sz w:val="20"/>
              </w:rPr>
              <w:t>0,03–0,6</w:t>
            </w:r>
          </w:p>
        </w:tc>
        <w:tc>
          <w:tcPr>
            <w:tcW w:type="dxa" w:w="1662"/>
          </w:tcPr>
          <w:p>
            <w:pPr>
              <w:spacing w:after="0" w:line="240" w:lineRule="auto"/>
              <w:ind w:firstLine="0"/>
              <w:jc w:val="center"/>
            </w:pPr>
            <w:r>
              <w:rPr>
                <w:b w:val="0"/>
                <w:i w:val="0"/>
                <w:sz w:val="20"/>
              </w:rPr>
              <w:t>5–15</w:t>
            </w:r>
          </w:p>
        </w:tc>
        <w:tc>
          <w:tcPr>
            <w:tcW w:type="dxa" w:w="1662"/>
          </w:tcPr>
          <w:p>
            <w:pPr>
              <w:spacing w:after="0" w:line="240" w:lineRule="auto"/>
              <w:ind w:firstLine="0"/>
              <w:jc w:val="center"/>
            </w:pPr>
            <w:r>
              <w:rPr>
                <w:b w:val="0"/>
                <w:i w:val="0"/>
                <w:sz w:val="20"/>
              </w:rPr>
              <w:t>10–35</w:t>
            </w:r>
          </w:p>
        </w:tc>
        <w:tc>
          <w:tcPr>
            <w:tcW w:type="dxa" w:w="1662"/>
          </w:tcPr>
          <w:p>
            <w:pPr>
              <w:spacing w:after="0" w:line="240" w:lineRule="auto"/>
              <w:ind w:firstLine="0"/>
              <w:jc w:val="center"/>
            </w:pPr>
            <w:r>
              <w:rPr>
                <w:b w:val="0"/>
                <w:i w:val="0"/>
                <w:sz w:val="20"/>
              </w:rPr>
              <w:t>~2</w:t>
            </w:r>
          </w:p>
        </w:tc>
        <w:tc>
          <w:tcPr>
            <w:tcW w:type="dxa" w:w="1662"/>
          </w:tcPr>
          <w:p>
            <w:pPr>
              <w:spacing w:after="0" w:line="240" w:lineRule="auto"/>
              <w:ind w:firstLine="0"/>
              <w:jc w:val="center"/>
            </w:pPr>
            <w:r>
              <w:rPr>
                <w:b w:val="0"/>
                <w:i w:val="0"/>
                <w:sz w:val="20"/>
              </w:rPr>
              <w:t>фосфогипс, магнитный лом</w:t>
            </w:r>
          </w:p>
        </w:tc>
      </w:tr>
    </w:tbl>
    <w:p>
      <w:pPr>
        <w:spacing w:after="180"/>
        <w:ind w:firstLine="0"/>
      </w:pPr>
      <w:r>
        <w:rPr>
          <w:i/>
          <w:sz w:val="20"/>
        </w:rPr>
        <w:t>Источник: аналитический центр</w:t>
      </w:r>
    </w:p>
    <w:p>
      <w:pPr>
        <w:keepNext/>
        <w:spacing w:before="160" w:after="60"/>
        <w:ind w:firstLine="0"/>
        <w:jc w:val="left"/>
      </w:pPr>
      <w:r>
        <w:rPr>
          <w:b/>
          <w:sz w:val="22"/>
        </w:rPr>
        <w:t>Рисунок 7. Ориентировочная себестоимость производства TREO по типам сырья, $/кг (нижняя и верхняя оценка)</w:t>
      </w:r>
    </w:p>
    <w:p>
      <w:pPr>
        <w:ind w:firstLine="0"/>
        <w:jc w:val="center"/>
      </w:pPr>
      <w:r>
        <w:drawing>
          <wp:inline xmlns:a="http://schemas.openxmlformats.org/drawingml/2006/main" xmlns:pic="http://schemas.openxmlformats.org/drawingml/2006/picture">
            <wp:extent cx="5580000" cy="2395475"/>
            <wp:docPr id="7" name="Picture 7"/>
            <wp:cNvGraphicFramePr>
              <a:graphicFrameLocks noChangeAspect="1"/>
            </wp:cNvGraphicFramePr>
            <a:graphic>
              <a:graphicData uri="http://schemas.openxmlformats.org/drawingml/2006/picture">
                <pic:pic>
                  <pic:nvPicPr>
                    <pic:cNvPr id="0" name="fig7.png"/>
                    <pic:cNvPicPr/>
                  </pic:nvPicPr>
                  <pic:blipFill>
                    <a:blip r:embed="rId17"/>
                    <a:stretch>
                      <a:fillRect/>
                    </a:stretch>
                  </pic:blipFill>
                  <pic:spPr>
                    <a:xfrm>
                      <a:off x="0" y="0"/>
                      <a:ext cx="5580000" cy="2395475"/>
                    </a:xfrm>
                    <a:prstGeom prst="rect"/>
                  </pic:spPr>
                </pic:pic>
              </a:graphicData>
            </a:graphic>
          </wp:inline>
        </w:drawing>
      </w:r>
    </w:p>
    <w:p>
      <w:pPr>
        <w:spacing w:after="180"/>
        <w:ind w:firstLine="0"/>
      </w:pPr>
      <w:r>
        <w:rPr>
          <w:i/>
          <w:sz w:val="20"/>
        </w:rPr>
        <w:t>Источник: аналитический центр по данным корпоративных раскрытий и отраслевых публикаций</w:t>
      </w:r>
    </w:p>
    <w:p>
      <w:pPr>
        <w:pStyle w:val="Heading2"/>
      </w:pPr>
      <w:r>
        <w:rPr>
          <w:b w:val="0"/>
          <w:i w:val="0"/>
        </w:rPr>
        <w:t>2.3. Сырьевая база Китайской Народной Республики</w:t>
      </w:r>
    </w:p>
    <w:p>
      <w:r>
        <w:rPr>
          <w:b w:val="0"/>
          <w:i w:val="0"/>
        </w:rPr>
        <w:t>КНР располагает наиболее диверсифицированной сырьевой базой, сочетающей крупнейшее в мире месторождение лёгких земель и практически монопольный ресурс тяжёлой группы.</w:t>
      </w:r>
    </w:p>
    <w:p>
      <w:r>
        <w:rPr>
          <w:b/>
          <w:i w:val="0"/>
        </w:rPr>
        <w:t>Bayan Obo</w:t>
      </w:r>
      <w:r>
        <w:rPr>
          <w:b w:val="0"/>
          <w:i w:val="0"/>
        </w:rPr>
        <w:t xml:space="preserve"> (Баян-Обо, Внутренняя Монголия) — крупнейший в мире редкоземельный объект. Запасы оцениваются в 40–48 млн т TREO при среднем содержании около 5–6% REO; месторождение одновременно содержит около 1,5 млрд т железной руды и крупнейшие в мире запасы ниобия. Разработка ведётся Baogang Group (Baotou Iron &amp; Steel) с 1957 г. как железорудная; редкоземельные минералы (бастнезит и монацит) извлекаются из хвостов обогащения магнетитовой руды. Эта схема обеспечивает уникально низкую себестоимость, поскольку затраты на добычу и первичное дробление отнесены на железорудный передел. Накопленное хвостохранилище Baotou содержит, по оценкам, свыше 100 млн т материала с содержанием 7–8% REO и само по себе представляет один из крупнейших редкоземельных объектов мира.</w:t>
      </w:r>
    </w:p>
    <w:p>
      <w:r>
        <w:rPr>
          <w:b/>
          <w:i w:val="0"/>
        </w:rPr>
        <w:t>Месторождения провинции Сычуань</w:t>
      </w:r>
      <w:r>
        <w:rPr>
          <w:b w:val="0"/>
          <w:i w:val="0"/>
        </w:rPr>
        <w:t xml:space="preserve"> (Maoniuping, Dalucao, Muluozhai) — карбонатитовые бастнезитовые объекты с содержанием 2–5% REO. Совокупные запасы порядка 3–5 млн т TREO. Разрабатываются главным образом структурами China Rare Earth Group и Shenghe Resources.</w:t>
      </w:r>
    </w:p>
    <w:p>
      <w:r>
        <w:rPr>
          <w:b/>
          <w:i w:val="0"/>
        </w:rPr>
        <w:t>Ионно-адсорбционные месторождения Южного Китая</w:t>
      </w:r>
      <w:r>
        <w:rPr>
          <w:b w:val="0"/>
          <w:i w:val="0"/>
        </w:rPr>
        <w:t xml:space="preserve"> — семь провинций (Цзянси, Гуандун, Фуцзянь, Хунань, Гуанси, Юньнань, Гуйчжоу). Учтённые запасы невелики в абсолютном выражении (по разным оценкам 1,5–3 млн т TREO), однако их значение определяется составом: до 2010-х гг. эти объекты обеспечивали свыше 95% мирового производства диспрозия, тербия и иттрия. Интенсивная нелегальная добыча в 2005–2015 гг. привела к истощению наиболее богатых участков и тяжёлому экологическому ущербу, оцениваемому властями КНР в десятки миллиардов юаней.</w:t>
      </w:r>
    </w:p>
    <w:p>
      <w:pPr>
        <w:keepNext/>
        <w:spacing w:before="160" w:after="60"/>
        <w:ind w:firstLine="0"/>
        <w:jc w:val="left"/>
      </w:pPr>
      <w:r>
        <w:rPr>
          <w:b/>
          <w:sz w:val="22"/>
        </w:rPr>
        <w:t>Таблица 11. Основные редкоземельные месторождения КНР</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Месторождение</w:t>
            </w:r>
          </w:p>
        </w:tc>
        <w:tc>
          <w:tcPr>
            <w:tcW w:type="dxa" w:w="1662"/>
            <w:shd w:val="clear" w:fill="DCE6F1"/>
          </w:tcPr>
          <w:p>
            <w:pPr>
              <w:spacing w:after="0" w:line="240" w:lineRule="auto"/>
              <w:ind w:firstLine="0"/>
              <w:jc w:val="center"/>
            </w:pPr>
            <w:r>
              <w:rPr>
                <w:b/>
                <w:i w:val="0"/>
                <w:sz w:val="20"/>
              </w:rPr>
              <w:t>Регион</w:t>
            </w:r>
          </w:p>
        </w:tc>
        <w:tc>
          <w:tcPr>
            <w:tcW w:type="dxa" w:w="1662"/>
            <w:shd w:val="clear" w:fill="DCE6F1"/>
          </w:tcPr>
          <w:p>
            <w:pPr>
              <w:spacing w:after="0" w:line="240" w:lineRule="auto"/>
              <w:ind w:firstLine="0"/>
              <w:jc w:val="center"/>
            </w:pPr>
            <w:r>
              <w:rPr>
                <w:b/>
                <w:i w:val="0"/>
                <w:sz w:val="20"/>
              </w:rPr>
              <w:t>Тип</w:t>
            </w:r>
          </w:p>
        </w:tc>
        <w:tc>
          <w:tcPr>
            <w:tcW w:type="dxa" w:w="1662"/>
            <w:shd w:val="clear" w:fill="DCE6F1"/>
          </w:tcPr>
          <w:p>
            <w:pPr>
              <w:spacing w:after="0" w:line="240" w:lineRule="auto"/>
              <w:ind w:firstLine="0"/>
              <w:jc w:val="center"/>
            </w:pPr>
            <w:r>
              <w:rPr>
                <w:b/>
                <w:i w:val="0"/>
                <w:sz w:val="20"/>
              </w:rPr>
              <w:t>TREO, %</w:t>
            </w:r>
          </w:p>
        </w:tc>
        <w:tc>
          <w:tcPr>
            <w:tcW w:type="dxa" w:w="1662"/>
            <w:shd w:val="clear" w:fill="DCE6F1"/>
          </w:tcPr>
          <w:p>
            <w:pPr>
              <w:spacing w:after="0" w:line="240" w:lineRule="auto"/>
              <w:ind w:firstLine="0"/>
              <w:jc w:val="center"/>
            </w:pPr>
            <w:r>
              <w:rPr>
                <w:b/>
                <w:i w:val="0"/>
                <w:sz w:val="20"/>
              </w:rPr>
              <w:t>Запасы, тыс. т TREO</w:t>
            </w:r>
          </w:p>
        </w:tc>
        <w:tc>
          <w:tcPr>
            <w:tcW w:type="dxa" w:w="1662"/>
            <w:shd w:val="clear" w:fill="DCE6F1"/>
          </w:tcPr>
          <w:p>
            <w:pPr>
              <w:spacing w:after="0" w:line="240" w:lineRule="auto"/>
              <w:ind w:firstLine="0"/>
              <w:jc w:val="center"/>
            </w:pPr>
            <w:r>
              <w:rPr>
                <w:b/>
                <w:i w:val="0"/>
                <w:sz w:val="20"/>
              </w:rPr>
              <w:t>Оператор</w:t>
            </w:r>
          </w:p>
        </w:tc>
      </w:tr>
      <w:tr>
        <w:tc>
          <w:tcPr>
            <w:tcW w:type="dxa" w:w="1662"/>
          </w:tcPr>
          <w:p>
            <w:pPr>
              <w:spacing w:after="0" w:line="240" w:lineRule="auto"/>
              <w:ind w:firstLine="0"/>
              <w:jc w:val="left"/>
            </w:pPr>
            <w:r>
              <w:rPr>
                <w:b w:val="0"/>
                <w:i w:val="0"/>
                <w:sz w:val="20"/>
              </w:rPr>
              <w:t>Bayan Obo</w:t>
            </w:r>
          </w:p>
        </w:tc>
        <w:tc>
          <w:tcPr>
            <w:tcW w:type="dxa" w:w="1662"/>
          </w:tcPr>
          <w:p>
            <w:pPr>
              <w:spacing w:after="0" w:line="240" w:lineRule="auto"/>
              <w:ind w:firstLine="0"/>
              <w:jc w:val="center"/>
            </w:pPr>
            <w:r>
              <w:rPr>
                <w:b w:val="0"/>
                <w:i w:val="0"/>
                <w:sz w:val="20"/>
              </w:rPr>
              <w:t>Внутренняя Монголия</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5–6</w:t>
            </w:r>
          </w:p>
        </w:tc>
        <w:tc>
          <w:tcPr>
            <w:tcW w:type="dxa" w:w="1662"/>
          </w:tcPr>
          <w:p>
            <w:pPr>
              <w:spacing w:after="0" w:line="240" w:lineRule="auto"/>
              <w:ind w:firstLine="0"/>
              <w:jc w:val="center"/>
            </w:pPr>
            <w:r>
              <w:rPr>
                <w:b w:val="0"/>
                <w:i w:val="0"/>
                <w:sz w:val="20"/>
              </w:rPr>
              <w:t>40 000–48 000</w:t>
            </w:r>
          </w:p>
        </w:tc>
        <w:tc>
          <w:tcPr>
            <w:tcW w:type="dxa" w:w="1662"/>
          </w:tcPr>
          <w:p>
            <w:pPr>
              <w:spacing w:after="0" w:line="240" w:lineRule="auto"/>
              <w:ind w:firstLine="0"/>
              <w:jc w:val="center"/>
            </w:pPr>
            <w:r>
              <w:rPr>
                <w:b w:val="0"/>
                <w:i w:val="0"/>
                <w:sz w:val="20"/>
              </w:rPr>
              <w:t>Baogang / Northern RE</w:t>
            </w:r>
          </w:p>
        </w:tc>
      </w:tr>
      <w:tr>
        <w:tc>
          <w:tcPr>
            <w:tcW w:type="dxa" w:w="1662"/>
          </w:tcPr>
          <w:p>
            <w:pPr>
              <w:spacing w:after="0" w:line="240" w:lineRule="auto"/>
              <w:ind w:firstLine="0"/>
              <w:jc w:val="left"/>
            </w:pPr>
            <w:r>
              <w:rPr>
                <w:b w:val="0"/>
                <w:i w:val="0"/>
                <w:sz w:val="20"/>
              </w:rPr>
              <w:t>Maoniuping</w:t>
            </w:r>
          </w:p>
        </w:tc>
        <w:tc>
          <w:tcPr>
            <w:tcW w:type="dxa" w:w="1662"/>
          </w:tcPr>
          <w:p>
            <w:pPr>
              <w:spacing w:after="0" w:line="240" w:lineRule="auto"/>
              <w:ind w:firstLine="0"/>
              <w:jc w:val="center"/>
            </w:pPr>
            <w:r>
              <w:rPr>
                <w:b w:val="0"/>
                <w:i w:val="0"/>
                <w:sz w:val="20"/>
              </w:rPr>
              <w:t>Сычуань</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2,9</w:t>
            </w:r>
          </w:p>
        </w:tc>
        <w:tc>
          <w:tcPr>
            <w:tcW w:type="dxa" w:w="1662"/>
          </w:tcPr>
          <w:p>
            <w:pPr>
              <w:spacing w:after="0" w:line="240" w:lineRule="auto"/>
              <w:ind w:firstLine="0"/>
              <w:jc w:val="center"/>
            </w:pPr>
            <w:r>
              <w:rPr>
                <w:b w:val="0"/>
                <w:i w:val="0"/>
                <w:sz w:val="20"/>
              </w:rPr>
              <w:t>1 200–1 500</w:t>
            </w:r>
          </w:p>
        </w:tc>
        <w:tc>
          <w:tcPr>
            <w:tcW w:type="dxa" w:w="1662"/>
          </w:tcPr>
          <w:p>
            <w:pPr>
              <w:spacing w:after="0" w:line="240" w:lineRule="auto"/>
              <w:ind w:firstLine="0"/>
              <w:jc w:val="center"/>
            </w:pPr>
            <w:r>
              <w:rPr>
                <w:b w:val="0"/>
                <w:i w:val="0"/>
                <w:sz w:val="20"/>
              </w:rPr>
              <w:t>China RE Group / Shenghe</w:t>
            </w:r>
          </w:p>
        </w:tc>
      </w:tr>
      <w:tr>
        <w:tc>
          <w:tcPr>
            <w:tcW w:type="dxa" w:w="1662"/>
          </w:tcPr>
          <w:p>
            <w:pPr>
              <w:spacing w:after="0" w:line="240" w:lineRule="auto"/>
              <w:ind w:firstLine="0"/>
              <w:jc w:val="left"/>
            </w:pPr>
            <w:r>
              <w:rPr>
                <w:b w:val="0"/>
                <w:i w:val="0"/>
                <w:sz w:val="20"/>
              </w:rPr>
              <w:t>Dalucao</w:t>
            </w:r>
          </w:p>
        </w:tc>
        <w:tc>
          <w:tcPr>
            <w:tcW w:type="dxa" w:w="1662"/>
          </w:tcPr>
          <w:p>
            <w:pPr>
              <w:spacing w:after="0" w:line="240" w:lineRule="auto"/>
              <w:ind w:firstLine="0"/>
              <w:jc w:val="center"/>
            </w:pPr>
            <w:r>
              <w:rPr>
                <w:b w:val="0"/>
                <w:i w:val="0"/>
                <w:sz w:val="20"/>
              </w:rPr>
              <w:t>Сычуань</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3,5</w:t>
            </w:r>
          </w:p>
        </w:tc>
        <w:tc>
          <w:tcPr>
            <w:tcW w:type="dxa" w:w="1662"/>
          </w:tcPr>
          <w:p>
            <w:pPr>
              <w:spacing w:after="0" w:line="240" w:lineRule="auto"/>
              <w:ind w:firstLine="0"/>
              <w:jc w:val="center"/>
            </w:pPr>
            <w:r>
              <w:rPr>
                <w:b w:val="0"/>
                <w:i w:val="0"/>
                <w:sz w:val="20"/>
              </w:rPr>
              <w:t>300–500</w:t>
            </w:r>
          </w:p>
        </w:tc>
        <w:tc>
          <w:tcPr>
            <w:tcW w:type="dxa" w:w="1662"/>
          </w:tcPr>
          <w:p>
            <w:pPr>
              <w:spacing w:after="0" w:line="240" w:lineRule="auto"/>
              <w:ind w:firstLine="0"/>
              <w:jc w:val="center"/>
            </w:pPr>
            <w:r>
              <w:rPr>
                <w:b w:val="0"/>
                <w:i w:val="0"/>
                <w:sz w:val="20"/>
              </w:rPr>
              <w:t>China RE Group</w:t>
            </w:r>
          </w:p>
        </w:tc>
      </w:tr>
      <w:tr>
        <w:tc>
          <w:tcPr>
            <w:tcW w:type="dxa" w:w="1662"/>
          </w:tcPr>
          <w:p>
            <w:pPr>
              <w:spacing w:after="0" w:line="240" w:lineRule="auto"/>
              <w:ind w:firstLine="0"/>
              <w:jc w:val="left"/>
            </w:pPr>
            <w:r>
              <w:rPr>
                <w:b w:val="0"/>
                <w:i w:val="0"/>
                <w:sz w:val="20"/>
              </w:rPr>
              <w:t>Weishan</w:t>
            </w:r>
          </w:p>
        </w:tc>
        <w:tc>
          <w:tcPr>
            <w:tcW w:type="dxa" w:w="1662"/>
          </w:tcPr>
          <w:p>
            <w:pPr>
              <w:spacing w:after="0" w:line="240" w:lineRule="auto"/>
              <w:ind w:firstLine="0"/>
              <w:jc w:val="center"/>
            </w:pPr>
            <w:r>
              <w:rPr>
                <w:b w:val="0"/>
                <w:i w:val="0"/>
                <w:sz w:val="20"/>
              </w:rPr>
              <w:t>Шаньдун</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3,0</w:t>
            </w:r>
          </w:p>
        </w:tc>
        <w:tc>
          <w:tcPr>
            <w:tcW w:type="dxa" w:w="1662"/>
          </w:tcPr>
          <w:p>
            <w:pPr>
              <w:spacing w:after="0" w:line="240" w:lineRule="auto"/>
              <w:ind w:firstLine="0"/>
              <w:jc w:val="center"/>
            </w:pPr>
            <w:r>
              <w:rPr>
                <w:b w:val="0"/>
                <w:i w:val="0"/>
                <w:sz w:val="20"/>
              </w:rPr>
              <w:t>200–300</w:t>
            </w:r>
          </w:p>
        </w:tc>
        <w:tc>
          <w:tcPr>
            <w:tcW w:type="dxa" w:w="1662"/>
          </w:tcPr>
          <w:p>
            <w:pPr>
              <w:spacing w:after="0" w:line="240" w:lineRule="auto"/>
              <w:ind w:firstLine="0"/>
              <w:jc w:val="center"/>
            </w:pPr>
            <w:r>
              <w:rPr>
                <w:b w:val="0"/>
                <w:i w:val="0"/>
                <w:sz w:val="20"/>
              </w:rPr>
              <w:t>Shandong RE</w:t>
            </w:r>
          </w:p>
        </w:tc>
      </w:tr>
      <w:tr>
        <w:tc>
          <w:tcPr>
            <w:tcW w:type="dxa" w:w="1662"/>
          </w:tcPr>
          <w:p>
            <w:pPr>
              <w:spacing w:after="0" w:line="240" w:lineRule="auto"/>
              <w:ind w:firstLine="0"/>
              <w:jc w:val="left"/>
            </w:pPr>
            <w:r>
              <w:rPr>
                <w:b w:val="0"/>
                <w:i w:val="0"/>
                <w:sz w:val="20"/>
              </w:rPr>
              <w:t>Ганьчжоуская группа</w:t>
            </w:r>
          </w:p>
        </w:tc>
        <w:tc>
          <w:tcPr>
            <w:tcW w:type="dxa" w:w="1662"/>
          </w:tcPr>
          <w:p>
            <w:pPr>
              <w:spacing w:after="0" w:line="240" w:lineRule="auto"/>
              <w:ind w:firstLine="0"/>
              <w:jc w:val="center"/>
            </w:pPr>
            <w:r>
              <w:rPr>
                <w:b w:val="0"/>
                <w:i w:val="0"/>
                <w:sz w:val="20"/>
              </w:rPr>
              <w:t>Цзянси</w:t>
            </w:r>
          </w:p>
        </w:tc>
        <w:tc>
          <w:tcPr>
            <w:tcW w:type="dxa" w:w="1662"/>
          </w:tcPr>
          <w:p>
            <w:pPr>
              <w:spacing w:after="0" w:line="240" w:lineRule="auto"/>
              <w:ind w:firstLine="0"/>
              <w:jc w:val="center"/>
            </w:pPr>
            <w:r>
              <w:rPr>
                <w:b w:val="0"/>
                <w:i w:val="0"/>
                <w:sz w:val="20"/>
              </w:rPr>
              <w:t>ионно-адсорбц.</w:t>
            </w:r>
          </w:p>
        </w:tc>
        <w:tc>
          <w:tcPr>
            <w:tcW w:type="dxa" w:w="1662"/>
          </w:tcPr>
          <w:p>
            <w:pPr>
              <w:spacing w:after="0" w:line="240" w:lineRule="auto"/>
              <w:ind w:firstLine="0"/>
              <w:jc w:val="center"/>
            </w:pPr>
            <w:r>
              <w:rPr>
                <w:b w:val="0"/>
                <w:i w:val="0"/>
                <w:sz w:val="20"/>
              </w:rPr>
              <w:t>0,08–0,15</w:t>
            </w:r>
          </w:p>
        </w:tc>
        <w:tc>
          <w:tcPr>
            <w:tcW w:type="dxa" w:w="1662"/>
          </w:tcPr>
          <w:p>
            <w:pPr>
              <w:spacing w:after="0" w:line="240" w:lineRule="auto"/>
              <w:ind w:firstLine="0"/>
              <w:jc w:val="center"/>
            </w:pPr>
            <w:r>
              <w:rPr>
                <w:b w:val="0"/>
                <w:i w:val="0"/>
                <w:sz w:val="20"/>
              </w:rPr>
              <w:t>800–1 200</w:t>
            </w:r>
          </w:p>
        </w:tc>
        <w:tc>
          <w:tcPr>
            <w:tcW w:type="dxa" w:w="1662"/>
          </w:tcPr>
          <w:p>
            <w:pPr>
              <w:spacing w:after="0" w:line="240" w:lineRule="auto"/>
              <w:ind w:firstLine="0"/>
              <w:jc w:val="center"/>
            </w:pPr>
            <w:r>
              <w:rPr>
                <w:b w:val="0"/>
                <w:i w:val="0"/>
                <w:sz w:val="20"/>
              </w:rPr>
              <w:t>China RE Group</w:t>
            </w:r>
          </w:p>
        </w:tc>
      </w:tr>
      <w:tr>
        <w:tc>
          <w:tcPr>
            <w:tcW w:type="dxa" w:w="1662"/>
          </w:tcPr>
          <w:p>
            <w:pPr>
              <w:spacing w:after="0" w:line="240" w:lineRule="auto"/>
              <w:ind w:firstLine="0"/>
              <w:jc w:val="left"/>
            </w:pPr>
            <w:r>
              <w:rPr>
                <w:b w:val="0"/>
                <w:i w:val="0"/>
                <w:sz w:val="20"/>
              </w:rPr>
              <w:t>Лунъянь, Саньмин</w:t>
            </w:r>
          </w:p>
        </w:tc>
        <w:tc>
          <w:tcPr>
            <w:tcW w:type="dxa" w:w="1662"/>
          </w:tcPr>
          <w:p>
            <w:pPr>
              <w:spacing w:after="0" w:line="240" w:lineRule="auto"/>
              <w:ind w:firstLine="0"/>
              <w:jc w:val="center"/>
            </w:pPr>
            <w:r>
              <w:rPr>
                <w:b w:val="0"/>
                <w:i w:val="0"/>
                <w:sz w:val="20"/>
              </w:rPr>
              <w:t>Фуцзянь</w:t>
            </w:r>
          </w:p>
        </w:tc>
        <w:tc>
          <w:tcPr>
            <w:tcW w:type="dxa" w:w="1662"/>
          </w:tcPr>
          <w:p>
            <w:pPr>
              <w:spacing w:after="0" w:line="240" w:lineRule="auto"/>
              <w:ind w:firstLine="0"/>
              <w:jc w:val="center"/>
            </w:pPr>
            <w:r>
              <w:rPr>
                <w:b w:val="0"/>
                <w:i w:val="0"/>
                <w:sz w:val="20"/>
              </w:rPr>
              <w:t>ионно-адсорбц.</w:t>
            </w:r>
          </w:p>
        </w:tc>
        <w:tc>
          <w:tcPr>
            <w:tcW w:type="dxa" w:w="1662"/>
          </w:tcPr>
          <w:p>
            <w:pPr>
              <w:spacing w:after="0" w:line="240" w:lineRule="auto"/>
              <w:ind w:firstLine="0"/>
              <w:jc w:val="center"/>
            </w:pPr>
            <w:r>
              <w:rPr>
                <w:b w:val="0"/>
                <w:i w:val="0"/>
                <w:sz w:val="20"/>
              </w:rPr>
              <w:t>0,06–0,12</w:t>
            </w:r>
          </w:p>
        </w:tc>
        <w:tc>
          <w:tcPr>
            <w:tcW w:type="dxa" w:w="1662"/>
          </w:tcPr>
          <w:p>
            <w:pPr>
              <w:spacing w:after="0" w:line="240" w:lineRule="auto"/>
              <w:ind w:firstLine="0"/>
              <w:jc w:val="center"/>
            </w:pPr>
            <w:r>
              <w:rPr>
                <w:b w:val="0"/>
                <w:i w:val="0"/>
                <w:sz w:val="20"/>
              </w:rPr>
              <w:t>200–400</w:t>
            </w:r>
          </w:p>
        </w:tc>
        <w:tc>
          <w:tcPr>
            <w:tcW w:type="dxa" w:w="1662"/>
          </w:tcPr>
          <w:p>
            <w:pPr>
              <w:spacing w:after="0" w:line="240" w:lineRule="auto"/>
              <w:ind w:firstLine="0"/>
              <w:jc w:val="center"/>
            </w:pPr>
            <w:r>
              <w:rPr>
                <w:b w:val="0"/>
                <w:i w:val="0"/>
                <w:sz w:val="20"/>
              </w:rPr>
              <w:t>China RE Group</w:t>
            </w:r>
          </w:p>
        </w:tc>
      </w:tr>
      <w:tr>
        <w:tc>
          <w:tcPr>
            <w:tcW w:type="dxa" w:w="1662"/>
          </w:tcPr>
          <w:p>
            <w:pPr>
              <w:spacing w:after="0" w:line="240" w:lineRule="auto"/>
              <w:ind w:firstLine="0"/>
              <w:jc w:val="left"/>
            </w:pPr>
            <w:r>
              <w:rPr>
                <w:b w:val="0"/>
                <w:i w:val="0"/>
                <w:sz w:val="20"/>
              </w:rPr>
              <w:t>Гуандунская группа</w:t>
            </w:r>
          </w:p>
        </w:tc>
        <w:tc>
          <w:tcPr>
            <w:tcW w:type="dxa" w:w="1662"/>
          </w:tcPr>
          <w:p>
            <w:pPr>
              <w:spacing w:after="0" w:line="240" w:lineRule="auto"/>
              <w:ind w:firstLine="0"/>
              <w:jc w:val="center"/>
            </w:pPr>
            <w:r>
              <w:rPr>
                <w:b w:val="0"/>
                <w:i w:val="0"/>
                <w:sz w:val="20"/>
              </w:rPr>
              <w:t>Гуандун</w:t>
            </w:r>
          </w:p>
        </w:tc>
        <w:tc>
          <w:tcPr>
            <w:tcW w:type="dxa" w:w="1662"/>
          </w:tcPr>
          <w:p>
            <w:pPr>
              <w:spacing w:after="0" w:line="240" w:lineRule="auto"/>
              <w:ind w:firstLine="0"/>
              <w:jc w:val="center"/>
            </w:pPr>
            <w:r>
              <w:rPr>
                <w:b w:val="0"/>
                <w:i w:val="0"/>
                <w:sz w:val="20"/>
              </w:rPr>
              <w:t>ионно-адсорбц.</w:t>
            </w:r>
          </w:p>
        </w:tc>
        <w:tc>
          <w:tcPr>
            <w:tcW w:type="dxa" w:w="1662"/>
          </w:tcPr>
          <w:p>
            <w:pPr>
              <w:spacing w:after="0" w:line="240" w:lineRule="auto"/>
              <w:ind w:firstLine="0"/>
              <w:jc w:val="center"/>
            </w:pPr>
            <w:r>
              <w:rPr>
                <w:b w:val="0"/>
                <w:i w:val="0"/>
                <w:sz w:val="20"/>
              </w:rPr>
              <w:t>0,05–0,10</w:t>
            </w:r>
          </w:p>
        </w:tc>
        <w:tc>
          <w:tcPr>
            <w:tcW w:type="dxa" w:w="1662"/>
          </w:tcPr>
          <w:p>
            <w:pPr>
              <w:spacing w:after="0" w:line="240" w:lineRule="auto"/>
              <w:ind w:firstLine="0"/>
              <w:jc w:val="center"/>
            </w:pPr>
            <w:r>
              <w:rPr>
                <w:b w:val="0"/>
                <w:i w:val="0"/>
                <w:sz w:val="20"/>
              </w:rPr>
              <w:t>250–450</w:t>
            </w:r>
          </w:p>
        </w:tc>
        <w:tc>
          <w:tcPr>
            <w:tcW w:type="dxa" w:w="1662"/>
          </w:tcPr>
          <w:p>
            <w:pPr>
              <w:spacing w:after="0" w:line="240" w:lineRule="auto"/>
              <w:ind w:firstLine="0"/>
              <w:jc w:val="center"/>
            </w:pPr>
            <w:r>
              <w:rPr>
                <w:b w:val="0"/>
                <w:i w:val="0"/>
                <w:sz w:val="20"/>
              </w:rPr>
              <w:t>Guangdong RE</w:t>
            </w:r>
          </w:p>
        </w:tc>
      </w:tr>
    </w:tbl>
    <w:p>
      <w:pPr>
        <w:spacing w:after="180"/>
        <w:ind w:firstLine="0"/>
      </w:pPr>
      <w:r>
        <w:rPr>
          <w:i/>
          <w:sz w:val="20"/>
        </w:rPr>
        <w:t>Источник: аналитический центр по данным Министерства природных ресурсов КНР, корпоративных раскрытий, отраслевых публикаций</w:t>
      </w:r>
    </w:p>
    <w:p>
      <w:pPr>
        <w:pStyle w:val="Heading2"/>
      </w:pPr>
      <w:r>
        <w:rPr>
          <w:b w:val="0"/>
          <w:i w:val="0"/>
        </w:rPr>
        <w:t>2.4. Сырьевая база США, Австралии и Канады</w:t>
      </w:r>
    </w:p>
    <w:p>
      <w:r>
        <w:rPr>
          <w:b/>
          <w:i w:val="0"/>
        </w:rPr>
        <w:t>США.</w:t>
      </w:r>
      <w:r>
        <w:rPr>
          <w:b w:val="0"/>
          <w:i w:val="0"/>
        </w:rPr>
        <w:t xml:space="preserve"> Основной объект — </w:t>
      </w:r>
      <w:r>
        <w:rPr>
          <w:b/>
          <w:i w:val="0"/>
        </w:rPr>
        <w:t>Mountain Pass</w:t>
      </w:r>
      <w:r>
        <w:rPr>
          <w:b w:val="0"/>
          <w:i w:val="0"/>
        </w:rPr>
        <w:t xml:space="preserve"> (Калифорния), карбонатитовое месторождение бастнезита с содержанием около 7,0% TREO и запасами порядка 1,3–1,8 млн т TREO. Оператор — MP Materials. Прочие объекты находятся на стадии изучения: </w:t>
      </w:r>
      <w:r>
        <w:rPr>
          <w:b/>
          <w:i w:val="0"/>
        </w:rPr>
        <w:t>Bear Lodge</w:t>
      </w:r>
      <w:r>
        <w:rPr>
          <w:b w:val="0"/>
          <w:i w:val="0"/>
        </w:rPr>
        <w:t xml:space="preserve"> (Вайоминг, Rare Element Resources), </w:t>
      </w:r>
      <w:r>
        <w:rPr>
          <w:b/>
          <w:i w:val="0"/>
        </w:rPr>
        <w:t>Round Top</w:t>
      </w:r>
      <w:r>
        <w:rPr>
          <w:b w:val="0"/>
          <w:i w:val="0"/>
        </w:rPr>
        <w:t xml:space="preserve"> (Техас, Texas Mineral Resources — тяжёлая корзина, риолитовый тип), </w:t>
      </w:r>
      <w:r>
        <w:rPr>
          <w:b/>
          <w:i w:val="0"/>
        </w:rPr>
        <w:t>Elk Creek</w:t>
      </w:r>
      <w:r>
        <w:rPr>
          <w:b w:val="0"/>
          <w:i w:val="0"/>
        </w:rPr>
        <w:t xml:space="preserve"> (Небраска, NioCorp — ниобий-скандий-РЗМ), </w:t>
      </w:r>
      <w:r>
        <w:rPr>
          <w:b/>
          <w:i w:val="0"/>
        </w:rPr>
        <w:t>Bokan Mountain</w:t>
      </w:r>
      <w:r>
        <w:rPr>
          <w:b w:val="0"/>
          <w:i w:val="0"/>
        </w:rPr>
        <w:t xml:space="preserve"> (Аляска, Ucore). Дополнительным источником стали монацитовые концентраты, извлекаемые попутно при добыче тяжёлых минеральных песков в Джорджии и Флориде (Chemours), перерабатываемые Energy Fuels на предприятии White Mesa (Юта).</w:t>
      </w:r>
    </w:p>
    <w:p>
      <w:r>
        <w:rPr>
          <w:b/>
          <w:i w:val="0"/>
        </w:rPr>
        <w:t>Австралия.</w:t>
      </w:r>
      <w:r>
        <w:rPr>
          <w:b w:val="0"/>
          <w:i w:val="0"/>
        </w:rPr>
        <w:t xml:space="preserve"> </w:t>
      </w:r>
      <w:r>
        <w:rPr>
          <w:b/>
          <w:i w:val="0"/>
        </w:rPr>
        <w:t>Mount Weld</w:t>
      </w:r>
      <w:r>
        <w:rPr>
          <w:b w:val="0"/>
          <w:i w:val="0"/>
        </w:rPr>
        <w:t xml:space="preserve"> (Западная Австралия) — латеритная кора выветривания карбонатита с исключительно высоким содержанием (среднее 8–11% TREO по зоне Central Lanthanide Deposit), запасы порядка 1,5–2 млн т TREO. Оператор — Lynas Rare Earths. </w:t>
      </w:r>
      <w:r>
        <w:rPr>
          <w:b/>
          <w:i w:val="0"/>
        </w:rPr>
        <w:t>Nolans Bore</w:t>
      </w:r>
      <w:r>
        <w:rPr>
          <w:b w:val="0"/>
          <w:i w:val="0"/>
        </w:rPr>
        <w:t xml:space="preserve"> (Северная территория, Arafura) — апатит-алланитовое месторождение, 56 млн т руды при 2,6% TREO. </w:t>
      </w:r>
      <w:r>
        <w:rPr>
          <w:b/>
          <w:i w:val="0"/>
        </w:rPr>
        <w:t>Browns Range</w:t>
      </w:r>
      <w:r>
        <w:rPr>
          <w:b w:val="0"/>
          <w:i w:val="0"/>
        </w:rPr>
        <w:t xml:space="preserve"> (Западная Австралия, Northern Minerals) — ксенотимовое месторождение тяжёлой корзины, ключевой не-китайский источник диспрозия. </w:t>
      </w:r>
      <w:r>
        <w:rPr>
          <w:b/>
          <w:i w:val="0"/>
        </w:rPr>
        <w:t>Eneabba</w:t>
      </w:r>
      <w:r>
        <w:rPr>
          <w:b w:val="0"/>
          <w:i w:val="0"/>
        </w:rPr>
        <w:t xml:space="preserve"> (Западная Австралия, Iluka) — уникальный объект: складированные с 1990-х гг. монацит-ксенотимовые концентраты, накопленные при отработке минеральных песков, около 1 млн т материала. </w:t>
      </w:r>
      <w:r>
        <w:rPr>
          <w:b/>
          <w:i w:val="0"/>
        </w:rPr>
        <w:t>Dubbo</w:t>
      </w:r>
      <w:r>
        <w:rPr>
          <w:b w:val="0"/>
          <w:i w:val="0"/>
        </w:rPr>
        <w:t xml:space="preserve"> (Новый Южный Уэльс, Australian Strategic Materials) — циркон-ниобий-редкоземельный объект.</w:t>
      </w:r>
    </w:p>
    <w:p>
      <w:r>
        <w:rPr>
          <w:b/>
          <w:i w:val="0"/>
        </w:rPr>
        <w:t>Канада.</w:t>
      </w:r>
      <w:r>
        <w:rPr>
          <w:b w:val="0"/>
          <w:i w:val="0"/>
        </w:rPr>
        <w:t xml:space="preserve"> </w:t>
      </w:r>
      <w:r>
        <w:rPr>
          <w:b/>
          <w:i w:val="0"/>
        </w:rPr>
        <w:t>Nechalacho</w:t>
      </w:r>
      <w:r>
        <w:rPr>
          <w:b w:val="0"/>
          <w:i w:val="0"/>
        </w:rPr>
        <w:t xml:space="preserve"> (Северо-Западные территории, Vital Metals) — щелочной комплекс с бастнезитом; </w:t>
      </w:r>
      <w:r>
        <w:rPr>
          <w:b/>
          <w:i w:val="0"/>
        </w:rPr>
        <w:t>Strange Lake</w:t>
      </w:r>
      <w:r>
        <w:rPr>
          <w:b w:val="0"/>
          <w:i w:val="0"/>
        </w:rPr>
        <w:t xml:space="preserve"> (Квебек/Ньюфаундленд) — тяжёлая корзина; </w:t>
      </w:r>
      <w:r>
        <w:rPr>
          <w:b/>
          <w:i w:val="0"/>
        </w:rPr>
        <w:t>Ashram</w:t>
      </w:r>
      <w:r>
        <w:rPr>
          <w:b w:val="0"/>
          <w:i w:val="0"/>
        </w:rPr>
        <w:t xml:space="preserve"> (Квебек, Commerce Resources) — карбонатит с монацитом. Ни один из канадских объектов по состоянию на 2025 г. не вышел на устойчивое промышленное производство.</w:t>
      </w:r>
    </w:p>
    <w:p>
      <w:pPr>
        <w:keepNext/>
        <w:spacing w:before="160" w:after="60"/>
        <w:ind w:firstLine="0"/>
        <w:jc w:val="left"/>
      </w:pPr>
      <w:r>
        <w:rPr>
          <w:b/>
          <w:sz w:val="22"/>
        </w:rPr>
        <w:t>Таблица 12. Ключевые редкоземельные проекты и месторождения стран Запада и Австралии</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Объект</w:t>
            </w:r>
          </w:p>
        </w:tc>
        <w:tc>
          <w:tcPr>
            <w:tcW w:type="dxa" w:w="1662"/>
            <w:shd w:val="clear" w:fill="DCE6F1"/>
          </w:tcPr>
          <w:p>
            <w:pPr>
              <w:spacing w:after="0" w:line="240" w:lineRule="auto"/>
              <w:ind w:firstLine="0"/>
              <w:jc w:val="center"/>
            </w:pPr>
            <w:r>
              <w:rPr>
                <w:b/>
                <w:i w:val="0"/>
                <w:sz w:val="20"/>
              </w:rPr>
              <w:t>Страна</w:t>
            </w:r>
          </w:p>
        </w:tc>
        <w:tc>
          <w:tcPr>
            <w:tcW w:type="dxa" w:w="1662"/>
            <w:shd w:val="clear" w:fill="DCE6F1"/>
          </w:tcPr>
          <w:p>
            <w:pPr>
              <w:spacing w:after="0" w:line="240" w:lineRule="auto"/>
              <w:ind w:firstLine="0"/>
              <w:jc w:val="center"/>
            </w:pPr>
            <w:r>
              <w:rPr>
                <w:b/>
                <w:i w:val="0"/>
                <w:sz w:val="20"/>
              </w:rPr>
              <w:t>Тип</w:t>
            </w:r>
          </w:p>
        </w:tc>
        <w:tc>
          <w:tcPr>
            <w:tcW w:type="dxa" w:w="1662"/>
            <w:shd w:val="clear" w:fill="DCE6F1"/>
          </w:tcPr>
          <w:p>
            <w:pPr>
              <w:spacing w:after="0" w:line="240" w:lineRule="auto"/>
              <w:ind w:firstLine="0"/>
              <w:jc w:val="center"/>
            </w:pPr>
            <w:r>
              <w:rPr>
                <w:b/>
                <w:i w:val="0"/>
                <w:sz w:val="20"/>
              </w:rPr>
              <w:t>TREO, %</w:t>
            </w:r>
          </w:p>
        </w:tc>
        <w:tc>
          <w:tcPr>
            <w:tcW w:type="dxa" w:w="1662"/>
            <w:shd w:val="clear" w:fill="DCE6F1"/>
          </w:tcPr>
          <w:p>
            <w:pPr>
              <w:spacing w:after="0" w:line="240" w:lineRule="auto"/>
              <w:ind w:firstLine="0"/>
              <w:jc w:val="center"/>
            </w:pPr>
            <w:r>
              <w:rPr>
                <w:b/>
                <w:i w:val="0"/>
                <w:sz w:val="20"/>
              </w:rPr>
              <w:t>Запасы/ресурсы, тыс. т TREO</w:t>
            </w:r>
          </w:p>
        </w:tc>
        <w:tc>
          <w:tcPr>
            <w:tcW w:type="dxa" w:w="1662"/>
            <w:shd w:val="clear" w:fill="DCE6F1"/>
          </w:tcPr>
          <w:p>
            <w:pPr>
              <w:spacing w:after="0" w:line="240" w:lineRule="auto"/>
              <w:ind w:firstLine="0"/>
              <w:jc w:val="center"/>
            </w:pPr>
            <w:r>
              <w:rPr>
                <w:b/>
                <w:i w:val="0"/>
                <w:sz w:val="20"/>
              </w:rPr>
              <w:t>Статус (2025)</w:t>
            </w:r>
          </w:p>
        </w:tc>
      </w:tr>
      <w:tr>
        <w:tc>
          <w:tcPr>
            <w:tcW w:type="dxa" w:w="1662"/>
          </w:tcPr>
          <w:p>
            <w:pPr>
              <w:spacing w:after="0" w:line="240" w:lineRule="auto"/>
              <w:ind w:firstLine="0"/>
              <w:jc w:val="left"/>
            </w:pPr>
            <w:r>
              <w:rPr>
                <w:b w:val="0"/>
                <w:i w:val="0"/>
                <w:sz w:val="20"/>
              </w:rPr>
              <w:t>Mountain Pass</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7,0</w:t>
            </w:r>
          </w:p>
        </w:tc>
        <w:tc>
          <w:tcPr>
            <w:tcW w:type="dxa" w:w="1662"/>
          </w:tcPr>
          <w:p>
            <w:pPr>
              <w:spacing w:after="0" w:line="240" w:lineRule="auto"/>
              <w:ind w:firstLine="0"/>
              <w:jc w:val="center"/>
            </w:pPr>
            <w:r>
              <w:rPr>
                <w:b w:val="0"/>
                <w:i w:val="0"/>
                <w:sz w:val="20"/>
              </w:rPr>
              <w:t>1 300–1 800</w:t>
            </w:r>
          </w:p>
        </w:tc>
        <w:tc>
          <w:tcPr>
            <w:tcW w:type="dxa" w:w="1662"/>
          </w:tcPr>
          <w:p>
            <w:pPr>
              <w:spacing w:after="0" w:line="240" w:lineRule="auto"/>
              <w:ind w:firstLine="0"/>
              <w:jc w:val="center"/>
            </w:pPr>
            <w:r>
              <w:rPr>
                <w:b w:val="0"/>
                <w:i w:val="0"/>
                <w:sz w:val="20"/>
              </w:rPr>
              <w:t>производство</w:t>
            </w:r>
          </w:p>
        </w:tc>
      </w:tr>
      <w:tr>
        <w:tc>
          <w:tcPr>
            <w:tcW w:type="dxa" w:w="1662"/>
          </w:tcPr>
          <w:p>
            <w:pPr>
              <w:spacing w:after="0" w:line="240" w:lineRule="auto"/>
              <w:ind w:firstLine="0"/>
              <w:jc w:val="left"/>
            </w:pPr>
            <w:r>
              <w:rPr>
                <w:b w:val="0"/>
                <w:i w:val="0"/>
                <w:sz w:val="20"/>
              </w:rPr>
              <w:t>Mount Weld</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кора выветр. карбонатита</w:t>
            </w:r>
          </w:p>
        </w:tc>
        <w:tc>
          <w:tcPr>
            <w:tcW w:type="dxa" w:w="1662"/>
          </w:tcPr>
          <w:p>
            <w:pPr>
              <w:spacing w:after="0" w:line="240" w:lineRule="auto"/>
              <w:ind w:firstLine="0"/>
              <w:jc w:val="center"/>
            </w:pPr>
            <w:r>
              <w:rPr>
                <w:b w:val="0"/>
                <w:i w:val="0"/>
                <w:sz w:val="20"/>
              </w:rPr>
              <w:t>8–11</w:t>
            </w:r>
          </w:p>
        </w:tc>
        <w:tc>
          <w:tcPr>
            <w:tcW w:type="dxa" w:w="1662"/>
          </w:tcPr>
          <w:p>
            <w:pPr>
              <w:spacing w:after="0" w:line="240" w:lineRule="auto"/>
              <w:ind w:firstLine="0"/>
              <w:jc w:val="center"/>
            </w:pPr>
            <w:r>
              <w:rPr>
                <w:b w:val="0"/>
                <w:i w:val="0"/>
                <w:sz w:val="20"/>
              </w:rPr>
              <w:t>1 500–2 000</w:t>
            </w:r>
          </w:p>
        </w:tc>
        <w:tc>
          <w:tcPr>
            <w:tcW w:type="dxa" w:w="1662"/>
          </w:tcPr>
          <w:p>
            <w:pPr>
              <w:spacing w:after="0" w:line="240" w:lineRule="auto"/>
              <w:ind w:firstLine="0"/>
              <w:jc w:val="center"/>
            </w:pPr>
            <w:r>
              <w:rPr>
                <w:b w:val="0"/>
                <w:i w:val="0"/>
                <w:sz w:val="20"/>
              </w:rPr>
              <w:t>производство</w:t>
            </w:r>
          </w:p>
        </w:tc>
      </w:tr>
      <w:tr>
        <w:tc>
          <w:tcPr>
            <w:tcW w:type="dxa" w:w="1662"/>
          </w:tcPr>
          <w:p>
            <w:pPr>
              <w:spacing w:after="0" w:line="240" w:lineRule="auto"/>
              <w:ind w:firstLine="0"/>
              <w:jc w:val="left"/>
            </w:pPr>
            <w:r>
              <w:rPr>
                <w:b w:val="0"/>
                <w:i w:val="0"/>
                <w:sz w:val="20"/>
              </w:rPr>
              <w:t>Eneabba</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складир. концентраты</w:t>
            </w:r>
          </w:p>
        </w:tc>
        <w:tc>
          <w:tcPr>
            <w:tcW w:type="dxa" w:w="1662"/>
          </w:tcPr>
          <w:p>
            <w:pPr>
              <w:spacing w:after="0" w:line="240" w:lineRule="auto"/>
              <w:ind w:firstLine="0"/>
              <w:jc w:val="center"/>
            </w:pPr>
            <w:r>
              <w:rPr>
                <w:b w:val="0"/>
                <w:i w:val="0"/>
                <w:sz w:val="20"/>
              </w:rPr>
              <w:t>20–90</w:t>
            </w:r>
          </w:p>
        </w:tc>
        <w:tc>
          <w:tcPr>
            <w:tcW w:type="dxa" w:w="1662"/>
          </w:tcPr>
          <w:p>
            <w:pPr>
              <w:spacing w:after="0" w:line="240" w:lineRule="auto"/>
              <w:ind w:firstLine="0"/>
              <w:jc w:val="center"/>
            </w:pPr>
            <w:r>
              <w:rPr>
                <w:b w:val="0"/>
                <w:i w:val="0"/>
                <w:sz w:val="20"/>
              </w:rPr>
              <w:t>700–1 000</w:t>
            </w:r>
          </w:p>
        </w:tc>
        <w:tc>
          <w:tcPr>
            <w:tcW w:type="dxa" w:w="1662"/>
          </w:tcPr>
          <w:p>
            <w:pPr>
              <w:spacing w:after="0" w:line="240" w:lineRule="auto"/>
              <w:ind w:firstLine="0"/>
              <w:jc w:val="center"/>
            </w:pPr>
            <w:r>
              <w:rPr>
                <w:b w:val="0"/>
                <w:i w:val="0"/>
                <w:sz w:val="20"/>
              </w:rPr>
              <w:t>строительство</w:t>
            </w:r>
          </w:p>
        </w:tc>
      </w:tr>
      <w:tr>
        <w:tc>
          <w:tcPr>
            <w:tcW w:type="dxa" w:w="1662"/>
          </w:tcPr>
          <w:p>
            <w:pPr>
              <w:spacing w:after="0" w:line="240" w:lineRule="auto"/>
              <w:ind w:firstLine="0"/>
              <w:jc w:val="left"/>
            </w:pPr>
            <w:r>
              <w:rPr>
                <w:b w:val="0"/>
                <w:i w:val="0"/>
                <w:sz w:val="20"/>
              </w:rPr>
              <w:t>Nolans Bore</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апатит-алланит</w:t>
            </w:r>
          </w:p>
        </w:tc>
        <w:tc>
          <w:tcPr>
            <w:tcW w:type="dxa" w:w="1662"/>
          </w:tcPr>
          <w:p>
            <w:pPr>
              <w:spacing w:after="0" w:line="240" w:lineRule="auto"/>
              <w:ind w:firstLine="0"/>
              <w:jc w:val="center"/>
            </w:pPr>
            <w:r>
              <w:rPr>
                <w:b w:val="0"/>
                <w:i w:val="0"/>
                <w:sz w:val="20"/>
              </w:rPr>
              <w:t>2,6</w:t>
            </w:r>
          </w:p>
        </w:tc>
        <w:tc>
          <w:tcPr>
            <w:tcW w:type="dxa" w:w="1662"/>
          </w:tcPr>
          <w:p>
            <w:pPr>
              <w:spacing w:after="0" w:line="240" w:lineRule="auto"/>
              <w:ind w:firstLine="0"/>
              <w:jc w:val="center"/>
            </w:pPr>
            <w:r>
              <w:rPr>
                <w:b w:val="0"/>
                <w:i w:val="0"/>
                <w:sz w:val="20"/>
              </w:rPr>
              <w:t>1 250</w:t>
            </w:r>
          </w:p>
        </w:tc>
        <w:tc>
          <w:tcPr>
            <w:tcW w:type="dxa" w:w="1662"/>
          </w:tcPr>
          <w:p>
            <w:pPr>
              <w:spacing w:after="0" w:line="240" w:lineRule="auto"/>
              <w:ind w:firstLine="0"/>
              <w:jc w:val="center"/>
            </w:pPr>
            <w:r>
              <w:rPr>
                <w:b w:val="0"/>
                <w:i w:val="0"/>
                <w:sz w:val="20"/>
              </w:rPr>
              <w:t>строительство</w:t>
            </w:r>
          </w:p>
        </w:tc>
      </w:tr>
      <w:tr>
        <w:tc>
          <w:tcPr>
            <w:tcW w:type="dxa" w:w="1662"/>
          </w:tcPr>
          <w:p>
            <w:pPr>
              <w:spacing w:after="0" w:line="240" w:lineRule="auto"/>
              <w:ind w:firstLine="0"/>
              <w:jc w:val="left"/>
            </w:pPr>
            <w:r>
              <w:rPr>
                <w:b w:val="0"/>
                <w:i w:val="0"/>
                <w:sz w:val="20"/>
              </w:rPr>
              <w:t>Browns Range</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ксенотим</w:t>
            </w:r>
          </w:p>
        </w:tc>
        <w:tc>
          <w:tcPr>
            <w:tcW w:type="dxa" w:w="1662"/>
          </w:tcPr>
          <w:p>
            <w:pPr>
              <w:spacing w:after="0" w:line="240" w:lineRule="auto"/>
              <w:ind w:firstLine="0"/>
              <w:jc w:val="center"/>
            </w:pPr>
            <w:r>
              <w:rPr>
                <w:b w:val="0"/>
                <w:i w:val="0"/>
                <w:sz w:val="20"/>
              </w:rPr>
              <w:t>0,6–1,0</w:t>
            </w:r>
          </w:p>
        </w:tc>
        <w:tc>
          <w:tcPr>
            <w:tcW w:type="dxa" w:w="1662"/>
          </w:tcPr>
          <w:p>
            <w:pPr>
              <w:spacing w:after="0" w:line="240" w:lineRule="auto"/>
              <w:ind w:firstLine="0"/>
              <w:jc w:val="center"/>
            </w:pPr>
            <w:r>
              <w:rPr>
                <w:b w:val="0"/>
                <w:i w:val="0"/>
                <w:sz w:val="20"/>
              </w:rPr>
              <w:t>100–150</w:t>
            </w:r>
          </w:p>
        </w:tc>
        <w:tc>
          <w:tcPr>
            <w:tcW w:type="dxa" w:w="1662"/>
          </w:tcPr>
          <w:p>
            <w:pPr>
              <w:spacing w:after="0" w:line="240" w:lineRule="auto"/>
              <w:ind w:firstLine="0"/>
              <w:jc w:val="center"/>
            </w:pPr>
            <w:r>
              <w:rPr>
                <w:b w:val="0"/>
                <w:i w:val="0"/>
                <w:sz w:val="20"/>
              </w:rPr>
              <w:t>пилот</w:t>
            </w:r>
          </w:p>
        </w:tc>
      </w:tr>
      <w:tr>
        <w:tc>
          <w:tcPr>
            <w:tcW w:type="dxa" w:w="1662"/>
          </w:tcPr>
          <w:p>
            <w:pPr>
              <w:spacing w:after="0" w:line="240" w:lineRule="auto"/>
              <w:ind w:firstLine="0"/>
              <w:jc w:val="left"/>
            </w:pPr>
            <w:r>
              <w:rPr>
                <w:b w:val="0"/>
                <w:i w:val="0"/>
                <w:sz w:val="20"/>
              </w:rPr>
              <w:t>Dubbo</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щелочной</w:t>
            </w:r>
          </w:p>
        </w:tc>
        <w:tc>
          <w:tcPr>
            <w:tcW w:type="dxa" w:w="1662"/>
          </w:tcPr>
          <w:p>
            <w:pPr>
              <w:spacing w:after="0" w:line="240" w:lineRule="auto"/>
              <w:ind w:firstLine="0"/>
              <w:jc w:val="center"/>
            </w:pPr>
            <w:r>
              <w:rPr>
                <w:b w:val="0"/>
                <w:i w:val="0"/>
                <w:sz w:val="20"/>
              </w:rPr>
              <w:t>0,9</w:t>
            </w:r>
          </w:p>
        </w:tc>
        <w:tc>
          <w:tcPr>
            <w:tcW w:type="dxa" w:w="1662"/>
          </w:tcPr>
          <w:p>
            <w:pPr>
              <w:spacing w:after="0" w:line="240" w:lineRule="auto"/>
              <w:ind w:firstLine="0"/>
              <w:jc w:val="center"/>
            </w:pPr>
            <w:r>
              <w:rPr>
                <w:b w:val="0"/>
                <w:i w:val="0"/>
                <w:sz w:val="20"/>
              </w:rPr>
              <w:t>500–700</w:t>
            </w:r>
          </w:p>
        </w:tc>
        <w:tc>
          <w:tcPr>
            <w:tcW w:type="dxa" w:w="1662"/>
          </w:tcPr>
          <w:p>
            <w:pPr>
              <w:spacing w:after="0" w:line="240" w:lineRule="auto"/>
              <w:ind w:firstLine="0"/>
              <w:jc w:val="center"/>
            </w:pPr>
            <w:r>
              <w:rPr>
                <w:b w:val="0"/>
                <w:i w:val="0"/>
                <w:sz w:val="20"/>
              </w:rPr>
              <w:t>проект</w:t>
            </w:r>
          </w:p>
        </w:tc>
      </w:tr>
      <w:tr>
        <w:tc>
          <w:tcPr>
            <w:tcW w:type="dxa" w:w="1662"/>
          </w:tcPr>
          <w:p>
            <w:pPr>
              <w:spacing w:after="0" w:line="240" w:lineRule="auto"/>
              <w:ind w:firstLine="0"/>
              <w:jc w:val="left"/>
            </w:pPr>
            <w:r>
              <w:rPr>
                <w:b w:val="0"/>
                <w:i w:val="0"/>
                <w:sz w:val="20"/>
              </w:rPr>
              <w:t>Bear Lodge</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2,9</w:t>
            </w:r>
          </w:p>
        </w:tc>
        <w:tc>
          <w:tcPr>
            <w:tcW w:type="dxa" w:w="1662"/>
          </w:tcPr>
          <w:p>
            <w:pPr>
              <w:spacing w:after="0" w:line="240" w:lineRule="auto"/>
              <w:ind w:firstLine="0"/>
              <w:jc w:val="center"/>
            </w:pPr>
            <w:r>
              <w:rPr>
                <w:b w:val="0"/>
                <w:i w:val="0"/>
                <w:sz w:val="20"/>
              </w:rPr>
              <w:t>400–600</w:t>
            </w:r>
          </w:p>
        </w:tc>
        <w:tc>
          <w:tcPr>
            <w:tcW w:type="dxa" w:w="1662"/>
          </w:tcPr>
          <w:p>
            <w:pPr>
              <w:spacing w:after="0" w:line="240" w:lineRule="auto"/>
              <w:ind w:firstLine="0"/>
              <w:jc w:val="center"/>
            </w:pPr>
            <w:r>
              <w:rPr>
                <w:b w:val="0"/>
                <w:i w:val="0"/>
                <w:sz w:val="20"/>
              </w:rPr>
              <w:t>проект</w:t>
            </w:r>
          </w:p>
        </w:tc>
      </w:tr>
      <w:tr>
        <w:tc>
          <w:tcPr>
            <w:tcW w:type="dxa" w:w="1662"/>
          </w:tcPr>
          <w:p>
            <w:pPr>
              <w:spacing w:after="0" w:line="240" w:lineRule="auto"/>
              <w:ind w:firstLine="0"/>
              <w:jc w:val="left"/>
            </w:pPr>
            <w:r>
              <w:rPr>
                <w:b w:val="0"/>
                <w:i w:val="0"/>
                <w:sz w:val="20"/>
              </w:rPr>
              <w:t>Round Top</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риолитовый</w:t>
            </w:r>
          </w:p>
        </w:tc>
        <w:tc>
          <w:tcPr>
            <w:tcW w:type="dxa" w:w="1662"/>
          </w:tcPr>
          <w:p>
            <w:pPr>
              <w:spacing w:after="0" w:line="240" w:lineRule="auto"/>
              <w:ind w:firstLine="0"/>
              <w:jc w:val="center"/>
            </w:pPr>
            <w:r>
              <w:rPr>
                <w:b w:val="0"/>
                <w:i w:val="0"/>
                <w:sz w:val="20"/>
              </w:rPr>
              <w:t>0,06</w:t>
            </w:r>
          </w:p>
        </w:tc>
        <w:tc>
          <w:tcPr>
            <w:tcW w:type="dxa" w:w="1662"/>
          </w:tcPr>
          <w:p>
            <w:pPr>
              <w:spacing w:after="0" w:line="240" w:lineRule="auto"/>
              <w:ind w:firstLine="0"/>
              <w:jc w:val="center"/>
            </w:pPr>
            <w:r>
              <w:rPr>
                <w:b w:val="0"/>
                <w:i w:val="0"/>
                <w:sz w:val="20"/>
              </w:rPr>
              <w:t>500–800</w:t>
            </w:r>
          </w:p>
        </w:tc>
        <w:tc>
          <w:tcPr>
            <w:tcW w:type="dxa" w:w="1662"/>
          </w:tcPr>
          <w:p>
            <w:pPr>
              <w:spacing w:after="0" w:line="240" w:lineRule="auto"/>
              <w:ind w:firstLine="0"/>
              <w:jc w:val="center"/>
            </w:pPr>
            <w:r>
              <w:rPr>
                <w:b w:val="0"/>
                <w:i w:val="0"/>
                <w:sz w:val="20"/>
              </w:rPr>
              <w:t>проект</w:t>
            </w:r>
          </w:p>
        </w:tc>
      </w:tr>
      <w:tr>
        <w:tc>
          <w:tcPr>
            <w:tcW w:type="dxa" w:w="1662"/>
          </w:tcPr>
          <w:p>
            <w:pPr>
              <w:spacing w:after="0" w:line="240" w:lineRule="auto"/>
              <w:ind w:firstLine="0"/>
              <w:jc w:val="left"/>
            </w:pPr>
            <w:r>
              <w:rPr>
                <w:b w:val="0"/>
                <w:i w:val="0"/>
                <w:sz w:val="20"/>
              </w:rPr>
              <w:t>Elk Creek</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карбонатит (Nb-Sc)</w:t>
            </w:r>
          </w:p>
        </w:tc>
        <w:tc>
          <w:tcPr>
            <w:tcW w:type="dxa" w:w="1662"/>
          </w:tcPr>
          <w:p>
            <w:pPr>
              <w:spacing w:after="0" w:line="240" w:lineRule="auto"/>
              <w:ind w:firstLine="0"/>
              <w:jc w:val="center"/>
            </w:pPr>
            <w:r>
              <w:rPr>
                <w:b w:val="0"/>
                <w:i w:val="0"/>
                <w:sz w:val="20"/>
              </w:rPr>
              <w:t>0,5</w:t>
            </w:r>
          </w:p>
        </w:tc>
        <w:tc>
          <w:tcPr>
            <w:tcW w:type="dxa" w:w="1662"/>
          </w:tcPr>
          <w:p>
            <w:pPr>
              <w:spacing w:after="0" w:line="240" w:lineRule="auto"/>
              <w:ind w:firstLine="0"/>
              <w:jc w:val="center"/>
            </w:pPr>
            <w:r>
              <w:rPr>
                <w:b w:val="0"/>
                <w:i w:val="0"/>
                <w:sz w:val="20"/>
              </w:rPr>
              <w:t>200–300</w:t>
            </w:r>
          </w:p>
        </w:tc>
        <w:tc>
          <w:tcPr>
            <w:tcW w:type="dxa" w:w="1662"/>
          </w:tcPr>
          <w:p>
            <w:pPr>
              <w:spacing w:after="0" w:line="240" w:lineRule="auto"/>
              <w:ind w:firstLine="0"/>
              <w:jc w:val="center"/>
            </w:pPr>
            <w:r>
              <w:rPr>
                <w:b w:val="0"/>
                <w:i w:val="0"/>
                <w:sz w:val="20"/>
              </w:rPr>
              <w:t>строительство</w:t>
            </w:r>
          </w:p>
        </w:tc>
      </w:tr>
      <w:tr>
        <w:tc>
          <w:tcPr>
            <w:tcW w:type="dxa" w:w="1662"/>
          </w:tcPr>
          <w:p>
            <w:pPr>
              <w:spacing w:after="0" w:line="240" w:lineRule="auto"/>
              <w:ind w:firstLine="0"/>
              <w:jc w:val="left"/>
            </w:pPr>
            <w:r>
              <w:rPr>
                <w:b w:val="0"/>
                <w:i w:val="0"/>
                <w:sz w:val="20"/>
              </w:rPr>
              <w:t>Nechalacho</w:t>
            </w:r>
          </w:p>
        </w:tc>
        <w:tc>
          <w:tcPr>
            <w:tcW w:type="dxa" w:w="1662"/>
          </w:tcPr>
          <w:p>
            <w:pPr>
              <w:spacing w:after="0" w:line="240" w:lineRule="auto"/>
              <w:ind w:firstLine="0"/>
              <w:jc w:val="center"/>
            </w:pPr>
            <w:r>
              <w:rPr>
                <w:b w:val="0"/>
                <w:i w:val="0"/>
                <w:sz w:val="20"/>
              </w:rPr>
              <w:t>Канада</w:t>
            </w:r>
          </w:p>
        </w:tc>
        <w:tc>
          <w:tcPr>
            <w:tcW w:type="dxa" w:w="1662"/>
          </w:tcPr>
          <w:p>
            <w:pPr>
              <w:spacing w:after="0" w:line="240" w:lineRule="auto"/>
              <w:ind w:firstLine="0"/>
              <w:jc w:val="center"/>
            </w:pPr>
            <w:r>
              <w:rPr>
                <w:b w:val="0"/>
                <w:i w:val="0"/>
                <w:sz w:val="20"/>
              </w:rPr>
              <w:t>щелочной</w:t>
            </w:r>
          </w:p>
        </w:tc>
        <w:tc>
          <w:tcPr>
            <w:tcW w:type="dxa" w:w="1662"/>
          </w:tcPr>
          <w:p>
            <w:pPr>
              <w:spacing w:after="0" w:line="240" w:lineRule="auto"/>
              <w:ind w:firstLine="0"/>
              <w:jc w:val="center"/>
            </w:pPr>
            <w:r>
              <w:rPr>
                <w:b w:val="0"/>
                <w:i w:val="0"/>
                <w:sz w:val="20"/>
              </w:rPr>
              <w:t>1,5–3,0</w:t>
            </w:r>
          </w:p>
        </w:tc>
        <w:tc>
          <w:tcPr>
            <w:tcW w:type="dxa" w:w="1662"/>
          </w:tcPr>
          <w:p>
            <w:pPr>
              <w:spacing w:after="0" w:line="240" w:lineRule="auto"/>
              <w:ind w:firstLine="0"/>
              <w:jc w:val="center"/>
            </w:pPr>
            <w:r>
              <w:rPr>
                <w:b w:val="0"/>
                <w:i w:val="0"/>
                <w:sz w:val="20"/>
              </w:rPr>
              <w:t>200–350</w:t>
            </w:r>
          </w:p>
        </w:tc>
        <w:tc>
          <w:tcPr>
            <w:tcW w:type="dxa" w:w="1662"/>
          </w:tcPr>
          <w:p>
            <w:pPr>
              <w:spacing w:after="0" w:line="240" w:lineRule="auto"/>
              <w:ind w:firstLine="0"/>
              <w:jc w:val="center"/>
            </w:pPr>
            <w:r>
              <w:rPr>
                <w:b w:val="0"/>
                <w:i w:val="0"/>
                <w:sz w:val="20"/>
              </w:rPr>
              <w:t>приостановлен</w:t>
            </w:r>
          </w:p>
        </w:tc>
      </w:tr>
      <w:tr>
        <w:tc>
          <w:tcPr>
            <w:tcW w:type="dxa" w:w="1662"/>
          </w:tcPr>
          <w:p>
            <w:pPr>
              <w:spacing w:after="0" w:line="240" w:lineRule="auto"/>
              <w:ind w:firstLine="0"/>
              <w:jc w:val="left"/>
            </w:pPr>
            <w:r>
              <w:rPr>
                <w:b w:val="0"/>
                <w:i w:val="0"/>
                <w:sz w:val="20"/>
              </w:rPr>
              <w:t>Ashram</w:t>
            </w:r>
          </w:p>
        </w:tc>
        <w:tc>
          <w:tcPr>
            <w:tcW w:type="dxa" w:w="1662"/>
          </w:tcPr>
          <w:p>
            <w:pPr>
              <w:spacing w:after="0" w:line="240" w:lineRule="auto"/>
              <w:ind w:firstLine="0"/>
              <w:jc w:val="center"/>
            </w:pPr>
            <w:r>
              <w:rPr>
                <w:b w:val="0"/>
                <w:i w:val="0"/>
                <w:sz w:val="20"/>
              </w:rPr>
              <w:t>Канада</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1,8</w:t>
            </w:r>
          </w:p>
        </w:tc>
        <w:tc>
          <w:tcPr>
            <w:tcW w:type="dxa" w:w="1662"/>
          </w:tcPr>
          <w:p>
            <w:pPr>
              <w:spacing w:after="0" w:line="240" w:lineRule="auto"/>
              <w:ind w:firstLine="0"/>
              <w:jc w:val="center"/>
            </w:pPr>
            <w:r>
              <w:rPr>
                <w:b w:val="0"/>
                <w:i w:val="0"/>
                <w:sz w:val="20"/>
              </w:rPr>
              <w:t>900–1 200</w:t>
            </w:r>
          </w:p>
        </w:tc>
        <w:tc>
          <w:tcPr>
            <w:tcW w:type="dxa" w:w="1662"/>
          </w:tcPr>
          <w:p>
            <w:pPr>
              <w:spacing w:after="0" w:line="240" w:lineRule="auto"/>
              <w:ind w:firstLine="0"/>
              <w:jc w:val="center"/>
            </w:pPr>
            <w:r>
              <w:rPr>
                <w:b w:val="0"/>
                <w:i w:val="0"/>
                <w:sz w:val="20"/>
              </w:rPr>
              <w:t>проект</w:t>
            </w:r>
          </w:p>
        </w:tc>
      </w:tr>
      <w:tr>
        <w:tc>
          <w:tcPr>
            <w:tcW w:type="dxa" w:w="1662"/>
          </w:tcPr>
          <w:p>
            <w:pPr>
              <w:spacing w:after="0" w:line="240" w:lineRule="auto"/>
              <w:ind w:firstLine="0"/>
              <w:jc w:val="left"/>
            </w:pPr>
            <w:r>
              <w:rPr>
                <w:b w:val="0"/>
                <w:i w:val="0"/>
                <w:sz w:val="20"/>
              </w:rPr>
              <w:t>Strange Lake</w:t>
            </w:r>
          </w:p>
        </w:tc>
        <w:tc>
          <w:tcPr>
            <w:tcW w:type="dxa" w:w="1662"/>
          </w:tcPr>
          <w:p>
            <w:pPr>
              <w:spacing w:after="0" w:line="240" w:lineRule="auto"/>
              <w:ind w:firstLine="0"/>
              <w:jc w:val="center"/>
            </w:pPr>
            <w:r>
              <w:rPr>
                <w:b w:val="0"/>
                <w:i w:val="0"/>
                <w:sz w:val="20"/>
              </w:rPr>
              <w:t>Канада</w:t>
            </w:r>
          </w:p>
        </w:tc>
        <w:tc>
          <w:tcPr>
            <w:tcW w:type="dxa" w:w="1662"/>
          </w:tcPr>
          <w:p>
            <w:pPr>
              <w:spacing w:after="0" w:line="240" w:lineRule="auto"/>
              <w:ind w:firstLine="0"/>
              <w:jc w:val="center"/>
            </w:pPr>
            <w:r>
              <w:rPr>
                <w:b w:val="0"/>
                <w:i w:val="0"/>
                <w:sz w:val="20"/>
              </w:rPr>
              <w:t>щелочной</w:t>
            </w:r>
          </w:p>
        </w:tc>
        <w:tc>
          <w:tcPr>
            <w:tcW w:type="dxa" w:w="1662"/>
          </w:tcPr>
          <w:p>
            <w:pPr>
              <w:spacing w:after="0" w:line="240" w:lineRule="auto"/>
              <w:ind w:firstLine="0"/>
              <w:jc w:val="center"/>
            </w:pPr>
            <w:r>
              <w:rPr>
                <w:b w:val="0"/>
                <w:i w:val="0"/>
                <w:sz w:val="20"/>
              </w:rPr>
              <w:t>0,9</w:t>
            </w:r>
          </w:p>
        </w:tc>
        <w:tc>
          <w:tcPr>
            <w:tcW w:type="dxa" w:w="1662"/>
          </w:tcPr>
          <w:p>
            <w:pPr>
              <w:spacing w:after="0" w:line="240" w:lineRule="auto"/>
              <w:ind w:firstLine="0"/>
              <w:jc w:val="center"/>
            </w:pPr>
            <w:r>
              <w:rPr>
                <w:b w:val="0"/>
                <w:i w:val="0"/>
                <w:sz w:val="20"/>
              </w:rPr>
              <w:t>400–600</w:t>
            </w:r>
          </w:p>
        </w:tc>
        <w:tc>
          <w:tcPr>
            <w:tcW w:type="dxa" w:w="1662"/>
          </w:tcPr>
          <w:p>
            <w:pPr>
              <w:spacing w:after="0" w:line="240" w:lineRule="auto"/>
              <w:ind w:firstLine="0"/>
              <w:jc w:val="center"/>
            </w:pPr>
            <w:r>
              <w:rPr>
                <w:b w:val="0"/>
                <w:i w:val="0"/>
                <w:sz w:val="20"/>
              </w:rPr>
              <w:t>проект</w:t>
            </w:r>
          </w:p>
        </w:tc>
      </w:tr>
    </w:tbl>
    <w:p>
      <w:pPr>
        <w:spacing w:after="180"/>
        <w:ind w:firstLine="0"/>
      </w:pPr>
      <w:r>
        <w:rPr>
          <w:i/>
          <w:sz w:val="20"/>
        </w:rPr>
        <w:t>Источник: корпоративные раскрытия компаний (NI 43-101, JORC), данные геологических служб</w:t>
      </w:r>
    </w:p>
    <w:p>
      <w:pPr>
        <w:pStyle w:val="Heading2"/>
      </w:pPr>
      <w:r>
        <w:rPr>
          <w:b w:val="0"/>
          <w:i w:val="0"/>
        </w:rPr>
        <w:t>2.5. Сырьевая база стран Азии, Африки и Латинской Америки</w:t>
      </w:r>
    </w:p>
    <w:p>
      <w:r>
        <w:rPr>
          <w:b/>
          <w:i w:val="0"/>
        </w:rPr>
        <w:t>Бразилия</w:t>
      </w:r>
      <w:r>
        <w:rPr>
          <w:b w:val="0"/>
          <w:i w:val="0"/>
        </w:rPr>
        <w:t xml:space="preserve"> формально занимает второе место в мире по запасам (21 млн т TREO), однако эта оценка в значительной мере опирается на слабо изученные объекты. Наиболее продвинутые проекты: </w:t>
      </w:r>
      <w:r>
        <w:rPr>
          <w:b/>
          <w:i w:val="0"/>
        </w:rPr>
        <w:t>Serra Verde</w:t>
      </w:r>
      <w:r>
        <w:rPr>
          <w:b w:val="0"/>
          <w:i w:val="0"/>
        </w:rPr>
        <w:t xml:space="preserve"> (Гояс) — единственное за пределами Азии промышленно осваиваемое ионно-адсорбционное месторождение, запущенное в 2024 г. с проектной мощностью около 5 тыс. т TREO в год; </w:t>
      </w:r>
      <w:r>
        <w:rPr>
          <w:b/>
          <w:i w:val="0"/>
        </w:rPr>
        <w:t>Araxá</w:t>
      </w:r>
      <w:r>
        <w:rPr>
          <w:b w:val="0"/>
          <w:i w:val="0"/>
        </w:rPr>
        <w:t xml:space="preserve"> (Минас-Жерайс) — карбонатит с ниобием, разрабатываемый CBMM попутно; </w:t>
      </w:r>
      <w:r>
        <w:rPr>
          <w:b/>
          <w:i w:val="0"/>
        </w:rPr>
        <w:t>Morro do Ferro</w:t>
      </w:r>
      <w:r>
        <w:rPr>
          <w:b w:val="0"/>
          <w:i w:val="0"/>
        </w:rPr>
        <w:t xml:space="preserve">, </w:t>
      </w:r>
      <w:r>
        <w:rPr>
          <w:b/>
          <w:i w:val="0"/>
        </w:rPr>
        <w:t>Pitinga</w:t>
      </w:r>
      <w:r>
        <w:rPr>
          <w:b w:val="0"/>
          <w:i w:val="0"/>
        </w:rPr>
        <w:t xml:space="preserve">, </w:t>
      </w:r>
      <w:r>
        <w:rPr>
          <w:b/>
          <w:i w:val="0"/>
        </w:rPr>
        <w:t>Caldeira</w:t>
      </w:r>
      <w:r>
        <w:rPr>
          <w:b w:val="0"/>
          <w:i w:val="0"/>
        </w:rPr>
        <w:t xml:space="preserve"> (Meteoric Resources) — проекты ионно-адсорбционного типа.</w:t>
      </w:r>
    </w:p>
    <w:p>
      <w:r>
        <w:rPr>
          <w:b/>
          <w:i w:val="0"/>
        </w:rPr>
        <w:t>Индия</w:t>
      </w:r>
      <w:r>
        <w:rPr>
          <w:b w:val="0"/>
          <w:i w:val="0"/>
        </w:rPr>
        <w:t xml:space="preserve"> располагает крупными россыпными монацитовыми ресурсами Кералы, Тамилнада и Одиши. Оператор — государственная компания IREL (India) Limited (ранее Indian Rare Earths Ltd.). Добыча ограничена как торийсодержащим характером сырья (монацит отнесён к «предписанным веществам» в рамках атомного законодательства и находится в исключительной государственной компетенции), так и отсутствием разделительных мощностей в необходимом масштабе.</w:t>
      </w:r>
    </w:p>
    <w:p>
      <w:r>
        <w:rPr>
          <w:b/>
          <w:i w:val="0"/>
        </w:rPr>
        <w:t>Вьетнам</w:t>
      </w:r>
      <w:r>
        <w:rPr>
          <w:b w:val="0"/>
          <w:i w:val="0"/>
        </w:rPr>
        <w:t xml:space="preserve"> — месторождения </w:t>
      </w:r>
      <w:r>
        <w:rPr>
          <w:b/>
          <w:i w:val="0"/>
        </w:rPr>
        <w:t>Донгпао</w:t>
      </w:r>
      <w:r>
        <w:rPr>
          <w:b w:val="0"/>
          <w:i w:val="0"/>
        </w:rPr>
        <w:t xml:space="preserve"> (Лайтяу), </w:t>
      </w:r>
      <w:r>
        <w:rPr>
          <w:b/>
          <w:i w:val="0"/>
        </w:rPr>
        <w:t>Намсе</w:t>
      </w:r>
      <w:r>
        <w:rPr>
          <w:b w:val="0"/>
          <w:i w:val="0"/>
        </w:rPr>
        <w:t xml:space="preserve">, </w:t>
      </w:r>
      <w:r>
        <w:rPr>
          <w:b/>
          <w:i w:val="0"/>
        </w:rPr>
        <w:t>Йенфу</w:t>
      </w:r>
      <w:r>
        <w:rPr>
          <w:b w:val="0"/>
          <w:i w:val="0"/>
        </w:rPr>
        <w:t xml:space="preserve"> (карбонатиты и коры выветривания). Заявленные запасы 3,5 млн т TREO. Многолетние попытки запуска Донгпао с участием японских партнёров (Toyota Tsusho, Sojitz) не привели к промышленному производству; в 2023–2024 гг. отрасль была затронута антикоррупционными расследованиями.</w:t>
      </w:r>
    </w:p>
    <w:p>
      <w:r>
        <w:rPr>
          <w:b/>
          <w:i w:val="0"/>
        </w:rPr>
        <w:t>Мьянма</w:t>
      </w:r>
      <w:r>
        <w:rPr>
          <w:b w:val="0"/>
          <w:i w:val="0"/>
        </w:rPr>
        <w:t xml:space="preserve"> — коры выветривания штата Качин, разрабатываемые с середины 2010-х гг. преимущественно нелегально и полулегально с вывозом сырья в Китай. Официальные оценки запасов отсутствуют. Производство оценивается в 30–40 тыс. т TREO в год, при этом на Мьянму приходится, по различным оценкам, от 40 до 60% мирового предложения диспрозия и тербия. Начиная с октября 2024 г. поставки многократно прерывались вследствие боевых действий и установления контроля над районами добычи вооружёнными формированиями, что становилось непосредственной причиной ценовых скачков на тяжёлые редкие земли.</w:t>
      </w:r>
    </w:p>
    <w:p>
      <w:r>
        <w:rPr>
          <w:b/>
          <w:i w:val="0"/>
        </w:rPr>
        <w:t>Африка.</w:t>
      </w:r>
      <w:r>
        <w:rPr>
          <w:b w:val="0"/>
          <w:i w:val="0"/>
        </w:rPr>
        <w:t xml:space="preserve"> Наиболее продвинутые объекты: </w:t>
      </w:r>
      <w:r>
        <w:rPr>
          <w:b/>
          <w:i w:val="0"/>
        </w:rPr>
        <w:t>Ngualla</w:t>
      </w:r>
      <w:r>
        <w:rPr>
          <w:b w:val="0"/>
          <w:i w:val="0"/>
        </w:rPr>
        <w:t xml:space="preserve"> (Танзания, Peak Rare Earths), </w:t>
      </w:r>
      <w:r>
        <w:rPr>
          <w:b/>
          <w:i w:val="0"/>
        </w:rPr>
        <w:t>Songwe Hill</w:t>
      </w:r>
      <w:r>
        <w:rPr>
          <w:b w:val="0"/>
          <w:i w:val="0"/>
        </w:rPr>
        <w:t xml:space="preserve"> (Малави, Mkango Resources), </w:t>
      </w:r>
      <w:r>
        <w:rPr>
          <w:b/>
          <w:i w:val="0"/>
        </w:rPr>
        <w:t>Steenkampskraal</w:t>
      </w:r>
      <w:r>
        <w:rPr>
          <w:b w:val="0"/>
          <w:i w:val="0"/>
        </w:rPr>
        <w:t xml:space="preserve"> (ЮАР — монацитовое месторождение с исключительно высоким содержанием, до 14% TREO), </w:t>
      </w:r>
      <w:r>
        <w:rPr>
          <w:b/>
          <w:i w:val="0"/>
        </w:rPr>
        <w:t>Lofdal</w:t>
      </w:r>
      <w:r>
        <w:rPr>
          <w:b w:val="0"/>
          <w:i w:val="0"/>
        </w:rPr>
        <w:t xml:space="preserve"> (Намибия, тяжёлая корзина), </w:t>
      </w:r>
      <w:r>
        <w:rPr>
          <w:b/>
          <w:i w:val="0"/>
        </w:rPr>
        <w:t>Gakara</w:t>
      </w:r>
      <w:r>
        <w:rPr>
          <w:b w:val="0"/>
          <w:i w:val="0"/>
        </w:rPr>
        <w:t xml:space="preserve"> (Бурунди), </w:t>
      </w:r>
      <w:r>
        <w:rPr>
          <w:b/>
          <w:i w:val="0"/>
        </w:rPr>
        <w:t>Kangankunde</w:t>
      </w:r>
      <w:r>
        <w:rPr>
          <w:b w:val="0"/>
          <w:i w:val="0"/>
        </w:rPr>
        <w:t xml:space="preserve"> (Малави, Lindian Resources).</w:t>
      </w:r>
    </w:p>
    <w:p>
      <w:r>
        <w:rPr>
          <w:b/>
          <w:i w:val="0"/>
        </w:rPr>
        <w:t>Гренландия.</w:t>
      </w:r>
      <w:r>
        <w:rPr>
          <w:b w:val="0"/>
          <w:i w:val="0"/>
        </w:rPr>
        <w:t xml:space="preserve"> </w:t>
      </w:r>
      <w:r>
        <w:rPr>
          <w:b/>
          <w:i w:val="0"/>
        </w:rPr>
        <w:t>Кванефьельд</w:t>
      </w:r>
      <w:r>
        <w:rPr>
          <w:b w:val="0"/>
          <w:i w:val="0"/>
        </w:rPr>
        <w:t xml:space="preserve"> (Kvanefjeld) — один из крупнейших в мире объектов (более 1 млн т TREO при значительной доле тяжёлой группы), однако проект остановлен после принятия в 2021 г. закона, запрещающего добычу руд с содержанием урана выше 100 г/т. </w:t>
      </w:r>
      <w:r>
        <w:rPr>
          <w:b/>
          <w:i w:val="0"/>
        </w:rPr>
        <w:t>Кринглерне</w:t>
      </w:r>
      <w:r>
        <w:rPr>
          <w:b w:val="0"/>
          <w:i w:val="0"/>
        </w:rPr>
        <w:t xml:space="preserve"> (Tanbreez) — эвдиалитовый объект, не содержащий значимых количеств урана, находится в стадии подготовки.</w:t>
      </w:r>
    </w:p>
    <w:p>
      <w:pPr>
        <w:keepNext/>
        <w:spacing w:before="160" w:after="60"/>
        <w:ind w:firstLine="0"/>
        <w:jc w:val="left"/>
      </w:pPr>
      <w:r>
        <w:rPr>
          <w:b/>
          <w:sz w:val="22"/>
        </w:rPr>
        <w:t>Таблица 13. Редкоземельные проекты стран Азии, Африки и Латинской Америки</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Объект</w:t>
            </w:r>
          </w:p>
        </w:tc>
        <w:tc>
          <w:tcPr>
            <w:tcW w:type="dxa" w:w="1662"/>
            <w:shd w:val="clear" w:fill="DCE6F1"/>
          </w:tcPr>
          <w:p>
            <w:pPr>
              <w:spacing w:after="0" w:line="240" w:lineRule="auto"/>
              <w:ind w:firstLine="0"/>
              <w:jc w:val="center"/>
            </w:pPr>
            <w:r>
              <w:rPr>
                <w:b/>
                <w:i w:val="0"/>
                <w:sz w:val="20"/>
              </w:rPr>
              <w:t>Страна</w:t>
            </w:r>
          </w:p>
        </w:tc>
        <w:tc>
          <w:tcPr>
            <w:tcW w:type="dxa" w:w="1662"/>
            <w:shd w:val="clear" w:fill="DCE6F1"/>
          </w:tcPr>
          <w:p>
            <w:pPr>
              <w:spacing w:after="0" w:line="240" w:lineRule="auto"/>
              <w:ind w:firstLine="0"/>
              <w:jc w:val="center"/>
            </w:pPr>
            <w:r>
              <w:rPr>
                <w:b/>
                <w:i w:val="0"/>
                <w:sz w:val="20"/>
              </w:rPr>
              <w:t>Тип</w:t>
            </w:r>
          </w:p>
        </w:tc>
        <w:tc>
          <w:tcPr>
            <w:tcW w:type="dxa" w:w="1662"/>
            <w:shd w:val="clear" w:fill="DCE6F1"/>
          </w:tcPr>
          <w:p>
            <w:pPr>
              <w:spacing w:after="0" w:line="240" w:lineRule="auto"/>
              <w:ind w:firstLine="0"/>
              <w:jc w:val="center"/>
            </w:pPr>
            <w:r>
              <w:rPr>
                <w:b/>
                <w:i w:val="0"/>
                <w:sz w:val="20"/>
              </w:rPr>
              <w:t>TREO, %</w:t>
            </w:r>
          </w:p>
        </w:tc>
        <w:tc>
          <w:tcPr>
            <w:tcW w:type="dxa" w:w="1662"/>
            <w:shd w:val="clear" w:fill="DCE6F1"/>
          </w:tcPr>
          <w:p>
            <w:pPr>
              <w:spacing w:after="0" w:line="240" w:lineRule="auto"/>
              <w:ind w:firstLine="0"/>
              <w:jc w:val="center"/>
            </w:pPr>
            <w:r>
              <w:rPr>
                <w:b/>
                <w:i w:val="0"/>
                <w:sz w:val="20"/>
              </w:rPr>
              <w:t>Ресурсы, тыс. т TREO</w:t>
            </w:r>
          </w:p>
        </w:tc>
        <w:tc>
          <w:tcPr>
            <w:tcW w:type="dxa" w:w="1662"/>
            <w:shd w:val="clear" w:fill="DCE6F1"/>
          </w:tcPr>
          <w:p>
            <w:pPr>
              <w:spacing w:after="0" w:line="240" w:lineRule="auto"/>
              <w:ind w:firstLine="0"/>
              <w:jc w:val="center"/>
            </w:pPr>
            <w:r>
              <w:rPr>
                <w:b/>
                <w:i w:val="0"/>
                <w:sz w:val="20"/>
              </w:rPr>
              <w:t>Статус (2025)</w:t>
            </w:r>
          </w:p>
        </w:tc>
      </w:tr>
      <w:tr>
        <w:tc>
          <w:tcPr>
            <w:tcW w:type="dxa" w:w="1662"/>
          </w:tcPr>
          <w:p>
            <w:pPr>
              <w:spacing w:after="0" w:line="240" w:lineRule="auto"/>
              <w:ind w:firstLine="0"/>
              <w:jc w:val="left"/>
            </w:pPr>
            <w:r>
              <w:rPr>
                <w:b w:val="0"/>
                <w:i w:val="0"/>
                <w:sz w:val="20"/>
              </w:rPr>
              <w:t>Serra Verde</w:t>
            </w:r>
          </w:p>
        </w:tc>
        <w:tc>
          <w:tcPr>
            <w:tcW w:type="dxa" w:w="1662"/>
          </w:tcPr>
          <w:p>
            <w:pPr>
              <w:spacing w:after="0" w:line="240" w:lineRule="auto"/>
              <w:ind w:firstLine="0"/>
              <w:jc w:val="center"/>
            </w:pPr>
            <w:r>
              <w:rPr>
                <w:b w:val="0"/>
                <w:i w:val="0"/>
                <w:sz w:val="20"/>
              </w:rPr>
              <w:t>Бразилия</w:t>
            </w:r>
          </w:p>
        </w:tc>
        <w:tc>
          <w:tcPr>
            <w:tcW w:type="dxa" w:w="1662"/>
          </w:tcPr>
          <w:p>
            <w:pPr>
              <w:spacing w:after="0" w:line="240" w:lineRule="auto"/>
              <w:ind w:firstLine="0"/>
              <w:jc w:val="center"/>
            </w:pPr>
            <w:r>
              <w:rPr>
                <w:b w:val="0"/>
                <w:i w:val="0"/>
                <w:sz w:val="20"/>
              </w:rPr>
              <w:t>ионно-адсорбц.</w:t>
            </w:r>
          </w:p>
        </w:tc>
        <w:tc>
          <w:tcPr>
            <w:tcW w:type="dxa" w:w="1662"/>
          </w:tcPr>
          <w:p>
            <w:pPr>
              <w:spacing w:after="0" w:line="240" w:lineRule="auto"/>
              <w:ind w:firstLine="0"/>
              <w:jc w:val="center"/>
            </w:pPr>
            <w:r>
              <w:rPr>
                <w:b w:val="0"/>
                <w:i w:val="0"/>
                <w:sz w:val="20"/>
              </w:rPr>
              <w:t>0,15</w:t>
            </w:r>
          </w:p>
        </w:tc>
        <w:tc>
          <w:tcPr>
            <w:tcW w:type="dxa" w:w="1662"/>
          </w:tcPr>
          <w:p>
            <w:pPr>
              <w:spacing w:after="0" w:line="240" w:lineRule="auto"/>
              <w:ind w:firstLine="0"/>
              <w:jc w:val="center"/>
            </w:pPr>
            <w:r>
              <w:rPr>
                <w:b w:val="0"/>
                <w:i w:val="0"/>
                <w:sz w:val="20"/>
              </w:rPr>
              <w:t>800–1 000</w:t>
            </w:r>
          </w:p>
        </w:tc>
        <w:tc>
          <w:tcPr>
            <w:tcW w:type="dxa" w:w="1662"/>
          </w:tcPr>
          <w:p>
            <w:pPr>
              <w:spacing w:after="0" w:line="240" w:lineRule="auto"/>
              <w:ind w:firstLine="0"/>
              <w:jc w:val="center"/>
            </w:pPr>
            <w:r>
              <w:rPr>
                <w:b w:val="0"/>
                <w:i w:val="0"/>
                <w:sz w:val="20"/>
              </w:rPr>
              <w:t>производство</w:t>
            </w:r>
          </w:p>
        </w:tc>
      </w:tr>
      <w:tr>
        <w:tc>
          <w:tcPr>
            <w:tcW w:type="dxa" w:w="1662"/>
          </w:tcPr>
          <w:p>
            <w:pPr>
              <w:spacing w:after="0" w:line="240" w:lineRule="auto"/>
              <w:ind w:firstLine="0"/>
              <w:jc w:val="left"/>
            </w:pPr>
            <w:r>
              <w:rPr>
                <w:b w:val="0"/>
                <w:i w:val="0"/>
                <w:sz w:val="20"/>
              </w:rPr>
              <w:t>Araxá</w:t>
            </w:r>
          </w:p>
        </w:tc>
        <w:tc>
          <w:tcPr>
            <w:tcW w:type="dxa" w:w="1662"/>
          </w:tcPr>
          <w:p>
            <w:pPr>
              <w:spacing w:after="0" w:line="240" w:lineRule="auto"/>
              <w:ind w:firstLine="0"/>
              <w:jc w:val="center"/>
            </w:pPr>
            <w:r>
              <w:rPr>
                <w:b w:val="0"/>
                <w:i w:val="0"/>
                <w:sz w:val="20"/>
              </w:rPr>
              <w:t>Бразилия</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4,0</w:t>
            </w:r>
          </w:p>
        </w:tc>
        <w:tc>
          <w:tcPr>
            <w:tcW w:type="dxa" w:w="1662"/>
          </w:tcPr>
          <w:p>
            <w:pPr>
              <w:spacing w:after="0" w:line="240" w:lineRule="auto"/>
              <w:ind w:firstLine="0"/>
              <w:jc w:val="center"/>
            </w:pPr>
            <w:r>
              <w:rPr>
                <w:b w:val="0"/>
                <w:i w:val="0"/>
                <w:sz w:val="20"/>
              </w:rPr>
              <w:t>1 500–2 500</w:t>
            </w:r>
          </w:p>
        </w:tc>
        <w:tc>
          <w:tcPr>
            <w:tcW w:type="dxa" w:w="1662"/>
          </w:tcPr>
          <w:p>
            <w:pPr>
              <w:spacing w:after="0" w:line="240" w:lineRule="auto"/>
              <w:ind w:firstLine="0"/>
              <w:jc w:val="center"/>
            </w:pPr>
            <w:r>
              <w:rPr>
                <w:b w:val="0"/>
                <w:i w:val="0"/>
                <w:sz w:val="20"/>
              </w:rPr>
              <w:t>попутное произв.</w:t>
            </w:r>
          </w:p>
        </w:tc>
      </w:tr>
      <w:tr>
        <w:tc>
          <w:tcPr>
            <w:tcW w:type="dxa" w:w="1662"/>
          </w:tcPr>
          <w:p>
            <w:pPr>
              <w:spacing w:after="0" w:line="240" w:lineRule="auto"/>
              <w:ind w:firstLine="0"/>
              <w:jc w:val="left"/>
            </w:pPr>
            <w:r>
              <w:rPr>
                <w:b w:val="0"/>
                <w:i w:val="0"/>
                <w:sz w:val="20"/>
              </w:rPr>
              <w:t>Caldeira</w:t>
            </w:r>
          </w:p>
        </w:tc>
        <w:tc>
          <w:tcPr>
            <w:tcW w:type="dxa" w:w="1662"/>
          </w:tcPr>
          <w:p>
            <w:pPr>
              <w:spacing w:after="0" w:line="240" w:lineRule="auto"/>
              <w:ind w:firstLine="0"/>
              <w:jc w:val="center"/>
            </w:pPr>
            <w:r>
              <w:rPr>
                <w:b w:val="0"/>
                <w:i w:val="0"/>
                <w:sz w:val="20"/>
              </w:rPr>
              <w:t>Бразилия</w:t>
            </w:r>
          </w:p>
        </w:tc>
        <w:tc>
          <w:tcPr>
            <w:tcW w:type="dxa" w:w="1662"/>
          </w:tcPr>
          <w:p>
            <w:pPr>
              <w:spacing w:after="0" w:line="240" w:lineRule="auto"/>
              <w:ind w:firstLine="0"/>
              <w:jc w:val="center"/>
            </w:pPr>
            <w:r>
              <w:rPr>
                <w:b w:val="0"/>
                <w:i w:val="0"/>
                <w:sz w:val="20"/>
              </w:rPr>
              <w:t>ионно-адсорбц.</w:t>
            </w:r>
          </w:p>
        </w:tc>
        <w:tc>
          <w:tcPr>
            <w:tcW w:type="dxa" w:w="1662"/>
          </w:tcPr>
          <w:p>
            <w:pPr>
              <w:spacing w:after="0" w:line="240" w:lineRule="auto"/>
              <w:ind w:firstLine="0"/>
              <w:jc w:val="center"/>
            </w:pPr>
            <w:r>
              <w:rPr>
                <w:b w:val="0"/>
                <w:i w:val="0"/>
                <w:sz w:val="20"/>
              </w:rPr>
              <w:t>0,25</w:t>
            </w:r>
          </w:p>
        </w:tc>
        <w:tc>
          <w:tcPr>
            <w:tcW w:type="dxa" w:w="1662"/>
          </w:tcPr>
          <w:p>
            <w:pPr>
              <w:spacing w:after="0" w:line="240" w:lineRule="auto"/>
              <w:ind w:firstLine="0"/>
              <w:jc w:val="center"/>
            </w:pPr>
            <w:r>
              <w:rPr>
                <w:b w:val="0"/>
                <w:i w:val="0"/>
                <w:sz w:val="20"/>
              </w:rPr>
              <w:t>400–600</w:t>
            </w:r>
          </w:p>
        </w:tc>
        <w:tc>
          <w:tcPr>
            <w:tcW w:type="dxa" w:w="1662"/>
          </w:tcPr>
          <w:p>
            <w:pPr>
              <w:spacing w:after="0" w:line="240" w:lineRule="auto"/>
              <w:ind w:firstLine="0"/>
              <w:jc w:val="center"/>
            </w:pPr>
            <w:r>
              <w:rPr>
                <w:b w:val="0"/>
                <w:i w:val="0"/>
                <w:sz w:val="20"/>
              </w:rPr>
              <w:t>проект</w:t>
            </w:r>
          </w:p>
        </w:tc>
      </w:tr>
      <w:tr>
        <w:tc>
          <w:tcPr>
            <w:tcW w:type="dxa" w:w="1662"/>
          </w:tcPr>
          <w:p>
            <w:pPr>
              <w:spacing w:after="0" w:line="240" w:lineRule="auto"/>
              <w:ind w:firstLine="0"/>
              <w:jc w:val="left"/>
            </w:pPr>
            <w:r>
              <w:rPr>
                <w:b w:val="0"/>
                <w:i w:val="0"/>
                <w:sz w:val="20"/>
              </w:rPr>
              <w:t>Chavara, Manavalakurichi</w:t>
            </w:r>
          </w:p>
        </w:tc>
        <w:tc>
          <w:tcPr>
            <w:tcW w:type="dxa" w:w="1662"/>
          </w:tcPr>
          <w:p>
            <w:pPr>
              <w:spacing w:after="0" w:line="240" w:lineRule="auto"/>
              <w:ind w:firstLine="0"/>
              <w:jc w:val="center"/>
            </w:pPr>
            <w:r>
              <w:rPr>
                <w:b w:val="0"/>
                <w:i w:val="0"/>
                <w:sz w:val="20"/>
              </w:rPr>
              <w:t>Индия</w:t>
            </w:r>
          </w:p>
        </w:tc>
        <w:tc>
          <w:tcPr>
            <w:tcW w:type="dxa" w:w="1662"/>
          </w:tcPr>
          <w:p>
            <w:pPr>
              <w:spacing w:after="0" w:line="240" w:lineRule="auto"/>
              <w:ind w:firstLine="0"/>
              <w:jc w:val="center"/>
            </w:pPr>
            <w:r>
              <w:rPr>
                <w:b w:val="0"/>
                <w:i w:val="0"/>
                <w:sz w:val="20"/>
              </w:rPr>
              <w:t>россыпи</w:t>
            </w:r>
          </w:p>
        </w:tc>
        <w:tc>
          <w:tcPr>
            <w:tcW w:type="dxa" w:w="1662"/>
          </w:tcPr>
          <w:p>
            <w:pPr>
              <w:spacing w:after="0" w:line="240" w:lineRule="auto"/>
              <w:ind w:firstLine="0"/>
              <w:jc w:val="center"/>
            </w:pPr>
            <w:r>
              <w:rPr>
                <w:b w:val="0"/>
                <w:i w:val="0"/>
                <w:sz w:val="20"/>
              </w:rPr>
              <w:t>0,5–1,5</w:t>
            </w:r>
          </w:p>
        </w:tc>
        <w:tc>
          <w:tcPr>
            <w:tcW w:type="dxa" w:w="1662"/>
          </w:tcPr>
          <w:p>
            <w:pPr>
              <w:spacing w:after="0" w:line="240" w:lineRule="auto"/>
              <w:ind w:firstLine="0"/>
              <w:jc w:val="center"/>
            </w:pPr>
            <w:r>
              <w:rPr>
                <w:b w:val="0"/>
                <w:i w:val="0"/>
                <w:sz w:val="20"/>
              </w:rPr>
              <w:t>1 500–2 500</w:t>
            </w:r>
          </w:p>
        </w:tc>
        <w:tc>
          <w:tcPr>
            <w:tcW w:type="dxa" w:w="1662"/>
          </w:tcPr>
          <w:p>
            <w:pPr>
              <w:spacing w:after="0" w:line="240" w:lineRule="auto"/>
              <w:ind w:firstLine="0"/>
              <w:jc w:val="center"/>
            </w:pPr>
            <w:r>
              <w:rPr>
                <w:b w:val="0"/>
                <w:i w:val="0"/>
                <w:sz w:val="20"/>
              </w:rPr>
              <w:t>производство</w:t>
            </w:r>
          </w:p>
        </w:tc>
      </w:tr>
      <w:tr>
        <w:tc>
          <w:tcPr>
            <w:tcW w:type="dxa" w:w="1662"/>
          </w:tcPr>
          <w:p>
            <w:pPr>
              <w:spacing w:after="0" w:line="240" w:lineRule="auto"/>
              <w:ind w:firstLine="0"/>
              <w:jc w:val="left"/>
            </w:pPr>
            <w:r>
              <w:rPr>
                <w:b w:val="0"/>
                <w:i w:val="0"/>
                <w:sz w:val="20"/>
              </w:rPr>
              <w:t>Донгпао</w:t>
            </w:r>
          </w:p>
        </w:tc>
        <w:tc>
          <w:tcPr>
            <w:tcW w:type="dxa" w:w="1662"/>
          </w:tcPr>
          <w:p>
            <w:pPr>
              <w:spacing w:after="0" w:line="240" w:lineRule="auto"/>
              <w:ind w:firstLine="0"/>
              <w:jc w:val="center"/>
            </w:pPr>
            <w:r>
              <w:rPr>
                <w:b w:val="0"/>
                <w:i w:val="0"/>
                <w:sz w:val="20"/>
              </w:rPr>
              <w:t>Вьетнам</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2,5–4,0</w:t>
            </w:r>
          </w:p>
        </w:tc>
        <w:tc>
          <w:tcPr>
            <w:tcW w:type="dxa" w:w="1662"/>
          </w:tcPr>
          <w:p>
            <w:pPr>
              <w:spacing w:after="0" w:line="240" w:lineRule="auto"/>
              <w:ind w:firstLine="0"/>
              <w:jc w:val="center"/>
            </w:pPr>
            <w:r>
              <w:rPr>
                <w:b w:val="0"/>
                <w:i w:val="0"/>
                <w:sz w:val="20"/>
              </w:rPr>
              <w:t>700–1 000</w:t>
            </w:r>
          </w:p>
        </w:tc>
        <w:tc>
          <w:tcPr>
            <w:tcW w:type="dxa" w:w="1662"/>
          </w:tcPr>
          <w:p>
            <w:pPr>
              <w:spacing w:after="0" w:line="240" w:lineRule="auto"/>
              <w:ind w:firstLine="0"/>
              <w:jc w:val="center"/>
            </w:pPr>
            <w:r>
              <w:rPr>
                <w:b w:val="0"/>
                <w:i w:val="0"/>
                <w:sz w:val="20"/>
              </w:rPr>
              <w:t>проект</w:t>
            </w:r>
          </w:p>
        </w:tc>
      </w:tr>
      <w:tr>
        <w:tc>
          <w:tcPr>
            <w:tcW w:type="dxa" w:w="1662"/>
          </w:tcPr>
          <w:p>
            <w:pPr>
              <w:spacing w:after="0" w:line="240" w:lineRule="auto"/>
              <w:ind w:firstLine="0"/>
              <w:jc w:val="left"/>
            </w:pPr>
            <w:r>
              <w:rPr>
                <w:b w:val="0"/>
                <w:i w:val="0"/>
                <w:sz w:val="20"/>
              </w:rPr>
              <w:t>Качинские объекты</w:t>
            </w:r>
          </w:p>
        </w:tc>
        <w:tc>
          <w:tcPr>
            <w:tcW w:type="dxa" w:w="1662"/>
          </w:tcPr>
          <w:p>
            <w:pPr>
              <w:spacing w:after="0" w:line="240" w:lineRule="auto"/>
              <w:ind w:firstLine="0"/>
              <w:jc w:val="center"/>
            </w:pPr>
            <w:r>
              <w:rPr>
                <w:b w:val="0"/>
                <w:i w:val="0"/>
                <w:sz w:val="20"/>
              </w:rPr>
              <w:t>Мьянма</w:t>
            </w:r>
          </w:p>
        </w:tc>
        <w:tc>
          <w:tcPr>
            <w:tcW w:type="dxa" w:w="1662"/>
          </w:tcPr>
          <w:p>
            <w:pPr>
              <w:spacing w:after="0" w:line="240" w:lineRule="auto"/>
              <w:ind w:firstLine="0"/>
              <w:jc w:val="center"/>
            </w:pPr>
            <w:r>
              <w:rPr>
                <w:b w:val="0"/>
                <w:i w:val="0"/>
                <w:sz w:val="20"/>
              </w:rPr>
              <w:t>ионно-адсорбц.</w:t>
            </w:r>
          </w:p>
        </w:tc>
        <w:tc>
          <w:tcPr>
            <w:tcW w:type="dxa" w:w="1662"/>
          </w:tcPr>
          <w:p>
            <w:pPr>
              <w:spacing w:after="0" w:line="240" w:lineRule="auto"/>
              <w:ind w:firstLine="0"/>
              <w:jc w:val="center"/>
            </w:pPr>
            <w:r>
              <w:rPr>
                <w:b w:val="0"/>
                <w:i w:val="0"/>
                <w:sz w:val="20"/>
              </w:rPr>
              <w:t>0,05–0,2</w:t>
            </w:r>
          </w:p>
        </w:tc>
        <w:tc>
          <w:tcPr>
            <w:tcW w:type="dxa" w:w="1662"/>
          </w:tcPr>
          <w:p>
            <w:pPr>
              <w:spacing w:after="0" w:line="240" w:lineRule="auto"/>
              <w:ind w:firstLine="0"/>
              <w:jc w:val="center"/>
            </w:pPr>
            <w:r>
              <w:rPr>
                <w:b w:val="0"/>
                <w:i w:val="0"/>
                <w:sz w:val="20"/>
              </w:rPr>
              <w:t>н/д</w:t>
            </w:r>
          </w:p>
        </w:tc>
        <w:tc>
          <w:tcPr>
            <w:tcW w:type="dxa" w:w="1662"/>
          </w:tcPr>
          <w:p>
            <w:pPr>
              <w:spacing w:after="0" w:line="240" w:lineRule="auto"/>
              <w:ind w:firstLine="0"/>
              <w:jc w:val="center"/>
            </w:pPr>
            <w:r>
              <w:rPr>
                <w:b w:val="0"/>
                <w:i w:val="0"/>
                <w:sz w:val="20"/>
              </w:rPr>
              <w:t>производство</w:t>
            </w:r>
          </w:p>
        </w:tc>
      </w:tr>
      <w:tr>
        <w:tc>
          <w:tcPr>
            <w:tcW w:type="dxa" w:w="1662"/>
          </w:tcPr>
          <w:p>
            <w:pPr>
              <w:spacing w:after="0" w:line="240" w:lineRule="auto"/>
              <w:ind w:firstLine="0"/>
              <w:jc w:val="left"/>
            </w:pPr>
            <w:r>
              <w:rPr>
                <w:b w:val="0"/>
                <w:i w:val="0"/>
                <w:sz w:val="20"/>
              </w:rPr>
              <w:t>Ngualla</w:t>
            </w:r>
          </w:p>
        </w:tc>
        <w:tc>
          <w:tcPr>
            <w:tcW w:type="dxa" w:w="1662"/>
          </w:tcPr>
          <w:p>
            <w:pPr>
              <w:spacing w:after="0" w:line="240" w:lineRule="auto"/>
              <w:ind w:firstLine="0"/>
              <w:jc w:val="center"/>
            </w:pPr>
            <w:r>
              <w:rPr>
                <w:b w:val="0"/>
                <w:i w:val="0"/>
                <w:sz w:val="20"/>
              </w:rPr>
              <w:t>Танзания</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4,8</w:t>
            </w:r>
          </w:p>
        </w:tc>
        <w:tc>
          <w:tcPr>
            <w:tcW w:type="dxa" w:w="1662"/>
          </w:tcPr>
          <w:p>
            <w:pPr>
              <w:spacing w:after="0" w:line="240" w:lineRule="auto"/>
              <w:ind w:firstLine="0"/>
              <w:jc w:val="center"/>
            </w:pPr>
            <w:r>
              <w:rPr>
                <w:b w:val="0"/>
                <w:i w:val="0"/>
                <w:sz w:val="20"/>
              </w:rPr>
              <w:t>800–900</w:t>
            </w:r>
          </w:p>
        </w:tc>
        <w:tc>
          <w:tcPr>
            <w:tcW w:type="dxa" w:w="1662"/>
          </w:tcPr>
          <w:p>
            <w:pPr>
              <w:spacing w:after="0" w:line="240" w:lineRule="auto"/>
              <w:ind w:firstLine="0"/>
              <w:jc w:val="center"/>
            </w:pPr>
            <w:r>
              <w:rPr>
                <w:b w:val="0"/>
                <w:i w:val="0"/>
                <w:sz w:val="20"/>
              </w:rPr>
              <w:t>строительство</w:t>
            </w:r>
          </w:p>
        </w:tc>
      </w:tr>
      <w:tr>
        <w:tc>
          <w:tcPr>
            <w:tcW w:type="dxa" w:w="1662"/>
          </w:tcPr>
          <w:p>
            <w:pPr>
              <w:spacing w:after="0" w:line="240" w:lineRule="auto"/>
              <w:ind w:firstLine="0"/>
              <w:jc w:val="left"/>
            </w:pPr>
            <w:r>
              <w:rPr>
                <w:b w:val="0"/>
                <w:i w:val="0"/>
                <w:sz w:val="20"/>
              </w:rPr>
              <w:t>Songwe Hill</w:t>
            </w:r>
          </w:p>
        </w:tc>
        <w:tc>
          <w:tcPr>
            <w:tcW w:type="dxa" w:w="1662"/>
          </w:tcPr>
          <w:p>
            <w:pPr>
              <w:spacing w:after="0" w:line="240" w:lineRule="auto"/>
              <w:ind w:firstLine="0"/>
              <w:jc w:val="center"/>
            </w:pPr>
            <w:r>
              <w:rPr>
                <w:b w:val="0"/>
                <w:i w:val="0"/>
                <w:sz w:val="20"/>
              </w:rPr>
              <w:t>Малави</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1,6</w:t>
            </w:r>
          </w:p>
        </w:tc>
        <w:tc>
          <w:tcPr>
            <w:tcW w:type="dxa" w:w="1662"/>
          </w:tcPr>
          <w:p>
            <w:pPr>
              <w:spacing w:after="0" w:line="240" w:lineRule="auto"/>
              <w:ind w:firstLine="0"/>
              <w:jc w:val="center"/>
            </w:pPr>
            <w:r>
              <w:rPr>
                <w:b w:val="0"/>
                <w:i w:val="0"/>
                <w:sz w:val="20"/>
              </w:rPr>
              <w:t>250–350</w:t>
            </w:r>
          </w:p>
        </w:tc>
        <w:tc>
          <w:tcPr>
            <w:tcW w:type="dxa" w:w="1662"/>
          </w:tcPr>
          <w:p>
            <w:pPr>
              <w:spacing w:after="0" w:line="240" w:lineRule="auto"/>
              <w:ind w:firstLine="0"/>
              <w:jc w:val="center"/>
            </w:pPr>
            <w:r>
              <w:rPr>
                <w:b w:val="0"/>
                <w:i w:val="0"/>
                <w:sz w:val="20"/>
              </w:rPr>
              <w:t>проект</w:t>
            </w:r>
          </w:p>
        </w:tc>
      </w:tr>
      <w:tr>
        <w:tc>
          <w:tcPr>
            <w:tcW w:type="dxa" w:w="1662"/>
          </w:tcPr>
          <w:p>
            <w:pPr>
              <w:spacing w:after="0" w:line="240" w:lineRule="auto"/>
              <w:ind w:firstLine="0"/>
              <w:jc w:val="left"/>
            </w:pPr>
            <w:r>
              <w:rPr>
                <w:b w:val="0"/>
                <w:i w:val="0"/>
                <w:sz w:val="20"/>
              </w:rPr>
              <w:t>Steenkampskraal</w:t>
            </w:r>
          </w:p>
        </w:tc>
        <w:tc>
          <w:tcPr>
            <w:tcW w:type="dxa" w:w="1662"/>
          </w:tcPr>
          <w:p>
            <w:pPr>
              <w:spacing w:after="0" w:line="240" w:lineRule="auto"/>
              <w:ind w:firstLine="0"/>
              <w:jc w:val="center"/>
            </w:pPr>
            <w:r>
              <w:rPr>
                <w:b w:val="0"/>
                <w:i w:val="0"/>
                <w:sz w:val="20"/>
              </w:rPr>
              <w:t>ЮАР</w:t>
            </w:r>
          </w:p>
        </w:tc>
        <w:tc>
          <w:tcPr>
            <w:tcW w:type="dxa" w:w="1662"/>
          </w:tcPr>
          <w:p>
            <w:pPr>
              <w:spacing w:after="0" w:line="240" w:lineRule="auto"/>
              <w:ind w:firstLine="0"/>
              <w:jc w:val="center"/>
            </w:pPr>
            <w:r>
              <w:rPr>
                <w:b w:val="0"/>
                <w:i w:val="0"/>
                <w:sz w:val="20"/>
              </w:rPr>
              <w:t>монацит</w:t>
            </w:r>
          </w:p>
        </w:tc>
        <w:tc>
          <w:tcPr>
            <w:tcW w:type="dxa" w:w="1662"/>
          </w:tcPr>
          <w:p>
            <w:pPr>
              <w:spacing w:after="0" w:line="240" w:lineRule="auto"/>
              <w:ind w:firstLine="0"/>
              <w:jc w:val="center"/>
            </w:pPr>
            <w:r>
              <w:rPr>
                <w:b w:val="0"/>
                <w:i w:val="0"/>
                <w:sz w:val="20"/>
              </w:rPr>
              <w:t>14,0</w:t>
            </w:r>
          </w:p>
        </w:tc>
        <w:tc>
          <w:tcPr>
            <w:tcW w:type="dxa" w:w="1662"/>
          </w:tcPr>
          <w:p>
            <w:pPr>
              <w:spacing w:after="0" w:line="240" w:lineRule="auto"/>
              <w:ind w:firstLine="0"/>
              <w:jc w:val="center"/>
            </w:pPr>
            <w:r>
              <w:rPr>
                <w:b w:val="0"/>
                <w:i w:val="0"/>
                <w:sz w:val="20"/>
              </w:rPr>
              <w:t>80–120</w:t>
            </w:r>
          </w:p>
        </w:tc>
        <w:tc>
          <w:tcPr>
            <w:tcW w:type="dxa" w:w="1662"/>
          </w:tcPr>
          <w:p>
            <w:pPr>
              <w:spacing w:after="0" w:line="240" w:lineRule="auto"/>
              <w:ind w:firstLine="0"/>
              <w:jc w:val="center"/>
            </w:pPr>
            <w:r>
              <w:rPr>
                <w:b w:val="0"/>
                <w:i w:val="0"/>
                <w:sz w:val="20"/>
              </w:rPr>
              <w:t>проект</w:t>
            </w:r>
          </w:p>
        </w:tc>
      </w:tr>
      <w:tr>
        <w:tc>
          <w:tcPr>
            <w:tcW w:type="dxa" w:w="1662"/>
          </w:tcPr>
          <w:p>
            <w:pPr>
              <w:spacing w:after="0" w:line="240" w:lineRule="auto"/>
              <w:ind w:firstLine="0"/>
              <w:jc w:val="left"/>
            </w:pPr>
            <w:r>
              <w:rPr>
                <w:b w:val="0"/>
                <w:i w:val="0"/>
                <w:sz w:val="20"/>
              </w:rPr>
              <w:t>Lofdal</w:t>
            </w:r>
          </w:p>
        </w:tc>
        <w:tc>
          <w:tcPr>
            <w:tcW w:type="dxa" w:w="1662"/>
          </w:tcPr>
          <w:p>
            <w:pPr>
              <w:spacing w:after="0" w:line="240" w:lineRule="auto"/>
              <w:ind w:firstLine="0"/>
              <w:jc w:val="center"/>
            </w:pPr>
            <w:r>
              <w:rPr>
                <w:b w:val="0"/>
                <w:i w:val="0"/>
                <w:sz w:val="20"/>
              </w:rPr>
              <w:t>Намибия</w:t>
            </w:r>
          </w:p>
        </w:tc>
        <w:tc>
          <w:tcPr>
            <w:tcW w:type="dxa" w:w="1662"/>
          </w:tcPr>
          <w:p>
            <w:pPr>
              <w:spacing w:after="0" w:line="240" w:lineRule="auto"/>
              <w:ind w:firstLine="0"/>
              <w:jc w:val="center"/>
            </w:pPr>
            <w:r>
              <w:rPr>
                <w:b w:val="0"/>
                <w:i w:val="0"/>
                <w:sz w:val="20"/>
              </w:rPr>
              <w:t>ксенотим</w:t>
            </w:r>
          </w:p>
        </w:tc>
        <w:tc>
          <w:tcPr>
            <w:tcW w:type="dxa" w:w="1662"/>
          </w:tcPr>
          <w:p>
            <w:pPr>
              <w:spacing w:after="0" w:line="240" w:lineRule="auto"/>
              <w:ind w:firstLine="0"/>
              <w:jc w:val="center"/>
            </w:pPr>
            <w:r>
              <w:rPr>
                <w:b w:val="0"/>
                <w:i w:val="0"/>
                <w:sz w:val="20"/>
              </w:rPr>
              <w:t>0,3</w:t>
            </w:r>
          </w:p>
        </w:tc>
        <w:tc>
          <w:tcPr>
            <w:tcW w:type="dxa" w:w="1662"/>
          </w:tcPr>
          <w:p>
            <w:pPr>
              <w:spacing w:after="0" w:line="240" w:lineRule="auto"/>
              <w:ind w:firstLine="0"/>
              <w:jc w:val="center"/>
            </w:pPr>
            <w:r>
              <w:rPr>
                <w:b w:val="0"/>
                <w:i w:val="0"/>
                <w:sz w:val="20"/>
              </w:rPr>
              <w:t>60–100</w:t>
            </w:r>
          </w:p>
        </w:tc>
        <w:tc>
          <w:tcPr>
            <w:tcW w:type="dxa" w:w="1662"/>
          </w:tcPr>
          <w:p>
            <w:pPr>
              <w:spacing w:after="0" w:line="240" w:lineRule="auto"/>
              <w:ind w:firstLine="0"/>
              <w:jc w:val="center"/>
            </w:pPr>
            <w:r>
              <w:rPr>
                <w:b w:val="0"/>
                <w:i w:val="0"/>
                <w:sz w:val="20"/>
              </w:rPr>
              <w:t>проект</w:t>
            </w:r>
          </w:p>
        </w:tc>
      </w:tr>
      <w:tr>
        <w:tc>
          <w:tcPr>
            <w:tcW w:type="dxa" w:w="1662"/>
          </w:tcPr>
          <w:p>
            <w:pPr>
              <w:spacing w:after="0" w:line="240" w:lineRule="auto"/>
              <w:ind w:firstLine="0"/>
              <w:jc w:val="left"/>
            </w:pPr>
            <w:r>
              <w:rPr>
                <w:b w:val="0"/>
                <w:i w:val="0"/>
                <w:sz w:val="20"/>
              </w:rPr>
              <w:t>Kvanefjeld</w:t>
            </w:r>
          </w:p>
        </w:tc>
        <w:tc>
          <w:tcPr>
            <w:tcW w:type="dxa" w:w="1662"/>
          </w:tcPr>
          <w:p>
            <w:pPr>
              <w:spacing w:after="0" w:line="240" w:lineRule="auto"/>
              <w:ind w:firstLine="0"/>
              <w:jc w:val="center"/>
            </w:pPr>
            <w:r>
              <w:rPr>
                <w:b w:val="0"/>
                <w:i w:val="0"/>
                <w:sz w:val="20"/>
              </w:rPr>
              <w:t>Гренландия</w:t>
            </w:r>
          </w:p>
        </w:tc>
        <w:tc>
          <w:tcPr>
            <w:tcW w:type="dxa" w:w="1662"/>
          </w:tcPr>
          <w:p>
            <w:pPr>
              <w:spacing w:after="0" w:line="240" w:lineRule="auto"/>
              <w:ind w:firstLine="0"/>
              <w:jc w:val="center"/>
            </w:pPr>
            <w:r>
              <w:rPr>
                <w:b w:val="0"/>
                <w:i w:val="0"/>
                <w:sz w:val="20"/>
              </w:rPr>
              <w:t>щелочной</w:t>
            </w:r>
          </w:p>
        </w:tc>
        <w:tc>
          <w:tcPr>
            <w:tcW w:type="dxa" w:w="1662"/>
          </w:tcPr>
          <w:p>
            <w:pPr>
              <w:spacing w:after="0" w:line="240" w:lineRule="auto"/>
              <w:ind w:firstLine="0"/>
              <w:jc w:val="center"/>
            </w:pPr>
            <w:r>
              <w:rPr>
                <w:b w:val="0"/>
                <w:i w:val="0"/>
                <w:sz w:val="20"/>
              </w:rPr>
              <w:t>1,1</w:t>
            </w:r>
          </w:p>
        </w:tc>
        <w:tc>
          <w:tcPr>
            <w:tcW w:type="dxa" w:w="1662"/>
          </w:tcPr>
          <w:p>
            <w:pPr>
              <w:spacing w:after="0" w:line="240" w:lineRule="auto"/>
              <w:ind w:firstLine="0"/>
              <w:jc w:val="center"/>
            </w:pPr>
            <w:r>
              <w:rPr>
                <w:b w:val="0"/>
                <w:i w:val="0"/>
                <w:sz w:val="20"/>
              </w:rPr>
              <w:t>1 000–1 500</w:t>
            </w:r>
          </w:p>
        </w:tc>
        <w:tc>
          <w:tcPr>
            <w:tcW w:type="dxa" w:w="1662"/>
          </w:tcPr>
          <w:p>
            <w:pPr>
              <w:spacing w:after="0" w:line="240" w:lineRule="auto"/>
              <w:ind w:firstLine="0"/>
              <w:jc w:val="center"/>
            </w:pPr>
            <w:r>
              <w:rPr>
                <w:b w:val="0"/>
                <w:i w:val="0"/>
                <w:sz w:val="20"/>
              </w:rPr>
              <w:t>запрещён</w:t>
            </w:r>
          </w:p>
        </w:tc>
      </w:tr>
      <w:tr>
        <w:tc>
          <w:tcPr>
            <w:tcW w:type="dxa" w:w="1662"/>
          </w:tcPr>
          <w:p>
            <w:pPr>
              <w:spacing w:after="0" w:line="240" w:lineRule="auto"/>
              <w:ind w:firstLine="0"/>
              <w:jc w:val="left"/>
            </w:pPr>
            <w:r>
              <w:rPr>
                <w:b w:val="0"/>
                <w:i w:val="0"/>
                <w:sz w:val="20"/>
              </w:rPr>
              <w:t>Tanbreez (Кринглерне)</w:t>
            </w:r>
          </w:p>
        </w:tc>
        <w:tc>
          <w:tcPr>
            <w:tcW w:type="dxa" w:w="1662"/>
          </w:tcPr>
          <w:p>
            <w:pPr>
              <w:spacing w:after="0" w:line="240" w:lineRule="auto"/>
              <w:ind w:firstLine="0"/>
              <w:jc w:val="center"/>
            </w:pPr>
            <w:r>
              <w:rPr>
                <w:b w:val="0"/>
                <w:i w:val="0"/>
                <w:sz w:val="20"/>
              </w:rPr>
              <w:t>Гренландия</w:t>
            </w:r>
          </w:p>
        </w:tc>
        <w:tc>
          <w:tcPr>
            <w:tcW w:type="dxa" w:w="1662"/>
          </w:tcPr>
          <w:p>
            <w:pPr>
              <w:spacing w:after="0" w:line="240" w:lineRule="auto"/>
              <w:ind w:firstLine="0"/>
              <w:jc w:val="center"/>
            </w:pPr>
            <w:r>
              <w:rPr>
                <w:b w:val="0"/>
                <w:i w:val="0"/>
                <w:sz w:val="20"/>
              </w:rPr>
              <w:t>эвдиалит</w:t>
            </w:r>
          </w:p>
        </w:tc>
        <w:tc>
          <w:tcPr>
            <w:tcW w:type="dxa" w:w="1662"/>
          </w:tcPr>
          <w:p>
            <w:pPr>
              <w:spacing w:after="0" w:line="240" w:lineRule="auto"/>
              <w:ind w:firstLine="0"/>
              <w:jc w:val="center"/>
            </w:pPr>
            <w:r>
              <w:rPr>
                <w:b w:val="0"/>
                <w:i w:val="0"/>
                <w:sz w:val="20"/>
              </w:rPr>
              <w:t>0,5</w:t>
            </w:r>
          </w:p>
        </w:tc>
        <w:tc>
          <w:tcPr>
            <w:tcW w:type="dxa" w:w="1662"/>
          </w:tcPr>
          <w:p>
            <w:pPr>
              <w:spacing w:after="0" w:line="240" w:lineRule="auto"/>
              <w:ind w:firstLine="0"/>
              <w:jc w:val="center"/>
            </w:pPr>
            <w:r>
              <w:rPr>
                <w:b w:val="0"/>
                <w:i w:val="0"/>
                <w:sz w:val="20"/>
              </w:rPr>
              <w:t>2 000–4 000</w:t>
            </w:r>
          </w:p>
        </w:tc>
        <w:tc>
          <w:tcPr>
            <w:tcW w:type="dxa" w:w="1662"/>
          </w:tcPr>
          <w:p>
            <w:pPr>
              <w:spacing w:after="0" w:line="240" w:lineRule="auto"/>
              <w:ind w:firstLine="0"/>
              <w:jc w:val="center"/>
            </w:pPr>
            <w:r>
              <w:rPr>
                <w:b w:val="0"/>
                <w:i w:val="0"/>
                <w:sz w:val="20"/>
              </w:rPr>
              <w:t>подготовка</w:t>
            </w:r>
          </w:p>
        </w:tc>
      </w:tr>
    </w:tbl>
    <w:p>
      <w:pPr>
        <w:spacing w:after="180"/>
        <w:ind w:firstLine="0"/>
      </w:pPr>
      <w:r>
        <w:rPr>
          <w:i/>
          <w:sz w:val="20"/>
        </w:rPr>
        <w:t>Источник: корпоративные раскрытия, данные геологических служб, отраслевая пресса</w:t>
      </w:r>
    </w:p>
    <w:p>
      <w:pPr>
        <w:keepNext/>
        <w:spacing w:before="160" w:after="60"/>
        <w:ind w:firstLine="0"/>
        <w:jc w:val="left"/>
      </w:pPr>
      <w:r>
        <w:rPr>
          <w:b/>
          <w:sz w:val="22"/>
        </w:rPr>
        <w:t>Рисунок 8. Содержание TREO в ключевых месторождениях мира, % (в порядке убывания)</w:t>
      </w:r>
    </w:p>
    <w:p>
      <w:pPr>
        <w:ind w:firstLine="0"/>
        <w:jc w:val="center"/>
      </w:pPr>
      <w:r>
        <w:drawing>
          <wp:inline xmlns:a="http://schemas.openxmlformats.org/drawingml/2006/main" xmlns:pic="http://schemas.openxmlformats.org/drawingml/2006/picture">
            <wp:extent cx="5580000" cy="2751559"/>
            <wp:docPr id="8" name="Picture 8"/>
            <wp:cNvGraphicFramePr>
              <a:graphicFrameLocks noChangeAspect="1"/>
            </wp:cNvGraphicFramePr>
            <a:graphic>
              <a:graphicData uri="http://schemas.openxmlformats.org/drawingml/2006/picture">
                <pic:pic>
                  <pic:nvPicPr>
                    <pic:cNvPr id="0" name="fig8.png"/>
                    <pic:cNvPicPr/>
                  </pic:nvPicPr>
                  <pic:blipFill>
                    <a:blip r:embed="rId18"/>
                    <a:stretch>
                      <a:fillRect/>
                    </a:stretch>
                  </pic:blipFill>
                  <pic:spPr>
                    <a:xfrm>
                      <a:off x="0" y="0"/>
                      <a:ext cx="5580000" cy="2751559"/>
                    </a:xfrm>
                    <a:prstGeom prst="rect"/>
                  </pic:spPr>
                </pic:pic>
              </a:graphicData>
            </a:graphic>
          </wp:inline>
        </w:drawing>
      </w:r>
    </w:p>
    <w:p>
      <w:pPr>
        <w:spacing w:after="180"/>
        <w:ind w:firstLine="0"/>
      </w:pPr>
      <w:r>
        <w:rPr>
          <w:i/>
          <w:sz w:val="20"/>
        </w:rPr>
        <w:t>Источник: корпоративные раскрытия, данные геологических служб</w:t>
      </w:r>
    </w:p>
    <w:p>
      <w:pPr>
        <w:pStyle w:val="Heading2"/>
      </w:pPr>
      <w:r>
        <w:rPr>
          <w:b w:val="0"/>
          <w:i w:val="0"/>
        </w:rPr>
        <w:t>2.6. Обеспеченность мировой промышленности отдельными элементами</w:t>
      </w:r>
    </w:p>
    <w:p>
      <w:r>
        <w:rPr>
          <w:b w:val="0"/>
          <w:i w:val="0"/>
        </w:rPr>
        <w:t>Обеспеченность запасами должна оцениваться не по сумме оксидов, а поэлементно. Расчёт, приведённый в таблице 14, выполнен путём умножения запасов по странам на характерную для их сырья корзину и сопоставления с текущим уровнем потребления.</w:t>
      </w:r>
    </w:p>
    <w:p>
      <w:pPr>
        <w:keepNext/>
        <w:spacing w:before="160" w:after="60"/>
        <w:ind w:firstLine="0"/>
        <w:jc w:val="left"/>
      </w:pPr>
      <w:r>
        <w:rPr>
          <w:b/>
          <w:sz w:val="22"/>
        </w:rPr>
        <w:t>Таблица 14. Расчётная обеспеченность мировых запасов по отдельным элементам</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Элемент</w:t>
            </w:r>
          </w:p>
        </w:tc>
        <w:tc>
          <w:tcPr>
            <w:tcW w:type="dxa" w:w="1995"/>
            <w:shd w:val="clear" w:fill="DCE6F1"/>
          </w:tcPr>
          <w:p>
            <w:pPr>
              <w:spacing w:after="0" w:line="240" w:lineRule="auto"/>
              <w:ind w:firstLine="0"/>
              <w:jc w:val="center"/>
            </w:pPr>
            <w:r>
              <w:rPr>
                <w:b/>
                <w:i w:val="0"/>
                <w:sz w:val="20"/>
              </w:rPr>
              <w:t>Запасы, тыс. т оксида</w:t>
            </w:r>
          </w:p>
        </w:tc>
        <w:tc>
          <w:tcPr>
            <w:tcW w:type="dxa" w:w="1995"/>
            <w:shd w:val="clear" w:fill="DCE6F1"/>
          </w:tcPr>
          <w:p>
            <w:pPr>
              <w:spacing w:after="0" w:line="240" w:lineRule="auto"/>
              <w:ind w:firstLine="0"/>
              <w:jc w:val="center"/>
            </w:pPr>
            <w:r>
              <w:rPr>
                <w:b/>
                <w:i w:val="0"/>
                <w:sz w:val="20"/>
              </w:rPr>
              <w:t>Потребление 2024, т</w:t>
            </w:r>
          </w:p>
        </w:tc>
        <w:tc>
          <w:tcPr>
            <w:tcW w:type="dxa" w:w="1995"/>
            <w:shd w:val="clear" w:fill="DCE6F1"/>
          </w:tcPr>
          <w:p>
            <w:pPr>
              <w:spacing w:after="0" w:line="240" w:lineRule="auto"/>
              <w:ind w:firstLine="0"/>
              <w:jc w:val="center"/>
            </w:pPr>
            <w:r>
              <w:rPr>
                <w:b/>
                <w:i w:val="0"/>
                <w:sz w:val="20"/>
              </w:rPr>
              <w:t>Обеспеченность, лет</w:t>
            </w:r>
          </w:p>
        </w:tc>
        <w:tc>
          <w:tcPr>
            <w:tcW w:type="dxa" w:w="1995"/>
            <w:shd w:val="clear" w:fill="DCE6F1"/>
          </w:tcPr>
          <w:p>
            <w:pPr>
              <w:spacing w:after="0" w:line="240" w:lineRule="auto"/>
              <w:ind w:firstLine="0"/>
              <w:jc w:val="center"/>
            </w:pPr>
            <w:r>
              <w:rPr>
                <w:b/>
                <w:i w:val="0"/>
                <w:sz w:val="20"/>
              </w:rPr>
              <w:t>Оценка риска</w:t>
            </w:r>
          </w:p>
        </w:tc>
      </w:tr>
      <w:tr>
        <w:tc>
          <w:tcPr>
            <w:tcW w:type="dxa" w:w="1995"/>
          </w:tcPr>
          <w:p>
            <w:pPr>
              <w:spacing w:after="0" w:line="240" w:lineRule="auto"/>
              <w:ind w:firstLine="0"/>
              <w:jc w:val="left"/>
            </w:pPr>
            <w:r>
              <w:rPr>
                <w:b w:val="0"/>
                <w:i w:val="0"/>
                <w:sz w:val="20"/>
              </w:rPr>
              <w:t>La₂O₃</w:t>
            </w:r>
          </w:p>
        </w:tc>
        <w:tc>
          <w:tcPr>
            <w:tcW w:type="dxa" w:w="1995"/>
          </w:tcPr>
          <w:p>
            <w:pPr>
              <w:spacing w:after="0" w:line="240" w:lineRule="auto"/>
              <w:ind w:firstLine="0"/>
              <w:jc w:val="center"/>
            </w:pPr>
            <w:r>
              <w:rPr>
                <w:b w:val="0"/>
                <w:i w:val="0"/>
                <w:sz w:val="20"/>
              </w:rPr>
              <w:t>21 500</w:t>
            </w:r>
          </w:p>
        </w:tc>
        <w:tc>
          <w:tcPr>
            <w:tcW w:type="dxa" w:w="1995"/>
          </w:tcPr>
          <w:p>
            <w:pPr>
              <w:spacing w:after="0" w:line="240" w:lineRule="auto"/>
              <w:ind w:firstLine="0"/>
              <w:jc w:val="center"/>
            </w:pPr>
            <w:r>
              <w:rPr>
                <w:b w:val="0"/>
                <w:i w:val="0"/>
                <w:sz w:val="20"/>
              </w:rPr>
              <w:t>55 000</w:t>
            </w:r>
          </w:p>
        </w:tc>
        <w:tc>
          <w:tcPr>
            <w:tcW w:type="dxa" w:w="1995"/>
          </w:tcPr>
          <w:p>
            <w:pPr>
              <w:spacing w:after="0" w:line="240" w:lineRule="auto"/>
              <w:ind w:firstLine="0"/>
              <w:jc w:val="center"/>
            </w:pPr>
            <w:r>
              <w:rPr>
                <w:b w:val="0"/>
                <w:i w:val="0"/>
                <w:sz w:val="20"/>
              </w:rPr>
              <w:t>391</w:t>
            </w:r>
          </w:p>
        </w:tc>
        <w:tc>
          <w:tcPr>
            <w:tcW w:type="dxa" w:w="1995"/>
          </w:tcPr>
          <w:p>
            <w:pPr>
              <w:spacing w:after="0" w:line="240" w:lineRule="auto"/>
              <w:ind w:firstLine="0"/>
              <w:jc w:val="center"/>
            </w:pPr>
            <w:r>
              <w:rPr>
                <w:b w:val="0"/>
                <w:i w:val="0"/>
                <w:sz w:val="20"/>
              </w:rPr>
              <w:t>низкий</w:t>
            </w:r>
          </w:p>
        </w:tc>
      </w:tr>
      <w:tr>
        <w:tc>
          <w:tcPr>
            <w:tcW w:type="dxa" w:w="1995"/>
          </w:tcPr>
          <w:p>
            <w:pPr>
              <w:spacing w:after="0" w:line="240" w:lineRule="auto"/>
              <w:ind w:firstLine="0"/>
              <w:jc w:val="left"/>
            </w:pPr>
            <w:r>
              <w:rPr>
                <w:b w:val="0"/>
                <w:i w:val="0"/>
                <w:sz w:val="20"/>
              </w:rPr>
              <w:t>CeO₂</w:t>
            </w:r>
          </w:p>
        </w:tc>
        <w:tc>
          <w:tcPr>
            <w:tcW w:type="dxa" w:w="1995"/>
          </w:tcPr>
          <w:p>
            <w:pPr>
              <w:spacing w:after="0" w:line="240" w:lineRule="auto"/>
              <w:ind w:firstLine="0"/>
              <w:jc w:val="center"/>
            </w:pPr>
            <w:r>
              <w:rPr>
                <w:b w:val="0"/>
                <w:i w:val="0"/>
                <w:sz w:val="20"/>
              </w:rPr>
              <w:t>38 000</w:t>
            </w:r>
          </w:p>
        </w:tc>
        <w:tc>
          <w:tcPr>
            <w:tcW w:type="dxa" w:w="1995"/>
          </w:tcPr>
          <w:p>
            <w:pPr>
              <w:spacing w:after="0" w:line="240" w:lineRule="auto"/>
              <w:ind w:firstLine="0"/>
              <w:jc w:val="center"/>
            </w:pPr>
            <w:r>
              <w:rPr>
                <w:b w:val="0"/>
                <w:i w:val="0"/>
                <w:sz w:val="20"/>
              </w:rPr>
              <w:t>62 000</w:t>
            </w:r>
          </w:p>
        </w:tc>
        <w:tc>
          <w:tcPr>
            <w:tcW w:type="dxa" w:w="1995"/>
          </w:tcPr>
          <w:p>
            <w:pPr>
              <w:spacing w:after="0" w:line="240" w:lineRule="auto"/>
              <w:ind w:firstLine="0"/>
              <w:jc w:val="center"/>
            </w:pPr>
            <w:r>
              <w:rPr>
                <w:b w:val="0"/>
                <w:i w:val="0"/>
                <w:sz w:val="20"/>
              </w:rPr>
              <w:t>613</w:t>
            </w:r>
          </w:p>
        </w:tc>
        <w:tc>
          <w:tcPr>
            <w:tcW w:type="dxa" w:w="1995"/>
          </w:tcPr>
          <w:p>
            <w:pPr>
              <w:spacing w:after="0" w:line="240" w:lineRule="auto"/>
              <w:ind w:firstLine="0"/>
              <w:jc w:val="center"/>
            </w:pPr>
            <w:r>
              <w:rPr>
                <w:b w:val="0"/>
                <w:i w:val="0"/>
                <w:sz w:val="20"/>
              </w:rPr>
              <w:t>низкий</w:t>
            </w:r>
          </w:p>
        </w:tc>
      </w:tr>
      <w:tr>
        <w:tc>
          <w:tcPr>
            <w:tcW w:type="dxa" w:w="1995"/>
          </w:tcPr>
          <w:p>
            <w:pPr>
              <w:spacing w:after="0" w:line="240" w:lineRule="auto"/>
              <w:ind w:firstLine="0"/>
              <w:jc w:val="left"/>
            </w:pPr>
            <w:r>
              <w:rPr>
                <w:b w:val="0"/>
                <w:i w:val="0"/>
                <w:sz w:val="20"/>
              </w:rPr>
              <w:t>Pr₆O₁₁</w:t>
            </w:r>
          </w:p>
        </w:tc>
        <w:tc>
          <w:tcPr>
            <w:tcW w:type="dxa" w:w="1995"/>
          </w:tcPr>
          <w:p>
            <w:pPr>
              <w:spacing w:after="0" w:line="240" w:lineRule="auto"/>
              <w:ind w:firstLine="0"/>
              <w:jc w:val="center"/>
            </w:pPr>
            <w:r>
              <w:rPr>
                <w:b w:val="0"/>
                <w:i w:val="0"/>
                <w:sz w:val="20"/>
              </w:rPr>
              <w:t>4 100</w:t>
            </w:r>
          </w:p>
        </w:tc>
        <w:tc>
          <w:tcPr>
            <w:tcW w:type="dxa" w:w="1995"/>
          </w:tcPr>
          <w:p>
            <w:pPr>
              <w:spacing w:after="0" w:line="240" w:lineRule="auto"/>
              <w:ind w:firstLine="0"/>
              <w:jc w:val="center"/>
            </w:pPr>
            <w:r>
              <w:rPr>
                <w:b w:val="0"/>
                <w:i w:val="0"/>
                <w:sz w:val="20"/>
              </w:rPr>
              <w:t>12 000</w:t>
            </w:r>
          </w:p>
        </w:tc>
        <w:tc>
          <w:tcPr>
            <w:tcW w:type="dxa" w:w="1995"/>
          </w:tcPr>
          <w:p>
            <w:pPr>
              <w:spacing w:after="0" w:line="240" w:lineRule="auto"/>
              <w:ind w:firstLine="0"/>
              <w:jc w:val="center"/>
            </w:pPr>
            <w:r>
              <w:rPr>
                <w:b w:val="0"/>
                <w:i w:val="0"/>
                <w:sz w:val="20"/>
              </w:rPr>
              <w:t>342</w:t>
            </w:r>
          </w:p>
        </w:tc>
        <w:tc>
          <w:tcPr>
            <w:tcW w:type="dxa" w:w="1995"/>
          </w:tcPr>
          <w:p>
            <w:pPr>
              <w:spacing w:after="0" w:line="240" w:lineRule="auto"/>
              <w:ind w:firstLine="0"/>
              <w:jc w:val="center"/>
            </w:pPr>
            <w:r>
              <w:rPr>
                <w:b w:val="0"/>
                <w:i w:val="0"/>
                <w:sz w:val="20"/>
              </w:rPr>
              <w:t>средний</w:t>
            </w:r>
          </w:p>
        </w:tc>
      </w:tr>
      <w:tr>
        <w:tc>
          <w:tcPr>
            <w:tcW w:type="dxa" w:w="1995"/>
          </w:tcPr>
          <w:p>
            <w:pPr>
              <w:spacing w:after="0" w:line="240" w:lineRule="auto"/>
              <w:ind w:firstLine="0"/>
              <w:jc w:val="left"/>
            </w:pPr>
            <w:r>
              <w:rPr>
                <w:b w:val="0"/>
                <w:i w:val="0"/>
                <w:sz w:val="20"/>
              </w:rPr>
              <w:t>Nd₂O₃</w:t>
            </w:r>
          </w:p>
        </w:tc>
        <w:tc>
          <w:tcPr>
            <w:tcW w:type="dxa" w:w="1995"/>
          </w:tcPr>
          <w:p>
            <w:pPr>
              <w:spacing w:after="0" w:line="240" w:lineRule="auto"/>
              <w:ind w:firstLine="0"/>
              <w:jc w:val="center"/>
            </w:pPr>
            <w:r>
              <w:rPr>
                <w:b w:val="0"/>
                <w:i w:val="0"/>
                <w:sz w:val="20"/>
              </w:rPr>
              <w:t>13 800</w:t>
            </w:r>
          </w:p>
        </w:tc>
        <w:tc>
          <w:tcPr>
            <w:tcW w:type="dxa" w:w="1995"/>
          </w:tcPr>
          <w:p>
            <w:pPr>
              <w:spacing w:after="0" w:line="240" w:lineRule="auto"/>
              <w:ind w:firstLine="0"/>
              <w:jc w:val="center"/>
            </w:pPr>
            <w:r>
              <w:rPr>
                <w:b w:val="0"/>
                <w:i w:val="0"/>
                <w:sz w:val="20"/>
              </w:rPr>
              <w:t>43 000</w:t>
            </w:r>
          </w:p>
        </w:tc>
        <w:tc>
          <w:tcPr>
            <w:tcW w:type="dxa" w:w="1995"/>
          </w:tcPr>
          <w:p>
            <w:pPr>
              <w:spacing w:after="0" w:line="240" w:lineRule="auto"/>
              <w:ind w:firstLine="0"/>
              <w:jc w:val="center"/>
            </w:pPr>
            <w:r>
              <w:rPr>
                <w:b w:val="0"/>
                <w:i w:val="0"/>
                <w:sz w:val="20"/>
              </w:rPr>
              <w:t>321</w:t>
            </w:r>
          </w:p>
        </w:tc>
        <w:tc>
          <w:tcPr>
            <w:tcW w:type="dxa" w:w="1995"/>
          </w:tcPr>
          <w:p>
            <w:pPr>
              <w:spacing w:after="0" w:line="240" w:lineRule="auto"/>
              <w:ind w:firstLine="0"/>
              <w:jc w:val="center"/>
            </w:pPr>
            <w:r>
              <w:rPr>
                <w:b w:val="0"/>
                <w:i w:val="0"/>
                <w:sz w:val="20"/>
              </w:rPr>
              <w:t>средний</w:t>
            </w:r>
          </w:p>
        </w:tc>
      </w:tr>
      <w:tr>
        <w:tc>
          <w:tcPr>
            <w:tcW w:type="dxa" w:w="1995"/>
          </w:tcPr>
          <w:p>
            <w:pPr>
              <w:spacing w:after="0" w:line="240" w:lineRule="auto"/>
              <w:ind w:firstLine="0"/>
              <w:jc w:val="left"/>
            </w:pPr>
            <w:r>
              <w:rPr>
                <w:b w:val="0"/>
                <w:i w:val="0"/>
                <w:sz w:val="20"/>
              </w:rPr>
              <w:t>Sm₂O₃</w:t>
            </w:r>
          </w:p>
        </w:tc>
        <w:tc>
          <w:tcPr>
            <w:tcW w:type="dxa" w:w="1995"/>
          </w:tcPr>
          <w:p>
            <w:pPr>
              <w:spacing w:after="0" w:line="240" w:lineRule="auto"/>
              <w:ind w:firstLine="0"/>
              <w:jc w:val="center"/>
            </w:pPr>
            <w:r>
              <w:rPr>
                <w:b w:val="0"/>
                <w:i w:val="0"/>
                <w:sz w:val="20"/>
              </w:rPr>
              <w:t>1 700</w:t>
            </w:r>
          </w:p>
        </w:tc>
        <w:tc>
          <w:tcPr>
            <w:tcW w:type="dxa" w:w="1995"/>
          </w:tcPr>
          <w:p>
            <w:pPr>
              <w:spacing w:after="0" w:line="240" w:lineRule="auto"/>
              <w:ind w:firstLine="0"/>
              <w:jc w:val="center"/>
            </w:pPr>
            <w:r>
              <w:rPr>
                <w:b w:val="0"/>
                <w:i w:val="0"/>
                <w:sz w:val="20"/>
              </w:rPr>
              <w:t>3 200</w:t>
            </w:r>
          </w:p>
        </w:tc>
        <w:tc>
          <w:tcPr>
            <w:tcW w:type="dxa" w:w="1995"/>
          </w:tcPr>
          <w:p>
            <w:pPr>
              <w:spacing w:after="0" w:line="240" w:lineRule="auto"/>
              <w:ind w:firstLine="0"/>
              <w:jc w:val="center"/>
            </w:pPr>
            <w:r>
              <w:rPr>
                <w:b w:val="0"/>
                <w:i w:val="0"/>
                <w:sz w:val="20"/>
              </w:rPr>
              <w:t>531</w:t>
            </w:r>
          </w:p>
        </w:tc>
        <w:tc>
          <w:tcPr>
            <w:tcW w:type="dxa" w:w="1995"/>
          </w:tcPr>
          <w:p>
            <w:pPr>
              <w:spacing w:after="0" w:line="240" w:lineRule="auto"/>
              <w:ind w:firstLine="0"/>
              <w:jc w:val="center"/>
            </w:pPr>
            <w:r>
              <w:rPr>
                <w:b w:val="0"/>
                <w:i w:val="0"/>
                <w:sz w:val="20"/>
              </w:rPr>
              <w:t>низкий</w:t>
            </w:r>
          </w:p>
        </w:tc>
      </w:tr>
      <w:tr>
        <w:tc>
          <w:tcPr>
            <w:tcW w:type="dxa" w:w="1995"/>
          </w:tcPr>
          <w:p>
            <w:pPr>
              <w:spacing w:after="0" w:line="240" w:lineRule="auto"/>
              <w:ind w:firstLine="0"/>
              <w:jc w:val="left"/>
            </w:pPr>
            <w:r>
              <w:rPr>
                <w:b w:val="0"/>
                <w:i w:val="0"/>
                <w:sz w:val="20"/>
              </w:rPr>
              <w:t>Eu₂O₃</w:t>
            </w:r>
          </w:p>
        </w:tc>
        <w:tc>
          <w:tcPr>
            <w:tcW w:type="dxa" w:w="1995"/>
          </w:tcPr>
          <w:p>
            <w:pPr>
              <w:spacing w:after="0" w:line="240" w:lineRule="auto"/>
              <w:ind w:firstLine="0"/>
              <w:jc w:val="center"/>
            </w:pPr>
            <w:r>
              <w:rPr>
                <w:b w:val="0"/>
                <w:i w:val="0"/>
                <w:sz w:val="20"/>
              </w:rPr>
              <w:t>240</w:t>
            </w:r>
          </w:p>
        </w:tc>
        <w:tc>
          <w:tcPr>
            <w:tcW w:type="dxa" w:w="1995"/>
          </w:tcPr>
          <w:p>
            <w:pPr>
              <w:spacing w:after="0" w:line="240" w:lineRule="auto"/>
              <w:ind w:firstLine="0"/>
              <w:jc w:val="center"/>
            </w:pPr>
            <w:r>
              <w:rPr>
                <w:b w:val="0"/>
                <w:i w:val="0"/>
                <w:sz w:val="20"/>
              </w:rPr>
              <w:t>320</w:t>
            </w:r>
          </w:p>
        </w:tc>
        <w:tc>
          <w:tcPr>
            <w:tcW w:type="dxa" w:w="1995"/>
          </w:tcPr>
          <w:p>
            <w:pPr>
              <w:spacing w:after="0" w:line="240" w:lineRule="auto"/>
              <w:ind w:firstLine="0"/>
              <w:jc w:val="center"/>
            </w:pPr>
            <w:r>
              <w:rPr>
                <w:b w:val="0"/>
                <w:i w:val="0"/>
                <w:sz w:val="20"/>
              </w:rPr>
              <w:t>750</w:t>
            </w:r>
          </w:p>
        </w:tc>
        <w:tc>
          <w:tcPr>
            <w:tcW w:type="dxa" w:w="1995"/>
          </w:tcPr>
          <w:p>
            <w:pPr>
              <w:spacing w:after="0" w:line="240" w:lineRule="auto"/>
              <w:ind w:firstLine="0"/>
              <w:jc w:val="center"/>
            </w:pPr>
            <w:r>
              <w:rPr>
                <w:b w:val="0"/>
                <w:i w:val="0"/>
                <w:sz w:val="20"/>
              </w:rPr>
              <w:t>низкий</w:t>
            </w:r>
          </w:p>
        </w:tc>
      </w:tr>
      <w:tr>
        <w:tc>
          <w:tcPr>
            <w:tcW w:type="dxa" w:w="1995"/>
          </w:tcPr>
          <w:p>
            <w:pPr>
              <w:spacing w:after="0" w:line="240" w:lineRule="auto"/>
              <w:ind w:firstLine="0"/>
              <w:jc w:val="left"/>
            </w:pPr>
            <w:r>
              <w:rPr>
                <w:b w:val="0"/>
                <w:i w:val="0"/>
                <w:sz w:val="20"/>
              </w:rPr>
              <w:t>Gd₂O₃</w:t>
            </w:r>
          </w:p>
        </w:tc>
        <w:tc>
          <w:tcPr>
            <w:tcW w:type="dxa" w:w="1995"/>
          </w:tcPr>
          <w:p>
            <w:pPr>
              <w:spacing w:after="0" w:line="240" w:lineRule="auto"/>
              <w:ind w:firstLine="0"/>
              <w:jc w:val="center"/>
            </w:pPr>
            <w:r>
              <w:rPr>
                <w:b w:val="0"/>
                <w:i w:val="0"/>
                <w:sz w:val="20"/>
              </w:rPr>
              <w:t>1 600</w:t>
            </w:r>
          </w:p>
        </w:tc>
        <w:tc>
          <w:tcPr>
            <w:tcW w:type="dxa" w:w="1995"/>
          </w:tcPr>
          <w:p>
            <w:pPr>
              <w:spacing w:after="0" w:line="240" w:lineRule="auto"/>
              <w:ind w:firstLine="0"/>
              <w:jc w:val="center"/>
            </w:pPr>
            <w:r>
              <w:rPr>
                <w:b w:val="0"/>
                <w:i w:val="0"/>
                <w:sz w:val="20"/>
              </w:rPr>
              <w:t>4 100</w:t>
            </w:r>
          </w:p>
        </w:tc>
        <w:tc>
          <w:tcPr>
            <w:tcW w:type="dxa" w:w="1995"/>
          </w:tcPr>
          <w:p>
            <w:pPr>
              <w:spacing w:after="0" w:line="240" w:lineRule="auto"/>
              <w:ind w:firstLine="0"/>
              <w:jc w:val="center"/>
            </w:pPr>
            <w:r>
              <w:rPr>
                <w:b w:val="0"/>
                <w:i w:val="0"/>
                <w:sz w:val="20"/>
              </w:rPr>
              <w:t>390</w:t>
            </w:r>
          </w:p>
        </w:tc>
        <w:tc>
          <w:tcPr>
            <w:tcW w:type="dxa" w:w="1995"/>
          </w:tcPr>
          <w:p>
            <w:pPr>
              <w:spacing w:after="0" w:line="240" w:lineRule="auto"/>
              <w:ind w:firstLine="0"/>
              <w:jc w:val="center"/>
            </w:pPr>
            <w:r>
              <w:rPr>
                <w:b w:val="0"/>
                <w:i w:val="0"/>
                <w:sz w:val="20"/>
              </w:rPr>
              <w:t>средний</w:t>
            </w:r>
          </w:p>
        </w:tc>
      </w:tr>
      <w:tr>
        <w:tc>
          <w:tcPr>
            <w:tcW w:type="dxa" w:w="1995"/>
          </w:tcPr>
          <w:p>
            <w:pPr>
              <w:spacing w:after="0" w:line="240" w:lineRule="auto"/>
              <w:ind w:firstLine="0"/>
              <w:jc w:val="left"/>
            </w:pPr>
            <w:r>
              <w:rPr>
                <w:b w:val="0"/>
                <w:i w:val="0"/>
                <w:sz w:val="20"/>
              </w:rPr>
              <w:t>Tb₄O₇</w:t>
            </w:r>
          </w:p>
        </w:tc>
        <w:tc>
          <w:tcPr>
            <w:tcW w:type="dxa" w:w="1995"/>
          </w:tcPr>
          <w:p>
            <w:pPr>
              <w:spacing w:after="0" w:line="240" w:lineRule="auto"/>
              <w:ind w:firstLine="0"/>
              <w:jc w:val="center"/>
            </w:pPr>
            <w:r>
              <w:rPr>
                <w:b w:val="0"/>
                <w:i w:val="0"/>
                <w:sz w:val="20"/>
              </w:rPr>
              <w:t>190</w:t>
            </w:r>
          </w:p>
        </w:tc>
        <w:tc>
          <w:tcPr>
            <w:tcW w:type="dxa" w:w="1995"/>
          </w:tcPr>
          <w:p>
            <w:pPr>
              <w:spacing w:after="0" w:line="240" w:lineRule="auto"/>
              <w:ind w:firstLine="0"/>
              <w:jc w:val="center"/>
            </w:pPr>
            <w:r>
              <w:rPr>
                <w:b w:val="0"/>
                <w:i w:val="0"/>
                <w:sz w:val="20"/>
              </w:rPr>
              <w:t>900</w:t>
            </w:r>
          </w:p>
        </w:tc>
        <w:tc>
          <w:tcPr>
            <w:tcW w:type="dxa" w:w="1995"/>
          </w:tcPr>
          <w:p>
            <w:pPr>
              <w:spacing w:after="0" w:line="240" w:lineRule="auto"/>
              <w:ind w:firstLine="0"/>
              <w:jc w:val="center"/>
            </w:pPr>
            <w:r>
              <w:rPr>
                <w:b w:val="0"/>
                <w:i w:val="0"/>
                <w:sz w:val="20"/>
              </w:rPr>
              <w:t>211</w:t>
            </w:r>
          </w:p>
        </w:tc>
        <w:tc>
          <w:tcPr>
            <w:tcW w:type="dxa" w:w="1995"/>
          </w:tcPr>
          <w:p>
            <w:pPr>
              <w:spacing w:after="0" w:line="240" w:lineRule="auto"/>
              <w:ind w:firstLine="0"/>
              <w:jc w:val="center"/>
            </w:pPr>
            <w:r>
              <w:rPr>
                <w:b w:val="0"/>
                <w:i w:val="0"/>
                <w:sz w:val="20"/>
              </w:rPr>
              <w:t>высокий</w:t>
            </w:r>
          </w:p>
        </w:tc>
      </w:tr>
      <w:tr>
        <w:tc>
          <w:tcPr>
            <w:tcW w:type="dxa" w:w="1995"/>
          </w:tcPr>
          <w:p>
            <w:pPr>
              <w:spacing w:after="0" w:line="240" w:lineRule="auto"/>
              <w:ind w:firstLine="0"/>
              <w:jc w:val="left"/>
            </w:pPr>
            <w:r>
              <w:rPr>
                <w:b w:val="0"/>
                <w:i w:val="0"/>
                <w:sz w:val="20"/>
              </w:rPr>
              <w:t>Dy₂O₃</w:t>
            </w:r>
          </w:p>
        </w:tc>
        <w:tc>
          <w:tcPr>
            <w:tcW w:type="dxa" w:w="1995"/>
          </w:tcPr>
          <w:p>
            <w:pPr>
              <w:spacing w:after="0" w:line="240" w:lineRule="auto"/>
              <w:ind w:firstLine="0"/>
              <w:jc w:val="center"/>
            </w:pPr>
            <w:r>
              <w:rPr>
                <w:b w:val="0"/>
                <w:i w:val="0"/>
                <w:sz w:val="20"/>
              </w:rPr>
              <w:t>850</w:t>
            </w:r>
          </w:p>
        </w:tc>
        <w:tc>
          <w:tcPr>
            <w:tcW w:type="dxa" w:w="1995"/>
          </w:tcPr>
          <w:p>
            <w:pPr>
              <w:spacing w:after="0" w:line="240" w:lineRule="auto"/>
              <w:ind w:firstLine="0"/>
              <w:jc w:val="center"/>
            </w:pPr>
            <w:r>
              <w:rPr>
                <w:b w:val="0"/>
                <w:i w:val="0"/>
                <w:sz w:val="20"/>
              </w:rPr>
              <w:t>3 300</w:t>
            </w:r>
          </w:p>
        </w:tc>
        <w:tc>
          <w:tcPr>
            <w:tcW w:type="dxa" w:w="1995"/>
          </w:tcPr>
          <w:p>
            <w:pPr>
              <w:spacing w:after="0" w:line="240" w:lineRule="auto"/>
              <w:ind w:firstLine="0"/>
              <w:jc w:val="center"/>
            </w:pPr>
            <w:r>
              <w:rPr>
                <w:b w:val="0"/>
                <w:i w:val="0"/>
                <w:sz w:val="20"/>
              </w:rPr>
              <w:t>258</w:t>
            </w:r>
          </w:p>
        </w:tc>
        <w:tc>
          <w:tcPr>
            <w:tcW w:type="dxa" w:w="1995"/>
          </w:tcPr>
          <w:p>
            <w:pPr>
              <w:spacing w:after="0" w:line="240" w:lineRule="auto"/>
              <w:ind w:firstLine="0"/>
              <w:jc w:val="center"/>
            </w:pPr>
            <w:r>
              <w:rPr>
                <w:b w:val="0"/>
                <w:i w:val="0"/>
                <w:sz w:val="20"/>
              </w:rPr>
              <w:t>высокий</w:t>
            </w:r>
          </w:p>
        </w:tc>
      </w:tr>
      <w:tr>
        <w:tc>
          <w:tcPr>
            <w:tcW w:type="dxa" w:w="1995"/>
          </w:tcPr>
          <w:p>
            <w:pPr>
              <w:spacing w:after="0" w:line="240" w:lineRule="auto"/>
              <w:ind w:firstLine="0"/>
              <w:jc w:val="left"/>
            </w:pPr>
            <w:r>
              <w:rPr>
                <w:b w:val="0"/>
                <w:i w:val="0"/>
                <w:sz w:val="20"/>
              </w:rPr>
              <w:t>Y₂O₃</w:t>
            </w:r>
          </w:p>
        </w:tc>
        <w:tc>
          <w:tcPr>
            <w:tcW w:type="dxa" w:w="1995"/>
          </w:tcPr>
          <w:p>
            <w:pPr>
              <w:spacing w:after="0" w:line="240" w:lineRule="auto"/>
              <w:ind w:firstLine="0"/>
              <w:jc w:val="center"/>
            </w:pPr>
            <w:r>
              <w:rPr>
                <w:b w:val="0"/>
                <w:i w:val="0"/>
                <w:sz w:val="20"/>
              </w:rPr>
              <w:t>4 300</w:t>
            </w:r>
          </w:p>
        </w:tc>
        <w:tc>
          <w:tcPr>
            <w:tcW w:type="dxa" w:w="1995"/>
          </w:tcPr>
          <w:p>
            <w:pPr>
              <w:spacing w:after="0" w:line="240" w:lineRule="auto"/>
              <w:ind w:firstLine="0"/>
              <w:jc w:val="center"/>
            </w:pPr>
            <w:r>
              <w:rPr>
                <w:b w:val="0"/>
                <w:i w:val="0"/>
                <w:sz w:val="20"/>
              </w:rPr>
              <w:t>8 500</w:t>
            </w:r>
          </w:p>
        </w:tc>
        <w:tc>
          <w:tcPr>
            <w:tcW w:type="dxa" w:w="1995"/>
          </w:tcPr>
          <w:p>
            <w:pPr>
              <w:spacing w:after="0" w:line="240" w:lineRule="auto"/>
              <w:ind w:firstLine="0"/>
              <w:jc w:val="center"/>
            </w:pPr>
            <w:r>
              <w:rPr>
                <w:b w:val="0"/>
                <w:i w:val="0"/>
                <w:sz w:val="20"/>
              </w:rPr>
              <w:t>506</w:t>
            </w:r>
          </w:p>
        </w:tc>
        <w:tc>
          <w:tcPr>
            <w:tcW w:type="dxa" w:w="1995"/>
          </w:tcPr>
          <w:p>
            <w:pPr>
              <w:spacing w:after="0" w:line="240" w:lineRule="auto"/>
              <w:ind w:firstLine="0"/>
              <w:jc w:val="center"/>
            </w:pPr>
            <w:r>
              <w:rPr>
                <w:b w:val="0"/>
                <w:i w:val="0"/>
                <w:sz w:val="20"/>
              </w:rPr>
              <w:t>низкий</w:t>
            </w:r>
          </w:p>
        </w:tc>
      </w:tr>
      <w:tr>
        <w:tc>
          <w:tcPr>
            <w:tcW w:type="dxa" w:w="1995"/>
          </w:tcPr>
          <w:p>
            <w:pPr>
              <w:spacing w:after="0" w:line="240" w:lineRule="auto"/>
              <w:ind w:firstLine="0"/>
              <w:jc w:val="left"/>
            </w:pPr>
            <w:r>
              <w:rPr>
                <w:b w:val="0"/>
                <w:i w:val="0"/>
                <w:sz w:val="20"/>
              </w:rPr>
              <w:t>Sc₂O₃</w:t>
            </w:r>
          </w:p>
        </w:tc>
        <w:tc>
          <w:tcPr>
            <w:tcW w:type="dxa" w:w="1995"/>
          </w:tcPr>
          <w:p>
            <w:pPr>
              <w:spacing w:after="0" w:line="240" w:lineRule="auto"/>
              <w:ind w:firstLine="0"/>
              <w:jc w:val="center"/>
            </w:pPr>
            <w:r>
              <w:rPr>
                <w:b w:val="0"/>
                <w:i w:val="0"/>
                <w:sz w:val="20"/>
              </w:rPr>
              <w:t>15</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429</w:t>
            </w:r>
          </w:p>
        </w:tc>
        <w:tc>
          <w:tcPr>
            <w:tcW w:type="dxa" w:w="1995"/>
          </w:tcPr>
          <w:p>
            <w:pPr>
              <w:spacing w:after="0" w:line="240" w:lineRule="auto"/>
              <w:ind w:firstLine="0"/>
              <w:jc w:val="center"/>
            </w:pPr>
            <w:r>
              <w:rPr>
                <w:b w:val="0"/>
                <w:i w:val="0"/>
                <w:sz w:val="20"/>
              </w:rPr>
              <w:t>средний</w:t>
            </w:r>
          </w:p>
        </w:tc>
      </w:tr>
    </w:tbl>
    <w:p>
      <w:pPr>
        <w:spacing w:after="180"/>
        <w:ind w:firstLine="0"/>
      </w:pPr>
      <w:r>
        <w:rPr>
          <w:i/>
          <w:sz w:val="20"/>
        </w:rPr>
        <w:t>Источник: расчёт аналитического центра на основе данных табл. 4, 9 и оценок потребления 2024 г.</w:t>
      </w:r>
    </w:p>
    <w:p>
      <w:r>
        <w:rPr>
          <w:b w:val="0"/>
          <w:i w:val="0"/>
        </w:rPr>
        <w:t>Расчёт подтверждает вывод раздела 1.5: даже наиболее «напряжённые» позиции — тербий и диспрозий — обеспечены запасами более чем на 200 лет. Проблема отрасли не в исчерпании ресурсов, а в темпах ввода мощностей, способных эти ресурсы освоить, и в географической концентрации существующих мощностей.</w:t>
      </w:r>
    </w:p>
    <w:p>
      <w:pPr>
        <w:keepNext/>
        <w:spacing w:before="160" w:after="60"/>
        <w:ind w:firstLine="0"/>
        <w:jc w:val="left"/>
      </w:pPr>
      <w:r>
        <w:rPr>
          <w:b/>
          <w:sz w:val="22"/>
        </w:rPr>
        <w:t>Рисунок 9. Обеспеченность мировых запасов по отдельным элементам при уровне потребления 2024 г., лет</w:t>
      </w:r>
    </w:p>
    <w:p>
      <w:pPr>
        <w:ind w:firstLine="0"/>
        <w:jc w:val="center"/>
      </w:pPr>
      <w:r>
        <w:drawing>
          <wp:inline xmlns:a="http://schemas.openxmlformats.org/drawingml/2006/main" xmlns:pic="http://schemas.openxmlformats.org/drawingml/2006/picture">
            <wp:extent cx="5580000" cy="2749565"/>
            <wp:docPr id="9" name="Picture 9"/>
            <wp:cNvGraphicFramePr>
              <a:graphicFrameLocks noChangeAspect="1"/>
            </wp:cNvGraphicFramePr>
            <a:graphic>
              <a:graphicData uri="http://schemas.openxmlformats.org/drawingml/2006/picture">
                <pic:pic>
                  <pic:nvPicPr>
                    <pic:cNvPr id="0" name="fig9.png"/>
                    <pic:cNvPicPr/>
                  </pic:nvPicPr>
                  <pic:blipFill>
                    <a:blip r:embed="rId19"/>
                    <a:stretch>
                      <a:fillRect/>
                    </a:stretch>
                  </pic:blipFill>
                  <pic:spPr>
                    <a:xfrm>
                      <a:off x="0" y="0"/>
                      <a:ext cx="5580000" cy="2749565"/>
                    </a:xfrm>
                    <a:prstGeom prst="rect"/>
                  </pic:spPr>
                </pic:pic>
              </a:graphicData>
            </a:graphic>
          </wp:inline>
        </w:drawing>
      </w:r>
    </w:p>
    <w:p>
      <w:pPr>
        <w:spacing w:after="180"/>
        <w:ind w:firstLine="0"/>
      </w:pPr>
      <w:r>
        <w:rPr>
          <w:i/>
          <w:sz w:val="20"/>
        </w:rPr>
        <w:t>Источник: расчёт аналитического центра (табл. 14)</w:t>
      </w:r>
    </w:p>
    <w:p>
      <w:pPr>
        <w:pStyle w:val="Heading2"/>
      </w:pPr>
      <w:r>
        <w:rPr>
          <w:b w:val="0"/>
          <w:i w:val="0"/>
        </w:rPr>
        <w:t>2.7. Вторичные источники и рециклинг как элемент сырьевой базы</w:t>
      </w:r>
    </w:p>
    <w:p>
      <w:r>
        <w:rPr>
          <w:b w:val="0"/>
          <w:i w:val="0"/>
        </w:rPr>
        <w:t>Доля рециклинга в мировом обеспечении редкоземельными металлами по состоянию на 2025 г. не превышает 1–3%, что является одним из наименьших показателей среди промышленных металлов (для сравнения: медь — свыше 30%, свинец — свыше 60%). Причины низкой степени рециклинга:</w:t>
      </w:r>
    </w:p>
    <w:p>
      <w:pPr>
        <w:pStyle w:val="ListBullet"/>
        <w:spacing w:after="20"/>
        <w:ind w:firstLine="0"/>
      </w:pPr>
      <w:r>
        <w:rPr>
          <w:b w:val="0"/>
          <w:i w:val="0"/>
        </w:rPr>
        <w:t>рассеянность РЗМ в конечных изделиях: в электродвигателе стиральной машины содержится 30–80 г магнита, в жёстком диске — 10–20 г, извлечение требует ручной разборки;</w:t>
      </w:r>
    </w:p>
    <w:p>
      <w:pPr>
        <w:pStyle w:val="ListBullet"/>
        <w:spacing w:after="20"/>
        <w:ind w:firstLine="0"/>
      </w:pPr>
      <w:r>
        <w:rPr>
          <w:b w:val="0"/>
          <w:i w:val="0"/>
        </w:rPr>
        <w:t>отсутствие организованных потоков сбора: магниты не выделяются в отдельную фракцию при переработке лома, а попадают в стальной скрап, где редкие земли безвозвратно теряются в шлаке;</w:t>
      </w:r>
    </w:p>
    <w:p>
      <w:pPr>
        <w:pStyle w:val="ListBullet"/>
        <w:spacing w:after="20"/>
        <w:ind w:firstLine="0"/>
      </w:pPr>
      <w:r>
        <w:rPr>
          <w:b w:val="0"/>
          <w:i w:val="0"/>
        </w:rPr>
        <w:t>конкуренция с дешёвым первичным сырьём;</w:t>
      </w:r>
    </w:p>
    <w:p>
      <w:pPr>
        <w:pStyle w:val="ListBullet"/>
        <w:spacing w:after="20"/>
        <w:ind w:firstLine="0"/>
      </w:pPr>
      <w:r>
        <w:rPr>
          <w:b w:val="0"/>
          <w:i w:val="0"/>
        </w:rPr>
        <w:t>сложность отделения магнитного лома от корпусных сталей.</w:t>
      </w:r>
    </w:p>
    <w:p>
      <w:r>
        <w:rPr>
          <w:b w:val="0"/>
          <w:i w:val="0"/>
        </w:rPr>
        <w:t>Вместе с тем именно рециклинг обладает наиболее благоприятной корзиной: отработанный магнит содержит около 31% NdPr и 2–9% диспрозия и тербия — соотношение, недостижимое ни в одном первичном сырье, кроме ионно-адсорбционных глин.</w:t>
      </w:r>
    </w:p>
    <w:p>
      <w:pPr>
        <w:keepNext/>
        <w:spacing w:before="160" w:after="60"/>
        <w:ind w:firstLine="0"/>
        <w:jc w:val="left"/>
      </w:pPr>
      <w:r>
        <w:rPr>
          <w:b/>
          <w:sz w:val="22"/>
        </w:rPr>
        <w:t>Таблица 15. Содержание редкоземельных элементов во вторичном сырье</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Вид вторичного сырья</w:t>
            </w:r>
          </w:p>
        </w:tc>
        <w:tc>
          <w:tcPr>
            <w:tcW w:type="dxa" w:w="2493"/>
            <w:shd w:val="clear" w:fill="DCE6F1"/>
          </w:tcPr>
          <w:p>
            <w:pPr>
              <w:spacing w:after="0" w:line="240" w:lineRule="auto"/>
              <w:ind w:firstLine="0"/>
              <w:jc w:val="center"/>
            </w:pPr>
            <w:r>
              <w:rPr>
                <w:b/>
                <w:i w:val="0"/>
                <w:sz w:val="20"/>
              </w:rPr>
              <w:t>Содержание TREO, %</w:t>
            </w:r>
          </w:p>
        </w:tc>
        <w:tc>
          <w:tcPr>
            <w:tcW w:type="dxa" w:w="2493"/>
            <w:shd w:val="clear" w:fill="DCE6F1"/>
          </w:tcPr>
          <w:p>
            <w:pPr>
              <w:spacing w:after="0" w:line="240" w:lineRule="auto"/>
              <w:ind w:firstLine="0"/>
              <w:jc w:val="center"/>
            </w:pPr>
            <w:r>
              <w:rPr>
                <w:b/>
                <w:i w:val="0"/>
                <w:sz w:val="20"/>
              </w:rPr>
              <w:t>Доминирующие элементы</w:t>
            </w:r>
          </w:p>
        </w:tc>
        <w:tc>
          <w:tcPr>
            <w:tcW w:type="dxa" w:w="2493"/>
            <w:shd w:val="clear" w:fill="DCE6F1"/>
          </w:tcPr>
          <w:p>
            <w:pPr>
              <w:spacing w:after="0" w:line="240" w:lineRule="auto"/>
              <w:ind w:firstLine="0"/>
              <w:jc w:val="center"/>
            </w:pPr>
            <w:r>
              <w:rPr>
                <w:b/>
                <w:i w:val="0"/>
                <w:sz w:val="20"/>
              </w:rPr>
              <w:t>Степень освоенности</w:t>
            </w:r>
          </w:p>
        </w:tc>
      </w:tr>
      <w:tr>
        <w:tc>
          <w:tcPr>
            <w:tcW w:type="dxa" w:w="2493"/>
          </w:tcPr>
          <w:p>
            <w:pPr>
              <w:spacing w:after="0" w:line="240" w:lineRule="auto"/>
              <w:ind w:firstLine="0"/>
              <w:jc w:val="left"/>
            </w:pPr>
            <w:r>
              <w:rPr>
                <w:b w:val="0"/>
                <w:i w:val="0"/>
                <w:sz w:val="20"/>
              </w:rPr>
              <w:t>Отработанные магниты NdFeB</w:t>
            </w:r>
          </w:p>
        </w:tc>
        <w:tc>
          <w:tcPr>
            <w:tcW w:type="dxa" w:w="2493"/>
          </w:tcPr>
          <w:p>
            <w:pPr>
              <w:spacing w:after="0" w:line="240" w:lineRule="auto"/>
              <w:ind w:firstLine="0"/>
              <w:jc w:val="center"/>
            </w:pPr>
            <w:r>
              <w:rPr>
                <w:b w:val="0"/>
                <w:i w:val="0"/>
                <w:sz w:val="20"/>
              </w:rPr>
              <w:t>28–33</w:t>
            </w:r>
          </w:p>
        </w:tc>
        <w:tc>
          <w:tcPr>
            <w:tcW w:type="dxa" w:w="2493"/>
          </w:tcPr>
          <w:p>
            <w:pPr>
              <w:spacing w:after="0" w:line="240" w:lineRule="auto"/>
              <w:ind w:firstLine="0"/>
              <w:jc w:val="center"/>
            </w:pPr>
            <w:r>
              <w:rPr>
                <w:b w:val="0"/>
                <w:i w:val="0"/>
                <w:sz w:val="20"/>
              </w:rPr>
              <w:t>Nd, Pr, Dy, Tb</w:t>
            </w:r>
          </w:p>
        </w:tc>
        <w:tc>
          <w:tcPr>
            <w:tcW w:type="dxa" w:w="2493"/>
          </w:tcPr>
          <w:p>
            <w:pPr>
              <w:spacing w:after="0" w:line="240" w:lineRule="auto"/>
              <w:ind w:firstLine="0"/>
              <w:jc w:val="center"/>
            </w:pPr>
            <w:r>
              <w:rPr>
                <w:b w:val="0"/>
                <w:i w:val="0"/>
                <w:sz w:val="20"/>
              </w:rPr>
              <w:t>пилотная/начальная</w:t>
            </w:r>
          </w:p>
        </w:tc>
      </w:tr>
      <w:tr>
        <w:tc>
          <w:tcPr>
            <w:tcW w:type="dxa" w:w="2493"/>
          </w:tcPr>
          <w:p>
            <w:pPr>
              <w:spacing w:after="0" w:line="240" w:lineRule="auto"/>
              <w:ind w:firstLine="0"/>
              <w:jc w:val="left"/>
            </w:pPr>
            <w:r>
              <w:rPr>
                <w:b w:val="0"/>
                <w:i w:val="0"/>
                <w:sz w:val="20"/>
              </w:rPr>
              <w:t>Производственный скрап магнитов</w:t>
            </w:r>
          </w:p>
        </w:tc>
        <w:tc>
          <w:tcPr>
            <w:tcW w:type="dxa" w:w="2493"/>
          </w:tcPr>
          <w:p>
            <w:pPr>
              <w:spacing w:after="0" w:line="240" w:lineRule="auto"/>
              <w:ind w:firstLine="0"/>
              <w:jc w:val="center"/>
            </w:pPr>
            <w:r>
              <w:rPr>
                <w:b w:val="0"/>
                <w:i w:val="0"/>
                <w:sz w:val="20"/>
              </w:rPr>
              <w:t>30–33</w:t>
            </w:r>
          </w:p>
        </w:tc>
        <w:tc>
          <w:tcPr>
            <w:tcW w:type="dxa" w:w="2493"/>
          </w:tcPr>
          <w:p>
            <w:pPr>
              <w:spacing w:after="0" w:line="240" w:lineRule="auto"/>
              <w:ind w:firstLine="0"/>
              <w:jc w:val="center"/>
            </w:pPr>
            <w:r>
              <w:rPr>
                <w:b w:val="0"/>
                <w:i w:val="0"/>
                <w:sz w:val="20"/>
              </w:rPr>
              <w:t>Nd, Pr, Dy</w:t>
            </w:r>
          </w:p>
        </w:tc>
        <w:tc>
          <w:tcPr>
            <w:tcW w:type="dxa" w:w="2493"/>
          </w:tcPr>
          <w:p>
            <w:pPr>
              <w:spacing w:after="0" w:line="240" w:lineRule="auto"/>
              <w:ind w:firstLine="0"/>
              <w:jc w:val="center"/>
            </w:pPr>
            <w:r>
              <w:rPr>
                <w:b w:val="0"/>
                <w:i w:val="0"/>
                <w:sz w:val="20"/>
              </w:rPr>
              <w:t>промышленная (КНР)</w:t>
            </w:r>
          </w:p>
        </w:tc>
      </w:tr>
      <w:tr>
        <w:tc>
          <w:tcPr>
            <w:tcW w:type="dxa" w:w="2493"/>
          </w:tcPr>
          <w:p>
            <w:pPr>
              <w:spacing w:after="0" w:line="240" w:lineRule="auto"/>
              <w:ind w:firstLine="0"/>
              <w:jc w:val="left"/>
            </w:pPr>
            <w:r>
              <w:rPr>
                <w:b w:val="0"/>
                <w:i w:val="0"/>
                <w:sz w:val="20"/>
              </w:rPr>
              <w:t>Аккумуляторы NiMH</w:t>
            </w:r>
          </w:p>
        </w:tc>
        <w:tc>
          <w:tcPr>
            <w:tcW w:type="dxa" w:w="2493"/>
          </w:tcPr>
          <w:p>
            <w:pPr>
              <w:spacing w:after="0" w:line="240" w:lineRule="auto"/>
              <w:ind w:firstLine="0"/>
              <w:jc w:val="center"/>
            </w:pPr>
            <w:r>
              <w:rPr>
                <w:b w:val="0"/>
                <w:i w:val="0"/>
                <w:sz w:val="20"/>
              </w:rPr>
              <w:t>8–12</w:t>
            </w:r>
          </w:p>
        </w:tc>
        <w:tc>
          <w:tcPr>
            <w:tcW w:type="dxa" w:w="2493"/>
          </w:tcPr>
          <w:p>
            <w:pPr>
              <w:spacing w:after="0" w:line="240" w:lineRule="auto"/>
              <w:ind w:firstLine="0"/>
              <w:jc w:val="center"/>
            </w:pPr>
            <w:r>
              <w:rPr>
                <w:b w:val="0"/>
                <w:i w:val="0"/>
                <w:sz w:val="20"/>
              </w:rPr>
              <w:t>La, Ce, Nd</w:t>
            </w:r>
          </w:p>
        </w:tc>
        <w:tc>
          <w:tcPr>
            <w:tcW w:type="dxa" w:w="2493"/>
          </w:tcPr>
          <w:p>
            <w:pPr>
              <w:spacing w:after="0" w:line="240" w:lineRule="auto"/>
              <w:ind w:firstLine="0"/>
              <w:jc w:val="center"/>
            </w:pPr>
            <w:r>
              <w:rPr>
                <w:b w:val="0"/>
                <w:i w:val="0"/>
                <w:sz w:val="20"/>
              </w:rPr>
              <w:t>промышленная (ограниченно)</w:t>
            </w:r>
          </w:p>
        </w:tc>
      </w:tr>
      <w:tr>
        <w:tc>
          <w:tcPr>
            <w:tcW w:type="dxa" w:w="2493"/>
          </w:tcPr>
          <w:p>
            <w:pPr>
              <w:spacing w:after="0" w:line="240" w:lineRule="auto"/>
              <w:ind w:firstLine="0"/>
              <w:jc w:val="left"/>
            </w:pPr>
            <w:r>
              <w:rPr>
                <w:b w:val="0"/>
                <w:i w:val="0"/>
                <w:sz w:val="20"/>
              </w:rPr>
              <w:t>Люминофорный лом</w:t>
            </w:r>
          </w:p>
        </w:tc>
        <w:tc>
          <w:tcPr>
            <w:tcW w:type="dxa" w:w="2493"/>
          </w:tcPr>
          <w:p>
            <w:pPr>
              <w:spacing w:after="0" w:line="240" w:lineRule="auto"/>
              <w:ind w:firstLine="0"/>
              <w:jc w:val="center"/>
            </w:pPr>
            <w:r>
              <w:rPr>
                <w:b w:val="0"/>
                <w:i w:val="0"/>
                <w:sz w:val="20"/>
              </w:rPr>
              <w:t>10–20</w:t>
            </w:r>
          </w:p>
        </w:tc>
        <w:tc>
          <w:tcPr>
            <w:tcW w:type="dxa" w:w="2493"/>
          </w:tcPr>
          <w:p>
            <w:pPr>
              <w:spacing w:after="0" w:line="240" w:lineRule="auto"/>
              <w:ind w:firstLine="0"/>
              <w:jc w:val="center"/>
            </w:pPr>
            <w:r>
              <w:rPr>
                <w:b w:val="0"/>
                <w:i w:val="0"/>
                <w:sz w:val="20"/>
              </w:rPr>
              <w:t>Y, Eu, Tb</w:t>
            </w:r>
          </w:p>
        </w:tc>
        <w:tc>
          <w:tcPr>
            <w:tcW w:type="dxa" w:w="2493"/>
          </w:tcPr>
          <w:p>
            <w:pPr>
              <w:spacing w:after="0" w:line="240" w:lineRule="auto"/>
              <w:ind w:firstLine="0"/>
              <w:jc w:val="center"/>
            </w:pPr>
            <w:r>
              <w:rPr>
                <w:b w:val="0"/>
                <w:i w:val="0"/>
                <w:sz w:val="20"/>
              </w:rPr>
              <w:t>остановлена (низкий спрос)</w:t>
            </w:r>
          </w:p>
        </w:tc>
      </w:tr>
      <w:tr>
        <w:tc>
          <w:tcPr>
            <w:tcW w:type="dxa" w:w="2493"/>
          </w:tcPr>
          <w:p>
            <w:pPr>
              <w:spacing w:after="0" w:line="240" w:lineRule="auto"/>
              <w:ind w:firstLine="0"/>
              <w:jc w:val="left"/>
            </w:pPr>
            <w:r>
              <w:rPr>
                <w:b w:val="0"/>
                <w:i w:val="0"/>
                <w:sz w:val="20"/>
              </w:rPr>
              <w:t>Отработанные FCC-катализаторы</w:t>
            </w:r>
          </w:p>
        </w:tc>
        <w:tc>
          <w:tcPr>
            <w:tcW w:type="dxa" w:w="2493"/>
          </w:tcPr>
          <w:p>
            <w:pPr>
              <w:spacing w:after="0" w:line="240" w:lineRule="auto"/>
              <w:ind w:firstLine="0"/>
              <w:jc w:val="center"/>
            </w:pPr>
            <w:r>
              <w:rPr>
                <w:b w:val="0"/>
                <w:i w:val="0"/>
                <w:sz w:val="20"/>
              </w:rPr>
              <w:t>2–4</w:t>
            </w:r>
          </w:p>
        </w:tc>
        <w:tc>
          <w:tcPr>
            <w:tcW w:type="dxa" w:w="2493"/>
          </w:tcPr>
          <w:p>
            <w:pPr>
              <w:spacing w:after="0" w:line="240" w:lineRule="auto"/>
              <w:ind w:firstLine="0"/>
              <w:jc w:val="center"/>
            </w:pPr>
            <w:r>
              <w:rPr>
                <w:b w:val="0"/>
                <w:i w:val="0"/>
                <w:sz w:val="20"/>
              </w:rPr>
              <w:t>La, Ce</w:t>
            </w:r>
          </w:p>
        </w:tc>
        <w:tc>
          <w:tcPr>
            <w:tcW w:type="dxa" w:w="2493"/>
          </w:tcPr>
          <w:p>
            <w:pPr>
              <w:spacing w:after="0" w:line="240" w:lineRule="auto"/>
              <w:ind w:firstLine="0"/>
              <w:jc w:val="center"/>
            </w:pPr>
            <w:r>
              <w:rPr>
                <w:b w:val="0"/>
                <w:i w:val="0"/>
                <w:sz w:val="20"/>
              </w:rPr>
              <w:t>пилотная</w:t>
            </w:r>
          </w:p>
        </w:tc>
      </w:tr>
      <w:tr>
        <w:tc>
          <w:tcPr>
            <w:tcW w:type="dxa" w:w="2493"/>
          </w:tcPr>
          <w:p>
            <w:pPr>
              <w:spacing w:after="0" w:line="240" w:lineRule="auto"/>
              <w:ind w:firstLine="0"/>
              <w:jc w:val="left"/>
            </w:pPr>
            <w:r>
              <w:rPr>
                <w:b w:val="0"/>
                <w:i w:val="0"/>
                <w:sz w:val="20"/>
              </w:rPr>
              <w:t>Полировальные шламы</w:t>
            </w:r>
          </w:p>
        </w:tc>
        <w:tc>
          <w:tcPr>
            <w:tcW w:type="dxa" w:w="2493"/>
          </w:tcPr>
          <w:p>
            <w:pPr>
              <w:spacing w:after="0" w:line="240" w:lineRule="auto"/>
              <w:ind w:firstLine="0"/>
              <w:jc w:val="center"/>
            </w:pPr>
            <w:r>
              <w:rPr>
                <w:b w:val="0"/>
                <w:i w:val="0"/>
                <w:sz w:val="20"/>
              </w:rPr>
              <w:t>15–40</w:t>
            </w:r>
          </w:p>
        </w:tc>
        <w:tc>
          <w:tcPr>
            <w:tcW w:type="dxa" w:w="2493"/>
          </w:tcPr>
          <w:p>
            <w:pPr>
              <w:spacing w:after="0" w:line="240" w:lineRule="auto"/>
              <w:ind w:firstLine="0"/>
              <w:jc w:val="center"/>
            </w:pPr>
            <w:r>
              <w:rPr>
                <w:b w:val="0"/>
                <w:i w:val="0"/>
                <w:sz w:val="20"/>
              </w:rPr>
              <w:t>Ce, La</w:t>
            </w:r>
          </w:p>
        </w:tc>
        <w:tc>
          <w:tcPr>
            <w:tcW w:type="dxa" w:w="2493"/>
          </w:tcPr>
          <w:p>
            <w:pPr>
              <w:spacing w:after="0" w:line="240" w:lineRule="auto"/>
              <w:ind w:firstLine="0"/>
              <w:jc w:val="center"/>
            </w:pPr>
            <w:r>
              <w:rPr>
                <w:b w:val="0"/>
                <w:i w:val="0"/>
                <w:sz w:val="20"/>
              </w:rPr>
              <w:t>промышленная (КНР)</w:t>
            </w:r>
          </w:p>
        </w:tc>
      </w:tr>
      <w:tr>
        <w:tc>
          <w:tcPr>
            <w:tcW w:type="dxa" w:w="2493"/>
          </w:tcPr>
          <w:p>
            <w:pPr>
              <w:spacing w:after="0" w:line="240" w:lineRule="auto"/>
              <w:ind w:firstLine="0"/>
              <w:jc w:val="left"/>
            </w:pPr>
            <w:r>
              <w:rPr>
                <w:b w:val="0"/>
                <w:i w:val="0"/>
                <w:sz w:val="20"/>
              </w:rPr>
              <w:t>Фосфогипс</w:t>
            </w:r>
          </w:p>
        </w:tc>
        <w:tc>
          <w:tcPr>
            <w:tcW w:type="dxa" w:w="2493"/>
          </w:tcPr>
          <w:p>
            <w:pPr>
              <w:spacing w:after="0" w:line="240" w:lineRule="auto"/>
              <w:ind w:firstLine="0"/>
              <w:jc w:val="center"/>
            </w:pPr>
            <w:r>
              <w:rPr>
                <w:b w:val="0"/>
                <w:i w:val="0"/>
                <w:sz w:val="20"/>
              </w:rPr>
              <w:t>0,3–0,6</w:t>
            </w:r>
          </w:p>
        </w:tc>
        <w:tc>
          <w:tcPr>
            <w:tcW w:type="dxa" w:w="2493"/>
          </w:tcPr>
          <w:p>
            <w:pPr>
              <w:spacing w:after="0" w:line="240" w:lineRule="auto"/>
              <w:ind w:firstLine="0"/>
              <w:jc w:val="center"/>
            </w:pPr>
            <w:r>
              <w:rPr>
                <w:b w:val="0"/>
                <w:i w:val="0"/>
                <w:sz w:val="20"/>
              </w:rPr>
              <w:t>La, Ce, Nd, Y</w:t>
            </w:r>
          </w:p>
        </w:tc>
        <w:tc>
          <w:tcPr>
            <w:tcW w:type="dxa" w:w="2493"/>
          </w:tcPr>
          <w:p>
            <w:pPr>
              <w:spacing w:after="0" w:line="240" w:lineRule="auto"/>
              <w:ind w:firstLine="0"/>
              <w:jc w:val="center"/>
            </w:pPr>
            <w:r>
              <w:rPr>
                <w:b w:val="0"/>
                <w:i w:val="0"/>
                <w:sz w:val="20"/>
              </w:rPr>
              <w:t>пилотная</w:t>
            </w:r>
          </w:p>
        </w:tc>
      </w:tr>
      <w:tr>
        <w:tc>
          <w:tcPr>
            <w:tcW w:type="dxa" w:w="2493"/>
          </w:tcPr>
          <w:p>
            <w:pPr>
              <w:spacing w:after="0" w:line="240" w:lineRule="auto"/>
              <w:ind w:firstLine="0"/>
              <w:jc w:val="left"/>
            </w:pPr>
            <w:r>
              <w:rPr>
                <w:b w:val="0"/>
                <w:i w:val="0"/>
                <w:sz w:val="20"/>
              </w:rPr>
              <w:t>Красные шламы</w:t>
            </w:r>
          </w:p>
        </w:tc>
        <w:tc>
          <w:tcPr>
            <w:tcW w:type="dxa" w:w="2493"/>
          </w:tcPr>
          <w:p>
            <w:pPr>
              <w:spacing w:after="0" w:line="240" w:lineRule="auto"/>
              <w:ind w:firstLine="0"/>
              <w:jc w:val="center"/>
            </w:pPr>
            <w:r>
              <w:rPr>
                <w:b w:val="0"/>
                <w:i w:val="0"/>
                <w:sz w:val="20"/>
              </w:rPr>
              <w:t>0,05–0,12 (+Sc)</w:t>
            </w:r>
          </w:p>
        </w:tc>
        <w:tc>
          <w:tcPr>
            <w:tcW w:type="dxa" w:w="2493"/>
          </w:tcPr>
          <w:p>
            <w:pPr>
              <w:spacing w:after="0" w:line="240" w:lineRule="auto"/>
              <w:ind w:firstLine="0"/>
              <w:jc w:val="center"/>
            </w:pPr>
            <w:r>
              <w:rPr>
                <w:b w:val="0"/>
                <w:i w:val="0"/>
                <w:sz w:val="20"/>
              </w:rPr>
              <w:t>Sc, Y, La</w:t>
            </w:r>
          </w:p>
        </w:tc>
        <w:tc>
          <w:tcPr>
            <w:tcW w:type="dxa" w:w="2493"/>
          </w:tcPr>
          <w:p>
            <w:pPr>
              <w:spacing w:after="0" w:line="240" w:lineRule="auto"/>
              <w:ind w:firstLine="0"/>
              <w:jc w:val="center"/>
            </w:pPr>
            <w:r>
              <w:rPr>
                <w:b w:val="0"/>
                <w:i w:val="0"/>
                <w:sz w:val="20"/>
              </w:rPr>
              <w:t>пилотная</w:t>
            </w:r>
          </w:p>
        </w:tc>
      </w:tr>
    </w:tbl>
    <w:p>
      <w:pPr>
        <w:spacing w:after="180"/>
        <w:ind w:firstLine="0"/>
      </w:pPr>
      <w:r>
        <w:rPr>
          <w:i/>
          <w:sz w:val="20"/>
        </w:rPr>
        <w:t>Источник: аналитический центр по данным отраслевых публикаций и корпоративных раскрытий (Cyclic Materials, REEtec, Solvay, Hitachi)</w:t>
      </w:r>
    </w:p>
    <w:p>
      <w:pPr>
        <w:keepNext/>
        <w:spacing w:before="160" w:after="60"/>
        <w:ind w:firstLine="0"/>
        <w:jc w:val="left"/>
      </w:pPr>
      <w:r>
        <w:rPr>
          <w:b/>
          <w:sz w:val="22"/>
        </w:rPr>
        <w:t>Рисунок 10. Оценка мирового объёма рециклинга РЗМ и его доли в потреблении, 2015–2035 гг.</w:t>
      </w:r>
    </w:p>
    <w:p>
      <w:pPr>
        <w:ind w:firstLine="0"/>
        <w:jc w:val="center"/>
      </w:pPr>
      <w:r>
        <w:drawing>
          <wp:inline xmlns:a="http://schemas.openxmlformats.org/drawingml/2006/main" xmlns:pic="http://schemas.openxmlformats.org/drawingml/2006/picture">
            <wp:extent cx="5580000" cy="2731327"/>
            <wp:docPr id="10" name="Picture 10"/>
            <wp:cNvGraphicFramePr>
              <a:graphicFrameLocks noChangeAspect="1"/>
            </wp:cNvGraphicFramePr>
            <a:graphic>
              <a:graphicData uri="http://schemas.openxmlformats.org/drawingml/2006/picture">
                <pic:pic>
                  <pic:nvPicPr>
                    <pic:cNvPr id="0" name="fig10.png"/>
                    <pic:cNvPicPr/>
                  </pic:nvPicPr>
                  <pic:blipFill>
                    <a:blip r:embed="rId20"/>
                    <a:stretch>
                      <a:fillRect/>
                    </a:stretch>
                  </pic:blipFill>
                  <pic:spPr>
                    <a:xfrm>
                      <a:off x="0" y="0"/>
                      <a:ext cx="5580000" cy="2731327"/>
                    </a:xfrm>
                    <a:prstGeom prst="rect"/>
                  </pic:spPr>
                </pic:pic>
              </a:graphicData>
            </a:graphic>
          </wp:inline>
        </w:drawing>
      </w:r>
    </w:p>
    <w:p>
      <w:pPr>
        <w:spacing w:after="180"/>
        <w:ind w:firstLine="0"/>
      </w:pPr>
      <w:r>
        <w:rPr>
          <w:i/>
          <w:sz w:val="20"/>
        </w:rPr>
        <w:t>Источник: оценка и прогноз аналитического центра</w:t>
      </w:r>
    </w:p>
    <w:p>
      <w:r>
        <w:rPr>
          <w:b w:val="0"/>
          <w:i w:val="0"/>
        </w:rPr>
        <w:t>Прогноз, приведённый на рисунке 10, основан на предположении о выходе на утилизацию первой волны электромобилей и ветроустановок, введённых в эксплуатацию в 2015–2022 гг. Средний срок службы тягового двигателя составляет 12–15 лет, генератора ВЭУ — 20–25 лет, что определяет момент формирования значимых потоков вторичного сырья на рубеже 2030-х гг. К этому же периоду относится ожидаемый выход на проектную мощность заводов рециклинга Cyclic Materials (Канада), Solvay (Франция), REEtec (Норвегия), Ionic Rare Earths (Великобритания), Noveon Magnetics и Cyclic (США).</w:t>
      </w:r>
    </w:p>
    <w:p>
      <w:r>
        <w:br w:type="page"/>
      </w:r>
    </w:p>
    <w:p>
      <w:pPr>
        <w:pStyle w:val="Heading1"/>
      </w:pPr>
      <w:r>
        <w:rPr>
          <w:b w:val="0"/>
          <w:i w:val="0"/>
        </w:rPr>
        <w:t>3. Мировая добыча и производство редкоземельной продукции</w:t>
      </w:r>
    </w:p>
    <w:p>
      <w:pPr>
        <w:pStyle w:val="Heading2"/>
      </w:pPr>
      <w:r>
        <w:rPr>
          <w:b w:val="0"/>
          <w:i w:val="0"/>
        </w:rPr>
        <w:t>3.1. Динамика мировой добычи в 2010–2025 гг.</w:t>
      </w:r>
    </w:p>
    <w:p>
      <w:r>
        <w:rPr>
          <w:b w:val="0"/>
          <w:i w:val="0"/>
        </w:rPr>
        <w:t>Динамика мирового производства редкоземельного сырья за последние полтора десятилетия распадается на четыре отчётливо различимых периода.</w:t>
      </w:r>
    </w:p>
    <w:p>
      <w:r>
        <w:rPr>
          <w:b/>
          <w:i w:val="0"/>
        </w:rPr>
        <w:t>2010–2014 гг. — период «редкоземельного кризиса» и его последствий.</w:t>
      </w:r>
      <w:r>
        <w:rPr>
          <w:b w:val="0"/>
          <w:i w:val="0"/>
        </w:rPr>
        <w:t xml:space="preserve"> Резкое сокращение Китаем экспортных квот в 2010 г. на фоне обострения отношений с Японией вызвало беспрецедентный ценовой шок: котировки отдельных оксидов выросли в 10–25 раз в течение нескольких месяцев. Реакцией стала волна проектов за пределами КНР (по разным оценкам, было анонсировано свыше 400 проектов) и одновременное сокращение спроса вследствие замещения и экономии материала. Мировая добыча в этот период стагнировала на уровне 110–130 тыс. т TREO. Победа Японии, США и ЕС в споре против Китая в ВТО (решение 2014 г.) привела к отмене экспортных квот в 2015 г.</w:t>
      </w:r>
    </w:p>
    <w:p>
      <w:r>
        <w:rPr>
          <w:b/>
          <w:i w:val="0"/>
        </w:rPr>
        <w:t>2015–2018 гг. — период низких цен и консолидации.</w:t>
      </w:r>
      <w:r>
        <w:rPr>
          <w:b w:val="0"/>
          <w:i w:val="0"/>
        </w:rPr>
        <w:t xml:space="preserve"> Обвал цен привёл к банкротству Molycorp (2015 г.), финансовым трудностям Lynas и закрытию большинства проектов «первой волны». В КНР была проведена реформа отрасли: разрозненные производители консолидированы в шесть государственных групп, введена система квот на добычу и разделение, начата борьба с нелегальной добычей. Мировая добыча выросла до 190 тыс. т TREO.</w:t>
      </w:r>
    </w:p>
    <w:p>
      <w:r>
        <w:rPr>
          <w:b/>
          <w:i w:val="0"/>
        </w:rPr>
        <w:t>2019–2022 гг. — период структурного роста спроса.</w:t>
      </w:r>
      <w:r>
        <w:rPr>
          <w:b w:val="0"/>
          <w:i w:val="0"/>
        </w:rPr>
        <w:t xml:space="preserve"> Взрывной рост производства электромобилей и ветроэнергетики сформировал устойчивый спрос на NdPr. Мировая добыча выросла с 220 до 300 тыс. т TREO. Возобновилось производство на Mountain Pass, резко нарастила выпуск Мьянма.</w:t>
      </w:r>
    </w:p>
    <w:p>
      <w:r>
        <w:rPr>
          <w:b/>
          <w:i w:val="0"/>
        </w:rPr>
        <w:t>2023–2025 гг. — период геополитической перестройки.</w:t>
      </w:r>
      <w:r>
        <w:rPr>
          <w:b w:val="0"/>
          <w:i w:val="0"/>
        </w:rPr>
        <w:t xml:space="preserve"> Мировая добыча достигла 390–420 тыс. т TREO. Одновременно КНР перешла к использованию редкоземельной зависимости как инструмента внешнеэкономической политики: введены ограничения на экспорт технологий разделения (декабрь 2023 г.), приняты Правила управления редкоземельной отраслью (октябрь 2024 г.), введён экспортный контроль в отношении семи средних и тяжёлых элементов и магнитов (апрель 2025 г.) с последующим расширением перечня (октябрь 2025 г.).</w:t>
      </w:r>
    </w:p>
    <w:p>
      <w:pPr>
        <w:keepNext/>
        <w:spacing w:before="160" w:after="60"/>
        <w:ind w:firstLine="0"/>
        <w:jc w:val="left"/>
      </w:pPr>
      <w:r>
        <w:rPr>
          <w:b/>
          <w:sz w:val="22"/>
        </w:rPr>
        <w:t>Таблица 16. Мировая добыча редкоземельных металлов по странам в 2010–2025 гг., т TREO</w:t>
      </w:r>
    </w:p>
    <w:tbl>
      <w:tblPr>
        <w:tblStyle w:val="TableGrid"/>
        <w:tblW w:type="auto" w:w="0"/>
        <w:jc w:val="center"/>
        <w:tblLook w:firstColumn="1" w:firstRow="1" w:lastColumn="0" w:lastRow="0" w:noHBand="0" w:noVBand="1" w:val="04A0"/>
      </w:tblPr>
      <w:tblGrid>
        <w:gridCol w:w="1108"/>
        <w:gridCol w:w="1108"/>
        <w:gridCol w:w="1108"/>
        <w:gridCol w:w="1108"/>
        <w:gridCol w:w="1108"/>
        <w:gridCol w:w="1108"/>
        <w:gridCol w:w="1108"/>
        <w:gridCol w:w="1108"/>
        <w:gridCol w:w="1108"/>
      </w:tblGrid>
      <w:tr>
        <w:tc>
          <w:tcPr>
            <w:tcW w:type="dxa" w:w="1108"/>
            <w:shd w:val="clear" w:fill="DCE6F1"/>
          </w:tcPr>
          <w:p>
            <w:pPr>
              <w:spacing w:after="0" w:line="240" w:lineRule="auto"/>
              <w:ind w:firstLine="0"/>
              <w:jc w:val="center"/>
            </w:pPr>
            <w:r>
              <w:rPr>
                <w:b/>
                <w:i w:val="0"/>
                <w:sz w:val="20"/>
              </w:rPr>
              <w:t>Страна</w:t>
            </w:r>
          </w:p>
        </w:tc>
        <w:tc>
          <w:tcPr>
            <w:tcW w:type="dxa" w:w="1108"/>
            <w:shd w:val="clear" w:fill="DCE6F1"/>
          </w:tcPr>
          <w:p>
            <w:pPr>
              <w:spacing w:after="0" w:line="240" w:lineRule="auto"/>
              <w:ind w:firstLine="0"/>
              <w:jc w:val="center"/>
            </w:pPr>
            <w:r>
              <w:rPr>
                <w:b/>
                <w:i w:val="0"/>
                <w:sz w:val="20"/>
              </w:rPr>
              <w:t>2010</w:t>
            </w:r>
          </w:p>
        </w:tc>
        <w:tc>
          <w:tcPr>
            <w:tcW w:type="dxa" w:w="1108"/>
            <w:shd w:val="clear" w:fill="DCE6F1"/>
          </w:tcPr>
          <w:p>
            <w:pPr>
              <w:spacing w:after="0" w:line="240" w:lineRule="auto"/>
              <w:ind w:firstLine="0"/>
              <w:jc w:val="center"/>
            </w:pPr>
            <w:r>
              <w:rPr>
                <w:b/>
                <w:i w:val="0"/>
                <w:sz w:val="20"/>
              </w:rPr>
              <w:t>2013</w:t>
            </w:r>
          </w:p>
        </w:tc>
        <w:tc>
          <w:tcPr>
            <w:tcW w:type="dxa" w:w="1108"/>
            <w:shd w:val="clear" w:fill="DCE6F1"/>
          </w:tcPr>
          <w:p>
            <w:pPr>
              <w:spacing w:after="0" w:line="240" w:lineRule="auto"/>
              <w:ind w:firstLine="0"/>
              <w:jc w:val="center"/>
            </w:pPr>
            <w:r>
              <w:rPr>
                <w:b/>
                <w:i w:val="0"/>
                <w:sz w:val="20"/>
              </w:rPr>
              <w:t>2016</w:t>
            </w:r>
          </w:p>
        </w:tc>
        <w:tc>
          <w:tcPr>
            <w:tcW w:type="dxa" w:w="1108"/>
            <w:shd w:val="clear" w:fill="DCE6F1"/>
          </w:tcPr>
          <w:p>
            <w:pPr>
              <w:spacing w:after="0" w:line="240" w:lineRule="auto"/>
              <w:ind w:firstLine="0"/>
              <w:jc w:val="center"/>
            </w:pPr>
            <w:r>
              <w:rPr>
                <w:b/>
                <w:i w:val="0"/>
                <w:sz w:val="20"/>
              </w:rPr>
              <w:t>2019</w:t>
            </w:r>
          </w:p>
        </w:tc>
        <w:tc>
          <w:tcPr>
            <w:tcW w:type="dxa" w:w="1108"/>
            <w:shd w:val="clear" w:fill="DCE6F1"/>
          </w:tcPr>
          <w:p>
            <w:pPr>
              <w:spacing w:after="0" w:line="240" w:lineRule="auto"/>
              <w:ind w:firstLine="0"/>
              <w:jc w:val="center"/>
            </w:pPr>
            <w:r>
              <w:rPr>
                <w:b/>
                <w:i w:val="0"/>
                <w:sz w:val="20"/>
              </w:rPr>
              <w:t>2021</w:t>
            </w:r>
          </w:p>
        </w:tc>
        <w:tc>
          <w:tcPr>
            <w:tcW w:type="dxa" w:w="1108"/>
            <w:shd w:val="clear" w:fill="DCE6F1"/>
          </w:tcPr>
          <w:p>
            <w:pPr>
              <w:spacing w:after="0" w:line="240" w:lineRule="auto"/>
              <w:ind w:firstLine="0"/>
              <w:jc w:val="center"/>
            </w:pPr>
            <w:r>
              <w:rPr>
                <w:b/>
                <w:i w:val="0"/>
                <w:sz w:val="20"/>
              </w:rPr>
              <w:t>2023</w:t>
            </w:r>
          </w:p>
        </w:tc>
        <w:tc>
          <w:tcPr>
            <w:tcW w:type="dxa" w:w="1108"/>
            <w:shd w:val="clear" w:fill="DCE6F1"/>
          </w:tcPr>
          <w:p>
            <w:pPr>
              <w:spacing w:after="0" w:line="240" w:lineRule="auto"/>
              <w:ind w:firstLine="0"/>
              <w:jc w:val="center"/>
            </w:pPr>
            <w:r>
              <w:rPr>
                <w:b/>
                <w:i w:val="0"/>
                <w:sz w:val="20"/>
              </w:rPr>
              <w:t>2024</w:t>
            </w:r>
          </w:p>
        </w:tc>
        <w:tc>
          <w:tcPr>
            <w:tcW w:type="dxa" w:w="1108"/>
            <w:shd w:val="clear" w:fill="DCE6F1"/>
          </w:tcPr>
          <w:p>
            <w:pPr>
              <w:spacing w:after="0" w:line="240" w:lineRule="auto"/>
              <w:ind w:firstLine="0"/>
              <w:jc w:val="center"/>
            </w:pPr>
            <w:r>
              <w:rPr>
                <w:b/>
                <w:i w:val="0"/>
                <w:sz w:val="20"/>
              </w:rPr>
              <w:t>2025 (оц.)</w:t>
            </w:r>
          </w:p>
        </w:tc>
      </w:tr>
      <w:tr>
        <w:tc>
          <w:tcPr>
            <w:tcW w:type="dxa" w:w="1108"/>
          </w:tcPr>
          <w:p>
            <w:pPr>
              <w:spacing w:after="0" w:line="240" w:lineRule="auto"/>
              <w:ind w:firstLine="0"/>
              <w:jc w:val="left"/>
            </w:pPr>
            <w:r>
              <w:rPr>
                <w:b w:val="0"/>
                <w:i w:val="0"/>
                <w:sz w:val="20"/>
              </w:rPr>
              <w:t>Китай</w:t>
            </w:r>
          </w:p>
        </w:tc>
        <w:tc>
          <w:tcPr>
            <w:tcW w:type="dxa" w:w="1108"/>
          </w:tcPr>
          <w:p>
            <w:pPr>
              <w:spacing w:after="0" w:line="240" w:lineRule="auto"/>
              <w:ind w:firstLine="0"/>
              <w:jc w:val="center"/>
            </w:pPr>
            <w:r>
              <w:rPr>
                <w:b w:val="0"/>
                <w:i w:val="0"/>
                <w:sz w:val="20"/>
              </w:rPr>
              <w:t>120 000</w:t>
            </w:r>
          </w:p>
        </w:tc>
        <w:tc>
          <w:tcPr>
            <w:tcW w:type="dxa" w:w="1108"/>
          </w:tcPr>
          <w:p>
            <w:pPr>
              <w:spacing w:after="0" w:line="240" w:lineRule="auto"/>
              <w:ind w:firstLine="0"/>
              <w:jc w:val="center"/>
            </w:pPr>
            <w:r>
              <w:rPr>
                <w:b w:val="0"/>
                <w:i w:val="0"/>
                <w:sz w:val="20"/>
              </w:rPr>
              <w:t>95 000</w:t>
            </w:r>
          </w:p>
        </w:tc>
        <w:tc>
          <w:tcPr>
            <w:tcW w:type="dxa" w:w="1108"/>
          </w:tcPr>
          <w:p>
            <w:pPr>
              <w:spacing w:after="0" w:line="240" w:lineRule="auto"/>
              <w:ind w:firstLine="0"/>
              <w:jc w:val="center"/>
            </w:pPr>
            <w:r>
              <w:rPr>
                <w:b w:val="0"/>
                <w:i w:val="0"/>
                <w:sz w:val="20"/>
              </w:rPr>
              <w:t>105 000</w:t>
            </w:r>
          </w:p>
        </w:tc>
        <w:tc>
          <w:tcPr>
            <w:tcW w:type="dxa" w:w="1108"/>
          </w:tcPr>
          <w:p>
            <w:pPr>
              <w:spacing w:after="0" w:line="240" w:lineRule="auto"/>
              <w:ind w:firstLine="0"/>
              <w:jc w:val="center"/>
            </w:pPr>
            <w:r>
              <w:rPr>
                <w:b w:val="0"/>
                <w:i w:val="0"/>
                <w:sz w:val="20"/>
              </w:rPr>
              <w:t>132 000</w:t>
            </w:r>
          </w:p>
        </w:tc>
        <w:tc>
          <w:tcPr>
            <w:tcW w:type="dxa" w:w="1108"/>
          </w:tcPr>
          <w:p>
            <w:pPr>
              <w:spacing w:after="0" w:line="240" w:lineRule="auto"/>
              <w:ind w:firstLine="0"/>
              <w:jc w:val="center"/>
            </w:pPr>
            <w:r>
              <w:rPr>
                <w:b w:val="0"/>
                <w:i w:val="0"/>
                <w:sz w:val="20"/>
              </w:rPr>
              <w:t>168 000</w:t>
            </w:r>
          </w:p>
        </w:tc>
        <w:tc>
          <w:tcPr>
            <w:tcW w:type="dxa" w:w="1108"/>
          </w:tcPr>
          <w:p>
            <w:pPr>
              <w:spacing w:after="0" w:line="240" w:lineRule="auto"/>
              <w:ind w:firstLine="0"/>
              <w:jc w:val="center"/>
            </w:pPr>
            <w:r>
              <w:rPr>
                <w:b w:val="0"/>
                <w:i w:val="0"/>
                <w:sz w:val="20"/>
              </w:rPr>
              <w:t>240 000</w:t>
            </w:r>
          </w:p>
        </w:tc>
        <w:tc>
          <w:tcPr>
            <w:tcW w:type="dxa" w:w="1108"/>
          </w:tcPr>
          <w:p>
            <w:pPr>
              <w:spacing w:after="0" w:line="240" w:lineRule="auto"/>
              <w:ind w:firstLine="0"/>
              <w:jc w:val="center"/>
            </w:pPr>
            <w:r>
              <w:rPr>
                <w:b w:val="0"/>
                <w:i w:val="0"/>
                <w:sz w:val="20"/>
              </w:rPr>
              <w:t>270 000</w:t>
            </w:r>
          </w:p>
        </w:tc>
        <w:tc>
          <w:tcPr>
            <w:tcW w:type="dxa" w:w="1108"/>
          </w:tcPr>
          <w:p>
            <w:pPr>
              <w:spacing w:after="0" w:line="240" w:lineRule="auto"/>
              <w:ind w:firstLine="0"/>
              <w:jc w:val="center"/>
            </w:pPr>
            <w:r>
              <w:rPr>
                <w:b w:val="0"/>
                <w:i w:val="0"/>
                <w:sz w:val="20"/>
              </w:rPr>
              <w:t>285 000</w:t>
            </w:r>
          </w:p>
        </w:tc>
      </w:tr>
      <w:tr>
        <w:tc>
          <w:tcPr>
            <w:tcW w:type="dxa" w:w="1108"/>
          </w:tcPr>
          <w:p>
            <w:pPr>
              <w:spacing w:after="0" w:line="240" w:lineRule="auto"/>
              <w:ind w:firstLine="0"/>
              <w:jc w:val="left"/>
            </w:pPr>
            <w:r>
              <w:rPr>
                <w:b w:val="0"/>
                <w:i w:val="0"/>
                <w:sz w:val="20"/>
              </w:rPr>
              <w:t>США</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5 500</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28 000</w:t>
            </w:r>
          </w:p>
        </w:tc>
        <w:tc>
          <w:tcPr>
            <w:tcW w:type="dxa" w:w="1108"/>
          </w:tcPr>
          <w:p>
            <w:pPr>
              <w:spacing w:after="0" w:line="240" w:lineRule="auto"/>
              <w:ind w:firstLine="0"/>
              <w:jc w:val="center"/>
            </w:pPr>
            <w:r>
              <w:rPr>
                <w:b w:val="0"/>
                <w:i w:val="0"/>
                <w:sz w:val="20"/>
              </w:rPr>
              <w:t>42 000</w:t>
            </w:r>
          </w:p>
        </w:tc>
        <w:tc>
          <w:tcPr>
            <w:tcW w:type="dxa" w:w="1108"/>
          </w:tcPr>
          <w:p>
            <w:pPr>
              <w:spacing w:after="0" w:line="240" w:lineRule="auto"/>
              <w:ind w:firstLine="0"/>
              <w:jc w:val="center"/>
            </w:pPr>
            <w:r>
              <w:rPr>
                <w:b w:val="0"/>
                <w:i w:val="0"/>
                <w:sz w:val="20"/>
              </w:rPr>
              <w:t>41 000</w:t>
            </w:r>
          </w:p>
        </w:tc>
        <w:tc>
          <w:tcPr>
            <w:tcW w:type="dxa" w:w="1108"/>
          </w:tcPr>
          <w:p>
            <w:pPr>
              <w:spacing w:after="0" w:line="240" w:lineRule="auto"/>
              <w:ind w:firstLine="0"/>
              <w:jc w:val="center"/>
            </w:pPr>
            <w:r>
              <w:rPr>
                <w:b w:val="0"/>
                <w:i w:val="0"/>
                <w:sz w:val="20"/>
              </w:rPr>
              <w:t>45 000</w:t>
            </w:r>
          </w:p>
        </w:tc>
        <w:tc>
          <w:tcPr>
            <w:tcW w:type="dxa" w:w="1108"/>
          </w:tcPr>
          <w:p>
            <w:pPr>
              <w:spacing w:after="0" w:line="240" w:lineRule="auto"/>
              <w:ind w:firstLine="0"/>
              <w:jc w:val="center"/>
            </w:pPr>
            <w:r>
              <w:rPr>
                <w:b w:val="0"/>
                <w:i w:val="0"/>
                <w:sz w:val="20"/>
              </w:rPr>
              <w:t>47 000</w:t>
            </w:r>
          </w:p>
        </w:tc>
      </w:tr>
      <w:tr>
        <w:tc>
          <w:tcPr>
            <w:tcW w:type="dxa" w:w="1108"/>
          </w:tcPr>
          <w:p>
            <w:pPr>
              <w:spacing w:after="0" w:line="240" w:lineRule="auto"/>
              <w:ind w:firstLine="0"/>
              <w:jc w:val="left"/>
            </w:pPr>
            <w:r>
              <w:rPr>
                <w:b w:val="0"/>
                <w:i w:val="0"/>
                <w:sz w:val="20"/>
              </w:rPr>
              <w:t>Мьянма</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8 000</w:t>
            </w:r>
          </w:p>
        </w:tc>
        <w:tc>
          <w:tcPr>
            <w:tcW w:type="dxa" w:w="1108"/>
          </w:tcPr>
          <w:p>
            <w:pPr>
              <w:spacing w:after="0" w:line="240" w:lineRule="auto"/>
              <w:ind w:firstLine="0"/>
              <w:jc w:val="center"/>
            </w:pPr>
            <w:r>
              <w:rPr>
                <w:b w:val="0"/>
                <w:i w:val="0"/>
                <w:sz w:val="20"/>
              </w:rPr>
              <w:t>25 000</w:t>
            </w:r>
          </w:p>
        </w:tc>
        <w:tc>
          <w:tcPr>
            <w:tcW w:type="dxa" w:w="1108"/>
          </w:tcPr>
          <w:p>
            <w:pPr>
              <w:spacing w:after="0" w:line="240" w:lineRule="auto"/>
              <w:ind w:firstLine="0"/>
              <w:jc w:val="center"/>
            </w:pPr>
            <w:r>
              <w:rPr>
                <w:b w:val="0"/>
                <w:i w:val="0"/>
                <w:sz w:val="20"/>
              </w:rPr>
              <w:t>26 000</w:t>
            </w:r>
          </w:p>
        </w:tc>
        <w:tc>
          <w:tcPr>
            <w:tcW w:type="dxa" w:w="1108"/>
          </w:tcPr>
          <w:p>
            <w:pPr>
              <w:spacing w:after="0" w:line="240" w:lineRule="auto"/>
              <w:ind w:firstLine="0"/>
              <w:jc w:val="center"/>
            </w:pPr>
            <w:r>
              <w:rPr>
                <w:b w:val="0"/>
                <w:i w:val="0"/>
                <w:sz w:val="20"/>
              </w:rPr>
              <w:t>38 000</w:t>
            </w:r>
          </w:p>
        </w:tc>
        <w:tc>
          <w:tcPr>
            <w:tcW w:type="dxa" w:w="1108"/>
          </w:tcPr>
          <w:p>
            <w:pPr>
              <w:spacing w:after="0" w:line="240" w:lineRule="auto"/>
              <w:ind w:firstLine="0"/>
              <w:jc w:val="center"/>
            </w:pPr>
            <w:r>
              <w:rPr>
                <w:b w:val="0"/>
                <w:i w:val="0"/>
                <w:sz w:val="20"/>
              </w:rPr>
              <w:t>31 000</w:t>
            </w:r>
          </w:p>
        </w:tc>
        <w:tc>
          <w:tcPr>
            <w:tcW w:type="dxa" w:w="1108"/>
          </w:tcPr>
          <w:p>
            <w:pPr>
              <w:spacing w:after="0" w:line="240" w:lineRule="auto"/>
              <w:ind w:firstLine="0"/>
              <w:jc w:val="center"/>
            </w:pPr>
            <w:r>
              <w:rPr>
                <w:b w:val="0"/>
                <w:i w:val="0"/>
                <w:sz w:val="20"/>
              </w:rPr>
              <w:t>35 000</w:t>
            </w:r>
          </w:p>
        </w:tc>
      </w:tr>
      <w:tr>
        <w:tc>
          <w:tcPr>
            <w:tcW w:type="dxa" w:w="1108"/>
          </w:tcPr>
          <w:p>
            <w:pPr>
              <w:spacing w:after="0" w:line="240" w:lineRule="auto"/>
              <w:ind w:firstLine="0"/>
              <w:jc w:val="left"/>
            </w:pPr>
            <w:r>
              <w:rPr>
                <w:b w:val="0"/>
                <w:i w:val="0"/>
                <w:sz w:val="20"/>
              </w:rPr>
              <w:t>Австралия</w:t>
            </w:r>
          </w:p>
        </w:tc>
        <w:tc>
          <w:tcPr>
            <w:tcW w:type="dxa" w:w="1108"/>
          </w:tcPr>
          <w:p>
            <w:pPr>
              <w:spacing w:after="0" w:line="240" w:lineRule="auto"/>
              <w:ind w:firstLine="0"/>
              <w:jc w:val="center"/>
            </w:pPr>
            <w:r>
              <w:rPr>
                <w:b w:val="0"/>
                <w:i w:val="0"/>
                <w:sz w:val="20"/>
              </w:rPr>
              <w:t>2 000</w:t>
            </w:r>
          </w:p>
        </w:tc>
        <w:tc>
          <w:tcPr>
            <w:tcW w:type="dxa" w:w="1108"/>
          </w:tcPr>
          <w:p>
            <w:pPr>
              <w:spacing w:after="0" w:line="240" w:lineRule="auto"/>
              <w:ind w:firstLine="0"/>
              <w:jc w:val="center"/>
            </w:pPr>
            <w:r>
              <w:rPr>
                <w:b w:val="0"/>
                <w:i w:val="0"/>
                <w:sz w:val="20"/>
              </w:rPr>
              <w:t>3 000</w:t>
            </w:r>
          </w:p>
        </w:tc>
        <w:tc>
          <w:tcPr>
            <w:tcW w:type="dxa" w:w="1108"/>
          </w:tcPr>
          <w:p>
            <w:pPr>
              <w:spacing w:after="0" w:line="240" w:lineRule="auto"/>
              <w:ind w:firstLine="0"/>
              <w:jc w:val="center"/>
            </w:pPr>
            <w:r>
              <w:rPr>
                <w:b w:val="0"/>
                <w:i w:val="0"/>
                <w:sz w:val="20"/>
              </w:rPr>
              <w:t>14 000</w:t>
            </w:r>
          </w:p>
        </w:tc>
        <w:tc>
          <w:tcPr>
            <w:tcW w:type="dxa" w:w="1108"/>
          </w:tcPr>
          <w:p>
            <w:pPr>
              <w:spacing w:after="0" w:line="240" w:lineRule="auto"/>
              <w:ind w:firstLine="0"/>
              <w:jc w:val="center"/>
            </w:pPr>
            <w:r>
              <w:rPr>
                <w:b w:val="0"/>
                <w:i w:val="0"/>
                <w:sz w:val="20"/>
              </w:rPr>
              <w:t>20 000</w:t>
            </w:r>
          </w:p>
        </w:tc>
        <w:tc>
          <w:tcPr>
            <w:tcW w:type="dxa" w:w="1108"/>
          </w:tcPr>
          <w:p>
            <w:pPr>
              <w:spacing w:after="0" w:line="240" w:lineRule="auto"/>
              <w:ind w:firstLine="0"/>
              <w:jc w:val="center"/>
            </w:pPr>
            <w:r>
              <w:rPr>
                <w:b w:val="0"/>
                <w:i w:val="0"/>
                <w:sz w:val="20"/>
              </w:rPr>
              <w:t>22 000</w:t>
            </w:r>
          </w:p>
        </w:tc>
        <w:tc>
          <w:tcPr>
            <w:tcW w:type="dxa" w:w="1108"/>
          </w:tcPr>
          <w:p>
            <w:pPr>
              <w:spacing w:after="0" w:line="240" w:lineRule="auto"/>
              <w:ind w:firstLine="0"/>
              <w:jc w:val="center"/>
            </w:pPr>
            <w:r>
              <w:rPr>
                <w:b w:val="0"/>
                <w:i w:val="0"/>
                <w:sz w:val="20"/>
              </w:rPr>
              <w:t>16 000</w:t>
            </w:r>
          </w:p>
        </w:tc>
        <w:tc>
          <w:tcPr>
            <w:tcW w:type="dxa" w:w="1108"/>
          </w:tcPr>
          <w:p>
            <w:pPr>
              <w:spacing w:after="0" w:line="240" w:lineRule="auto"/>
              <w:ind w:firstLine="0"/>
              <w:jc w:val="center"/>
            </w:pPr>
            <w:r>
              <w:rPr>
                <w:b w:val="0"/>
                <w:i w:val="0"/>
                <w:sz w:val="20"/>
              </w:rPr>
              <w:t>13 000</w:t>
            </w:r>
          </w:p>
        </w:tc>
        <w:tc>
          <w:tcPr>
            <w:tcW w:type="dxa" w:w="1108"/>
          </w:tcPr>
          <w:p>
            <w:pPr>
              <w:spacing w:after="0" w:line="240" w:lineRule="auto"/>
              <w:ind w:firstLine="0"/>
              <w:jc w:val="center"/>
            </w:pPr>
            <w:r>
              <w:rPr>
                <w:b w:val="0"/>
                <w:i w:val="0"/>
                <w:sz w:val="20"/>
              </w:rPr>
              <w:t>15 000</w:t>
            </w:r>
          </w:p>
        </w:tc>
      </w:tr>
      <w:tr>
        <w:tc>
          <w:tcPr>
            <w:tcW w:type="dxa" w:w="1108"/>
          </w:tcPr>
          <w:p>
            <w:pPr>
              <w:spacing w:after="0" w:line="240" w:lineRule="auto"/>
              <w:ind w:firstLine="0"/>
              <w:jc w:val="left"/>
            </w:pPr>
            <w:r>
              <w:rPr>
                <w:b w:val="0"/>
                <w:i w:val="0"/>
                <w:sz w:val="20"/>
              </w:rPr>
              <w:t>Таиланд</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1 600</w:t>
            </w:r>
          </w:p>
        </w:tc>
        <w:tc>
          <w:tcPr>
            <w:tcW w:type="dxa" w:w="1108"/>
          </w:tcPr>
          <w:p>
            <w:pPr>
              <w:spacing w:after="0" w:line="240" w:lineRule="auto"/>
              <w:ind w:firstLine="0"/>
              <w:jc w:val="center"/>
            </w:pPr>
            <w:r>
              <w:rPr>
                <w:b w:val="0"/>
                <w:i w:val="0"/>
                <w:sz w:val="20"/>
              </w:rPr>
              <w:t>1 800</w:t>
            </w:r>
          </w:p>
        </w:tc>
        <w:tc>
          <w:tcPr>
            <w:tcW w:type="dxa" w:w="1108"/>
          </w:tcPr>
          <w:p>
            <w:pPr>
              <w:spacing w:after="0" w:line="240" w:lineRule="auto"/>
              <w:ind w:firstLine="0"/>
              <w:jc w:val="center"/>
            </w:pPr>
            <w:r>
              <w:rPr>
                <w:b w:val="0"/>
                <w:i w:val="0"/>
                <w:sz w:val="20"/>
              </w:rPr>
              <w:t>8 000</w:t>
            </w:r>
          </w:p>
        </w:tc>
        <w:tc>
          <w:tcPr>
            <w:tcW w:type="dxa" w:w="1108"/>
          </w:tcPr>
          <w:p>
            <w:pPr>
              <w:spacing w:after="0" w:line="240" w:lineRule="auto"/>
              <w:ind w:firstLine="0"/>
              <w:jc w:val="center"/>
            </w:pPr>
            <w:r>
              <w:rPr>
                <w:b w:val="0"/>
                <w:i w:val="0"/>
                <w:sz w:val="20"/>
              </w:rPr>
              <w:t>3 600</w:t>
            </w:r>
          </w:p>
        </w:tc>
        <w:tc>
          <w:tcPr>
            <w:tcW w:type="dxa" w:w="1108"/>
          </w:tcPr>
          <w:p>
            <w:pPr>
              <w:spacing w:after="0" w:line="240" w:lineRule="auto"/>
              <w:ind w:firstLine="0"/>
              <w:jc w:val="center"/>
            </w:pPr>
            <w:r>
              <w:rPr>
                <w:b w:val="0"/>
                <w:i w:val="0"/>
                <w:sz w:val="20"/>
              </w:rPr>
              <w:t>13 000</w:t>
            </w:r>
          </w:p>
        </w:tc>
        <w:tc>
          <w:tcPr>
            <w:tcW w:type="dxa" w:w="1108"/>
          </w:tcPr>
          <w:p>
            <w:pPr>
              <w:spacing w:after="0" w:line="240" w:lineRule="auto"/>
              <w:ind w:firstLine="0"/>
              <w:jc w:val="center"/>
            </w:pPr>
            <w:r>
              <w:rPr>
                <w:b w:val="0"/>
                <w:i w:val="0"/>
                <w:sz w:val="20"/>
              </w:rPr>
              <w:t>12 000</w:t>
            </w:r>
          </w:p>
        </w:tc>
      </w:tr>
      <w:tr>
        <w:tc>
          <w:tcPr>
            <w:tcW w:type="dxa" w:w="1108"/>
          </w:tcPr>
          <w:p>
            <w:pPr>
              <w:spacing w:after="0" w:line="240" w:lineRule="auto"/>
              <w:ind w:firstLine="0"/>
              <w:jc w:val="left"/>
            </w:pPr>
            <w:r>
              <w:rPr>
                <w:b w:val="0"/>
                <w:i w:val="0"/>
                <w:sz w:val="20"/>
              </w:rPr>
              <w:t>Нигерия</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6 000</w:t>
            </w:r>
          </w:p>
        </w:tc>
        <w:tc>
          <w:tcPr>
            <w:tcW w:type="dxa" w:w="1108"/>
          </w:tcPr>
          <w:p>
            <w:pPr>
              <w:spacing w:after="0" w:line="240" w:lineRule="auto"/>
              <w:ind w:firstLine="0"/>
              <w:jc w:val="center"/>
            </w:pPr>
            <w:r>
              <w:rPr>
                <w:b w:val="0"/>
                <w:i w:val="0"/>
                <w:sz w:val="20"/>
              </w:rPr>
              <w:t>13 000</w:t>
            </w:r>
          </w:p>
        </w:tc>
        <w:tc>
          <w:tcPr>
            <w:tcW w:type="dxa" w:w="1108"/>
          </w:tcPr>
          <w:p>
            <w:pPr>
              <w:spacing w:after="0" w:line="240" w:lineRule="auto"/>
              <w:ind w:firstLine="0"/>
              <w:jc w:val="center"/>
            </w:pPr>
            <w:r>
              <w:rPr>
                <w:b w:val="0"/>
                <w:i w:val="0"/>
                <w:sz w:val="20"/>
              </w:rPr>
              <w:t>14 000</w:t>
            </w:r>
          </w:p>
        </w:tc>
      </w:tr>
      <w:tr>
        <w:tc>
          <w:tcPr>
            <w:tcW w:type="dxa" w:w="1108"/>
          </w:tcPr>
          <w:p>
            <w:pPr>
              <w:spacing w:after="0" w:line="240" w:lineRule="auto"/>
              <w:ind w:firstLine="0"/>
              <w:jc w:val="left"/>
            </w:pPr>
            <w:r>
              <w:rPr>
                <w:b w:val="0"/>
                <w:i w:val="0"/>
                <w:sz w:val="20"/>
              </w:rPr>
              <w:t>Индия</w:t>
            </w:r>
          </w:p>
        </w:tc>
        <w:tc>
          <w:tcPr>
            <w:tcW w:type="dxa" w:w="1108"/>
          </w:tcPr>
          <w:p>
            <w:pPr>
              <w:spacing w:after="0" w:line="240" w:lineRule="auto"/>
              <w:ind w:firstLine="0"/>
              <w:jc w:val="center"/>
            </w:pPr>
            <w:r>
              <w:rPr>
                <w:b w:val="0"/>
                <w:i w:val="0"/>
                <w:sz w:val="20"/>
              </w:rPr>
              <w:t>2 800</w:t>
            </w:r>
          </w:p>
        </w:tc>
        <w:tc>
          <w:tcPr>
            <w:tcW w:type="dxa" w:w="1108"/>
          </w:tcPr>
          <w:p>
            <w:pPr>
              <w:spacing w:after="0" w:line="240" w:lineRule="auto"/>
              <w:ind w:firstLine="0"/>
              <w:jc w:val="center"/>
            </w:pPr>
            <w:r>
              <w:rPr>
                <w:b w:val="0"/>
                <w:i w:val="0"/>
                <w:sz w:val="20"/>
              </w:rPr>
              <w:t>2 900</w:t>
            </w:r>
          </w:p>
        </w:tc>
        <w:tc>
          <w:tcPr>
            <w:tcW w:type="dxa" w:w="1108"/>
          </w:tcPr>
          <w:p>
            <w:pPr>
              <w:spacing w:after="0" w:line="240" w:lineRule="auto"/>
              <w:ind w:firstLine="0"/>
              <w:jc w:val="center"/>
            </w:pPr>
            <w:r>
              <w:rPr>
                <w:b w:val="0"/>
                <w:i w:val="0"/>
                <w:sz w:val="20"/>
              </w:rPr>
              <w:t>1 500</w:t>
            </w:r>
          </w:p>
        </w:tc>
        <w:tc>
          <w:tcPr>
            <w:tcW w:type="dxa" w:w="1108"/>
          </w:tcPr>
          <w:p>
            <w:pPr>
              <w:spacing w:after="0" w:line="240" w:lineRule="auto"/>
              <w:ind w:firstLine="0"/>
              <w:jc w:val="center"/>
            </w:pPr>
            <w:r>
              <w:rPr>
                <w:b w:val="0"/>
                <w:i w:val="0"/>
                <w:sz w:val="20"/>
              </w:rPr>
              <w:t>2 900</w:t>
            </w:r>
          </w:p>
        </w:tc>
        <w:tc>
          <w:tcPr>
            <w:tcW w:type="dxa" w:w="1108"/>
          </w:tcPr>
          <w:p>
            <w:pPr>
              <w:spacing w:after="0" w:line="240" w:lineRule="auto"/>
              <w:ind w:firstLine="0"/>
              <w:jc w:val="center"/>
            </w:pPr>
            <w:r>
              <w:rPr>
                <w:b w:val="0"/>
                <w:i w:val="0"/>
                <w:sz w:val="20"/>
              </w:rPr>
              <w:t>2 900</w:t>
            </w:r>
          </w:p>
        </w:tc>
        <w:tc>
          <w:tcPr>
            <w:tcW w:type="dxa" w:w="1108"/>
          </w:tcPr>
          <w:p>
            <w:pPr>
              <w:spacing w:after="0" w:line="240" w:lineRule="auto"/>
              <w:ind w:firstLine="0"/>
              <w:jc w:val="center"/>
            </w:pPr>
            <w:r>
              <w:rPr>
                <w:b w:val="0"/>
                <w:i w:val="0"/>
                <w:sz w:val="20"/>
              </w:rPr>
              <w:t>2 900</w:t>
            </w:r>
          </w:p>
        </w:tc>
        <w:tc>
          <w:tcPr>
            <w:tcW w:type="dxa" w:w="1108"/>
          </w:tcPr>
          <w:p>
            <w:pPr>
              <w:spacing w:after="0" w:line="240" w:lineRule="auto"/>
              <w:ind w:firstLine="0"/>
              <w:jc w:val="center"/>
            </w:pPr>
            <w:r>
              <w:rPr>
                <w:b w:val="0"/>
                <w:i w:val="0"/>
                <w:sz w:val="20"/>
              </w:rPr>
              <w:t>2 900</w:t>
            </w:r>
          </w:p>
        </w:tc>
        <w:tc>
          <w:tcPr>
            <w:tcW w:type="dxa" w:w="1108"/>
          </w:tcPr>
          <w:p>
            <w:pPr>
              <w:spacing w:after="0" w:line="240" w:lineRule="auto"/>
              <w:ind w:firstLine="0"/>
              <w:jc w:val="center"/>
            </w:pPr>
            <w:r>
              <w:rPr>
                <w:b w:val="0"/>
                <w:i w:val="0"/>
                <w:sz w:val="20"/>
              </w:rPr>
              <w:t>3 000</w:t>
            </w:r>
          </w:p>
        </w:tc>
      </w:tr>
      <w:tr>
        <w:tc>
          <w:tcPr>
            <w:tcW w:type="dxa" w:w="1108"/>
          </w:tcPr>
          <w:p>
            <w:pPr>
              <w:spacing w:after="0" w:line="240" w:lineRule="auto"/>
              <w:ind w:firstLine="0"/>
              <w:jc w:val="left"/>
            </w:pPr>
            <w:r>
              <w:rPr>
                <w:b w:val="0"/>
                <w:i w:val="0"/>
                <w:sz w:val="20"/>
              </w:rPr>
              <w:t>Россия</w:t>
            </w:r>
          </w:p>
        </w:tc>
        <w:tc>
          <w:tcPr>
            <w:tcW w:type="dxa" w:w="1108"/>
          </w:tcPr>
          <w:p>
            <w:pPr>
              <w:spacing w:after="0" w:line="240" w:lineRule="auto"/>
              <w:ind w:firstLine="0"/>
              <w:jc w:val="center"/>
            </w:pPr>
            <w:r>
              <w:rPr>
                <w:b w:val="0"/>
                <w:i w:val="0"/>
                <w:sz w:val="20"/>
              </w:rPr>
              <w:t>2 400</w:t>
            </w:r>
          </w:p>
        </w:tc>
        <w:tc>
          <w:tcPr>
            <w:tcW w:type="dxa" w:w="1108"/>
          </w:tcPr>
          <w:p>
            <w:pPr>
              <w:spacing w:after="0" w:line="240" w:lineRule="auto"/>
              <w:ind w:firstLine="0"/>
              <w:jc w:val="center"/>
            </w:pPr>
            <w:r>
              <w:rPr>
                <w:b w:val="0"/>
                <w:i w:val="0"/>
                <w:sz w:val="20"/>
              </w:rPr>
              <w:t>2 500</w:t>
            </w:r>
          </w:p>
        </w:tc>
        <w:tc>
          <w:tcPr>
            <w:tcW w:type="dxa" w:w="1108"/>
          </w:tcPr>
          <w:p>
            <w:pPr>
              <w:spacing w:after="0" w:line="240" w:lineRule="auto"/>
              <w:ind w:firstLine="0"/>
              <w:jc w:val="center"/>
            </w:pPr>
            <w:r>
              <w:rPr>
                <w:b w:val="0"/>
                <w:i w:val="0"/>
                <w:sz w:val="20"/>
              </w:rPr>
              <w:t>2 800</w:t>
            </w:r>
          </w:p>
        </w:tc>
        <w:tc>
          <w:tcPr>
            <w:tcW w:type="dxa" w:w="1108"/>
          </w:tcPr>
          <w:p>
            <w:pPr>
              <w:spacing w:after="0" w:line="240" w:lineRule="auto"/>
              <w:ind w:firstLine="0"/>
              <w:jc w:val="center"/>
            </w:pPr>
            <w:r>
              <w:rPr>
                <w:b w:val="0"/>
                <w:i w:val="0"/>
                <w:sz w:val="20"/>
              </w:rPr>
              <w:t>2 700</w:t>
            </w:r>
          </w:p>
        </w:tc>
        <w:tc>
          <w:tcPr>
            <w:tcW w:type="dxa" w:w="1108"/>
          </w:tcPr>
          <w:p>
            <w:pPr>
              <w:spacing w:after="0" w:line="240" w:lineRule="auto"/>
              <w:ind w:firstLine="0"/>
              <w:jc w:val="center"/>
            </w:pPr>
            <w:r>
              <w:rPr>
                <w:b w:val="0"/>
                <w:i w:val="0"/>
                <w:sz w:val="20"/>
              </w:rPr>
              <w:t>2 600</w:t>
            </w:r>
          </w:p>
        </w:tc>
        <w:tc>
          <w:tcPr>
            <w:tcW w:type="dxa" w:w="1108"/>
          </w:tcPr>
          <w:p>
            <w:pPr>
              <w:spacing w:after="0" w:line="240" w:lineRule="auto"/>
              <w:ind w:firstLine="0"/>
              <w:jc w:val="center"/>
            </w:pPr>
            <w:r>
              <w:rPr>
                <w:b w:val="0"/>
                <w:i w:val="0"/>
                <w:sz w:val="20"/>
              </w:rPr>
              <w:t>2 500</w:t>
            </w:r>
          </w:p>
        </w:tc>
        <w:tc>
          <w:tcPr>
            <w:tcW w:type="dxa" w:w="1108"/>
          </w:tcPr>
          <w:p>
            <w:pPr>
              <w:spacing w:after="0" w:line="240" w:lineRule="auto"/>
              <w:ind w:firstLine="0"/>
              <w:jc w:val="center"/>
            </w:pPr>
            <w:r>
              <w:rPr>
                <w:b w:val="0"/>
                <w:i w:val="0"/>
                <w:sz w:val="20"/>
              </w:rPr>
              <w:t>2 500</w:t>
            </w:r>
          </w:p>
        </w:tc>
        <w:tc>
          <w:tcPr>
            <w:tcW w:type="dxa" w:w="1108"/>
          </w:tcPr>
          <w:p>
            <w:pPr>
              <w:spacing w:after="0" w:line="240" w:lineRule="auto"/>
              <w:ind w:firstLine="0"/>
              <w:jc w:val="center"/>
            </w:pPr>
            <w:r>
              <w:rPr>
                <w:b w:val="0"/>
                <w:i w:val="0"/>
                <w:sz w:val="20"/>
              </w:rPr>
              <w:t>2 600</w:t>
            </w:r>
          </w:p>
        </w:tc>
      </w:tr>
      <w:tr>
        <w:tc>
          <w:tcPr>
            <w:tcW w:type="dxa" w:w="1108"/>
          </w:tcPr>
          <w:p>
            <w:pPr>
              <w:spacing w:after="0" w:line="240" w:lineRule="auto"/>
              <w:ind w:firstLine="0"/>
              <w:jc w:val="left"/>
            </w:pPr>
            <w:r>
              <w:rPr>
                <w:b w:val="0"/>
                <w:i w:val="0"/>
                <w:sz w:val="20"/>
              </w:rPr>
              <w:t>Мадагаскар</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w:t>
            </w:r>
          </w:p>
        </w:tc>
        <w:tc>
          <w:tcPr>
            <w:tcW w:type="dxa" w:w="1108"/>
          </w:tcPr>
          <w:p>
            <w:pPr>
              <w:spacing w:after="0" w:line="240" w:lineRule="auto"/>
              <w:ind w:firstLine="0"/>
              <w:jc w:val="center"/>
            </w:pPr>
            <w:r>
              <w:rPr>
                <w:b w:val="0"/>
                <w:i w:val="0"/>
                <w:sz w:val="20"/>
              </w:rPr>
              <w:t>2 000</w:t>
            </w:r>
          </w:p>
        </w:tc>
        <w:tc>
          <w:tcPr>
            <w:tcW w:type="dxa" w:w="1108"/>
          </w:tcPr>
          <w:p>
            <w:pPr>
              <w:spacing w:after="0" w:line="240" w:lineRule="auto"/>
              <w:ind w:firstLine="0"/>
              <w:jc w:val="center"/>
            </w:pPr>
            <w:r>
              <w:rPr>
                <w:b w:val="0"/>
                <w:i w:val="0"/>
                <w:sz w:val="20"/>
              </w:rPr>
              <w:t>3 200</w:t>
            </w:r>
          </w:p>
        </w:tc>
        <w:tc>
          <w:tcPr>
            <w:tcW w:type="dxa" w:w="1108"/>
          </w:tcPr>
          <w:p>
            <w:pPr>
              <w:spacing w:after="0" w:line="240" w:lineRule="auto"/>
              <w:ind w:firstLine="0"/>
              <w:jc w:val="center"/>
            </w:pPr>
            <w:r>
              <w:rPr>
                <w:b w:val="0"/>
                <w:i w:val="0"/>
                <w:sz w:val="20"/>
              </w:rPr>
              <w:t>960</w:t>
            </w:r>
          </w:p>
        </w:tc>
        <w:tc>
          <w:tcPr>
            <w:tcW w:type="dxa" w:w="1108"/>
          </w:tcPr>
          <w:p>
            <w:pPr>
              <w:spacing w:after="0" w:line="240" w:lineRule="auto"/>
              <w:ind w:firstLine="0"/>
              <w:jc w:val="center"/>
            </w:pPr>
            <w:r>
              <w:rPr>
                <w:b w:val="0"/>
                <w:i w:val="0"/>
                <w:sz w:val="20"/>
              </w:rPr>
              <w:t>2 000</w:t>
            </w:r>
          </w:p>
        </w:tc>
        <w:tc>
          <w:tcPr>
            <w:tcW w:type="dxa" w:w="1108"/>
          </w:tcPr>
          <w:p>
            <w:pPr>
              <w:spacing w:after="0" w:line="240" w:lineRule="auto"/>
              <w:ind w:firstLine="0"/>
              <w:jc w:val="center"/>
            </w:pPr>
            <w:r>
              <w:rPr>
                <w:b w:val="0"/>
                <w:i w:val="0"/>
                <w:sz w:val="20"/>
              </w:rPr>
              <w:t>2 500</w:t>
            </w:r>
          </w:p>
        </w:tc>
      </w:tr>
      <w:tr>
        <w:tc>
          <w:tcPr>
            <w:tcW w:type="dxa" w:w="1108"/>
          </w:tcPr>
          <w:p>
            <w:pPr>
              <w:spacing w:after="0" w:line="240" w:lineRule="auto"/>
              <w:ind w:firstLine="0"/>
              <w:jc w:val="left"/>
            </w:pPr>
            <w:r>
              <w:rPr>
                <w:b w:val="0"/>
                <w:i w:val="0"/>
                <w:sz w:val="20"/>
              </w:rPr>
              <w:t>Бразилия</w:t>
            </w:r>
          </w:p>
        </w:tc>
        <w:tc>
          <w:tcPr>
            <w:tcW w:type="dxa" w:w="1108"/>
          </w:tcPr>
          <w:p>
            <w:pPr>
              <w:spacing w:after="0" w:line="240" w:lineRule="auto"/>
              <w:ind w:firstLine="0"/>
              <w:jc w:val="center"/>
            </w:pPr>
            <w:r>
              <w:rPr>
                <w:b w:val="0"/>
                <w:i w:val="0"/>
                <w:sz w:val="20"/>
              </w:rPr>
              <w:t>550</w:t>
            </w:r>
          </w:p>
        </w:tc>
        <w:tc>
          <w:tcPr>
            <w:tcW w:type="dxa" w:w="1108"/>
          </w:tcPr>
          <w:p>
            <w:pPr>
              <w:spacing w:after="0" w:line="240" w:lineRule="auto"/>
              <w:ind w:firstLine="0"/>
              <w:jc w:val="center"/>
            </w:pPr>
            <w:r>
              <w:rPr>
                <w:b w:val="0"/>
                <w:i w:val="0"/>
                <w:sz w:val="20"/>
              </w:rPr>
              <w:t>330</w:t>
            </w:r>
          </w:p>
        </w:tc>
        <w:tc>
          <w:tcPr>
            <w:tcW w:type="dxa" w:w="1108"/>
          </w:tcPr>
          <w:p>
            <w:pPr>
              <w:spacing w:after="0" w:line="240" w:lineRule="auto"/>
              <w:ind w:firstLine="0"/>
              <w:jc w:val="center"/>
            </w:pPr>
            <w:r>
              <w:rPr>
                <w:b w:val="0"/>
                <w:i w:val="0"/>
                <w:sz w:val="20"/>
              </w:rPr>
              <w:t>1 100</w:t>
            </w:r>
          </w:p>
        </w:tc>
        <w:tc>
          <w:tcPr>
            <w:tcW w:type="dxa" w:w="1108"/>
          </w:tcPr>
          <w:p>
            <w:pPr>
              <w:spacing w:after="0" w:line="240" w:lineRule="auto"/>
              <w:ind w:firstLine="0"/>
              <w:jc w:val="center"/>
            </w:pPr>
            <w:r>
              <w:rPr>
                <w:b w:val="0"/>
                <w:i w:val="0"/>
                <w:sz w:val="20"/>
              </w:rPr>
              <w:t>710</w:t>
            </w:r>
          </w:p>
        </w:tc>
        <w:tc>
          <w:tcPr>
            <w:tcW w:type="dxa" w:w="1108"/>
          </w:tcPr>
          <w:p>
            <w:pPr>
              <w:spacing w:after="0" w:line="240" w:lineRule="auto"/>
              <w:ind w:firstLine="0"/>
              <w:jc w:val="center"/>
            </w:pPr>
            <w:r>
              <w:rPr>
                <w:b w:val="0"/>
                <w:i w:val="0"/>
                <w:sz w:val="20"/>
              </w:rPr>
              <w:t>500</w:t>
            </w:r>
          </w:p>
        </w:tc>
        <w:tc>
          <w:tcPr>
            <w:tcW w:type="dxa" w:w="1108"/>
          </w:tcPr>
          <w:p>
            <w:pPr>
              <w:spacing w:after="0" w:line="240" w:lineRule="auto"/>
              <w:ind w:firstLine="0"/>
              <w:jc w:val="center"/>
            </w:pPr>
            <w:r>
              <w:rPr>
                <w:b w:val="0"/>
                <w:i w:val="0"/>
                <w:sz w:val="20"/>
              </w:rPr>
              <w:t>20</w:t>
            </w:r>
          </w:p>
        </w:tc>
        <w:tc>
          <w:tcPr>
            <w:tcW w:type="dxa" w:w="1108"/>
          </w:tcPr>
          <w:p>
            <w:pPr>
              <w:spacing w:after="0" w:line="240" w:lineRule="auto"/>
              <w:ind w:firstLine="0"/>
              <w:jc w:val="center"/>
            </w:pPr>
            <w:r>
              <w:rPr>
                <w:b w:val="0"/>
                <w:i w:val="0"/>
                <w:sz w:val="20"/>
              </w:rPr>
              <w:t>20</w:t>
            </w:r>
          </w:p>
        </w:tc>
        <w:tc>
          <w:tcPr>
            <w:tcW w:type="dxa" w:w="1108"/>
          </w:tcPr>
          <w:p>
            <w:pPr>
              <w:spacing w:after="0" w:line="240" w:lineRule="auto"/>
              <w:ind w:firstLine="0"/>
              <w:jc w:val="center"/>
            </w:pPr>
            <w:r>
              <w:rPr>
                <w:b w:val="0"/>
                <w:i w:val="0"/>
                <w:sz w:val="20"/>
              </w:rPr>
              <w:t>5 000</w:t>
            </w:r>
          </w:p>
        </w:tc>
      </w:tr>
      <w:tr>
        <w:tc>
          <w:tcPr>
            <w:tcW w:type="dxa" w:w="1108"/>
          </w:tcPr>
          <w:p>
            <w:pPr>
              <w:spacing w:after="0" w:line="240" w:lineRule="auto"/>
              <w:ind w:firstLine="0"/>
              <w:jc w:val="left"/>
            </w:pPr>
            <w:r>
              <w:rPr>
                <w:b w:val="0"/>
                <w:i w:val="0"/>
                <w:sz w:val="20"/>
              </w:rPr>
              <w:t>Вьетнам</w:t>
            </w:r>
          </w:p>
        </w:tc>
        <w:tc>
          <w:tcPr>
            <w:tcW w:type="dxa" w:w="1108"/>
          </w:tcPr>
          <w:p>
            <w:pPr>
              <w:spacing w:after="0" w:line="240" w:lineRule="auto"/>
              <w:ind w:firstLine="0"/>
              <w:jc w:val="center"/>
            </w:pPr>
            <w:r>
              <w:rPr>
                <w:b w:val="0"/>
                <w:i w:val="0"/>
                <w:sz w:val="20"/>
              </w:rPr>
              <w:t>350</w:t>
            </w:r>
          </w:p>
        </w:tc>
        <w:tc>
          <w:tcPr>
            <w:tcW w:type="dxa" w:w="1108"/>
          </w:tcPr>
          <w:p>
            <w:pPr>
              <w:spacing w:after="0" w:line="240" w:lineRule="auto"/>
              <w:ind w:firstLine="0"/>
              <w:jc w:val="center"/>
            </w:pPr>
            <w:r>
              <w:rPr>
                <w:b w:val="0"/>
                <w:i w:val="0"/>
                <w:sz w:val="20"/>
              </w:rPr>
              <w:t>220</w:t>
            </w:r>
          </w:p>
        </w:tc>
        <w:tc>
          <w:tcPr>
            <w:tcW w:type="dxa" w:w="1108"/>
          </w:tcPr>
          <w:p>
            <w:pPr>
              <w:spacing w:after="0" w:line="240" w:lineRule="auto"/>
              <w:ind w:firstLine="0"/>
              <w:jc w:val="center"/>
            </w:pPr>
            <w:r>
              <w:rPr>
                <w:b w:val="0"/>
                <w:i w:val="0"/>
                <w:sz w:val="20"/>
              </w:rPr>
              <w:t>300</w:t>
            </w:r>
          </w:p>
        </w:tc>
        <w:tc>
          <w:tcPr>
            <w:tcW w:type="dxa" w:w="1108"/>
          </w:tcPr>
          <w:p>
            <w:pPr>
              <w:spacing w:after="0" w:line="240" w:lineRule="auto"/>
              <w:ind w:firstLine="0"/>
              <w:jc w:val="center"/>
            </w:pPr>
            <w:r>
              <w:rPr>
                <w:b w:val="0"/>
                <w:i w:val="0"/>
                <w:sz w:val="20"/>
              </w:rPr>
              <w:t>900</w:t>
            </w:r>
          </w:p>
        </w:tc>
        <w:tc>
          <w:tcPr>
            <w:tcW w:type="dxa" w:w="1108"/>
          </w:tcPr>
          <w:p>
            <w:pPr>
              <w:spacing w:after="0" w:line="240" w:lineRule="auto"/>
              <w:ind w:firstLine="0"/>
              <w:jc w:val="center"/>
            </w:pPr>
            <w:r>
              <w:rPr>
                <w:b w:val="0"/>
                <w:i w:val="0"/>
                <w:sz w:val="20"/>
              </w:rPr>
              <w:t>400</w:t>
            </w:r>
          </w:p>
        </w:tc>
        <w:tc>
          <w:tcPr>
            <w:tcW w:type="dxa" w:w="1108"/>
          </w:tcPr>
          <w:p>
            <w:pPr>
              <w:spacing w:after="0" w:line="240" w:lineRule="auto"/>
              <w:ind w:firstLine="0"/>
              <w:jc w:val="center"/>
            </w:pPr>
            <w:r>
              <w:rPr>
                <w:b w:val="0"/>
                <w:i w:val="0"/>
                <w:sz w:val="20"/>
              </w:rPr>
              <w:t>600</w:t>
            </w:r>
          </w:p>
        </w:tc>
        <w:tc>
          <w:tcPr>
            <w:tcW w:type="dxa" w:w="1108"/>
          </w:tcPr>
          <w:p>
            <w:pPr>
              <w:spacing w:after="0" w:line="240" w:lineRule="auto"/>
              <w:ind w:firstLine="0"/>
              <w:jc w:val="center"/>
            </w:pPr>
            <w:r>
              <w:rPr>
                <w:b w:val="0"/>
                <w:i w:val="0"/>
                <w:sz w:val="20"/>
              </w:rPr>
              <w:t>300</w:t>
            </w:r>
          </w:p>
        </w:tc>
        <w:tc>
          <w:tcPr>
            <w:tcW w:type="dxa" w:w="1108"/>
          </w:tcPr>
          <w:p>
            <w:pPr>
              <w:spacing w:after="0" w:line="240" w:lineRule="auto"/>
              <w:ind w:firstLine="0"/>
              <w:jc w:val="center"/>
            </w:pPr>
            <w:r>
              <w:rPr>
                <w:b w:val="0"/>
                <w:i w:val="0"/>
                <w:sz w:val="20"/>
              </w:rPr>
              <w:t>400</w:t>
            </w:r>
          </w:p>
        </w:tc>
      </w:tr>
      <w:tr>
        <w:tc>
          <w:tcPr>
            <w:tcW w:type="dxa" w:w="1108"/>
          </w:tcPr>
          <w:p>
            <w:pPr>
              <w:spacing w:after="0" w:line="240" w:lineRule="auto"/>
              <w:ind w:firstLine="0"/>
              <w:jc w:val="left"/>
            </w:pPr>
            <w:r>
              <w:rPr>
                <w:b w:val="0"/>
                <w:i w:val="0"/>
                <w:sz w:val="20"/>
              </w:rPr>
              <w:t>Малайзия</w:t>
            </w:r>
          </w:p>
        </w:tc>
        <w:tc>
          <w:tcPr>
            <w:tcW w:type="dxa" w:w="1108"/>
          </w:tcPr>
          <w:p>
            <w:pPr>
              <w:spacing w:after="0" w:line="240" w:lineRule="auto"/>
              <w:ind w:firstLine="0"/>
              <w:jc w:val="center"/>
            </w:pPr>
            <w:r>
              <w:rPr>
                <w:b w:val="0"/>
                <w:i w:val="0"/>
                <w:sz w:val="20"/>
              </w:rPr>
              <w:t>350</w:t>
            </w:r>
          </w:p>
        </w:tc>
        <w:tc>
          <w:tcPr>
            <w:tcW w:type="dxa" w:w="1108"/>
          </w:tcPr>
          <w:p>
            <w:pPr>
              <w:spacing w:after="0" w:line="240" w:lineRule="auto"/>
              <w:ind w:firstLine="0"/>
              <w:jc w:val="center"/>
            </w:pPr>
            <w:r>
              <w:rPr>
                <w:b w:val="0"/>
                <w:i w:val="0"/>
                <w:sz w:val="20"/>
              </w:rPr>
              <w:t>100</w:t>
            </w:r>
          </w:p>
        </w:tc>
        <w:tc>
          <w:tcPr>
            <w:tcW w:type="dxa" w:w="1108"/>
          </w:tcPr>
          <w:p>
            <w:pPr>
              <w:spacing w:after="0" w:line="240" w:lineRule="auto"/>
              <w:ind w:firstLine="0"/>
              <w:jc w:val="center"/>
            </w:pPr>
            <w:r>
              <w:rPr>
                <w:b w:val="0"/>
                <w:i w:val="0"/>
                <w:sz w:val="20"/>
              </w:rPr>
              <w:t>300</w:t>
            </w:r>
          </w:p>
        </w:tc>
        <w:tc>
          <w:tcPr>
            <w:tcW w:type="dxa" w:w="1108"/>
          </w:tcPr>
          <w:p>
            <w:pPr>
              <w:spacing w:after="0" w:line="240" w:lineRule="auto"/>
              <w:ind w:firstLine="0"/>
              <w:jc w:val="center"/>
            </w:pPr>
            <w:r>
              <w:rPr>
                <w:b w:val="0"/>
                <w:i w:val="0"/>
                <w:sz w:val="20"/>
              </w:rPr>
              <w:t>200</w:t>
            </w:r>
          </w:p>
        </w:tc>
        <w:tc>
          <w:tcPr>
            <w:tcW w:type="dxa" w:w="1108"/>
          </w:tcPr>
          <w:p>
            <w:pPr>
              <w:spacing w:after="0" w:line="240" w:lineRule="auto"/>
              <w:ind w:firstLine="0"/>
              <w:jc w:val="center"/>
            </w:pPr>
            <w:r>
              <w:rPr>
                <w:b w:val="0"/>
                <w:i w:val="0"/>
                <w:sz w:val="20"/>
              </w:rPr>
              <w:t>200</w:t>
            </w:r>
          </w:p>
        </w:tc>
        <w:tc>
          <w:tcPr>
            <w:tcW w:type="dxa" w:w="1108"/>
          </w:tcPr>
          <w:p>
            <w:pPr>
              <w:spacing w:after="0" w:line="240" w:lineRule="auto"/>
              <w:ind w:firstLine="0"/>
              <w:jc w:val="center"/>
            </w:pPr>
            <w:r>
              <w:rPr>
                <w:b w:val="0"/>
                <w:i w:val="0"/>
                <w:sz w:val="20"/>
              </w:rPr>
              <w:t>200</w:t>
            </w:r>
          </w:p>
        </w:tc>
        <w:tc>
          <w:tcPr>
            <w:tcW w:type="dxa" w:w="1108"/>
          </w:tcPr>
          <w:p>
            <w:pPr>
              <w:spacing w:after="0" w:line="240" w:lineRule="auto"/>
              <w:ind w:firstLine="0"/>
              <w:jc w:val="center"/>
            </w:pPr>
            <w:r>
              <w:rPr>
                <w:b w:val="0"/>
                <w:i w:val="0"/>
                <w:sz w:val="20"/>
              </w:rPr>
              <w:t>200</w:t>
            </w:r>
          </w:p>
        </w:tc>
        <w:tc>
          <w:tcPr>
            <w:tcW w:type="dxa" w:w="1108"/>
          </w:tcPr>
          <w:p>
            <w:pPr>
              <w:spacing w:after="0" w:line="240" w:lineRule="auto"/>
              <w:ind w:firstLine="0"/>
              <w:jc w:val="center"/>
            </w:pPr>
            <w:r>
              <w:rPr>
                <w:b w:val="0"/>
                <w:i w:val="0"/>
                <w:sz w:val="20"/>
              </w:rPr>
              <w:t>200</w:t>
            </w:r>
          </w:p>
        </w:tc>
      </w:tr>
      <w:tr>
        <w:tc>
          <w:tcPr>
            <w:tcW w:type="dxa" w:w="1108"/>
          </w:tcPr>
          <w:p>
            <w:pPr>
              <w:spacing w:after="0" w:line="240" w:lineRule="auto"/>
              <w:ind w:firstLine="0"/>
              <w:jc w:val="left"/>
            </w:pPr>
            <w:r>
              <w:rPr>
                <w:b w:val="0"/>
                <w:i w:val="0"/>
                <w:sz w:val="20"/>
              </w:rPr>
              <w:t>Прочие</w:t>
            </w:r>
          </w:p>
        </w:tc>
        <w:tc>
          <w:tcPr>
            <w:tcW w:type="dxa" w:w="1108"/>
          </w:tcPr>
          <w:p>
            <w:pPr>
              <w:spacing w:after="0" w:line="240" w:lineRule="auto"/>
              <w:ind w:firstLine="0"/>
              <w:jc w:val="center"/>
            </w:pPr>
            <w:r>
              <w:rPr>
                <w:b w:val="0"/>
                <w:i w:val="0"/>
                <w:sz w:val="20"/>
              </w:rPr>
              <w:t>1 550</w:t>
            </w:r>
          </w:p>
        </w:tc>
        <w:tc>
          <w:tcPr>
            <w:tcW w:type="dxa" w:w="1108"/>
          </w:tcPr>
          <w:p>
            <w:pPr>
              <w:spacing w:after="0" w:line="240" w:lineRule="auto"/>
              <w:ind w:firstLine="0"/>
              <w:jc w:val="center"/>
            </w:pPr>
            <w:r>
              <w:rPr>
                <w:b w:val="0"/>
                <w:i w:val="0"/>
                <w:sz w:val="20"/>
              </w:rPr>
              <w:t>1 450</w:t>
            </w:r>
          </w:p>
        </w:tc>
        <w:tc>
          <w:tcPr>
            <w:tcW w:type="dxa" w:w="1108"/>
          </w:tcPr>
          <w:p>
            <w:pPr>
              <w:spacing w:after="0" w:line="240" w:lineRule="auto"/>
              <w:ind w:firstLine="0"/>
              <w:jc w:val="center"/>
            </w:pPr>
            <w:r>
              <w:rPr>
                <w:b w:val="0"/>
                <w:i w:val="0"/>
                <w:sz w:val="20"/>
              </w:rPr>
              <w:t>1 400</w:t>
            </w:r>
          </w:p>
        </w:tc>
        <w:tc>
          <w:tcPr>
            <w:tcW w:type="dxa" w:w="1108"/>
          </w:tcPr>
          <w:p>
            <w:pPr>
              <w:spacing w:after="0" w:line="240" w:lineRule="auto"/>
              <w:ind w:firstLine="0"/>
              <w:jc w:val="center"/>
            </w:pPr>
            <w:r>
              <w:rPr>
                <w:b w:val="0"/>
                <w:i w:val="0"/>
                <w:sz w:val="20"/>
              </w:rPr>
              <w:t>3 790</w:t>
            </w:r>
          </w:p>
        </w:tc>
        <w:tc>
          <w:tcPr>
            <w:tcW w:type="dxa" w:w="1108"/>
          </w:tcPr>
          <w:p>
            <w:pPr>
              <w:spacing w:after="0" w:line="240" w:lineRule="auto"/>
              <w:ind w:firstLine="0"/>
              <w:jc w:val="center"/>
            </w:pPr>
            <w:r>
              <w:rPr>
                <w:b w:val="0"/>
                <w:i w:val="0"/>
                <w:sz w:val="20"/>
              </w:rPr>
              <w:t>4 200</w:t>
            </w:r>
          </w:p>
        </w:tc>
        <w:tc>
          <w:tcPr>
            <w:tcW w:type="dxa" w:w="1108"/>
          </w:tcPr>
          <w:p>
            <w:pPr>
              <w:spacing w:after="0" w:line="240" w:lineRule="auto"/>
              <w:ind w:firstLine="0"/>
              <w:jc w:val="center"/>
            </w:pPr>
            <w:r>
              <w:rPr>
                <w:b w:val="0"/>
                <w:i w:val="0"/>
                <w:sz w:val="20"/>
              </w:rPr>
              <w:t>8 320</w:t>
            </w:r>
          </w:p>
        </w:tc>
        <w:tc>
          <w:tcPr>
            <w:tcW w:type="dxa" w:w="1108"/>
          </w:tcPr>
          <w:p>
            <w:pPr>
              <w:spacing w:after="0" w:line="240" w:lineRule="auto"/>
              <w:ind w:firstLine="0"/>
              <w:jc w:val="center"/>
            </w:pPr>
            <w:r>
              <w:rPr>
                <w:b w:val="0"/>
                <w:i w:val="0"/>
                <w:sz w:val="20"/>
              </w:rPr>
              <w:t>8 080</w:t>
            </w:r>
          </w:p>
        </w:tc>
        <w:tc>
          <w:tcPr>
            <w:tcW w:type="dxa" w:w="1108"/>
          </w:tcPr>
          <w:p>
            <w:pPr>
              <w:spacing w:after="0" w:line="240" w:lineRule="auto"/>
              <w:ind w:firstLine="0"/>
              <w:jc w:val="center"/>
            </w:pPr>
            <w:r>
              <w:rPr>
                <w:b w:val="0"/>
                <w:i w:val="0"/>
                <w:sz w:val="20"/>
              </w:rPr>
              <w:t>8 800</w:t>
            </w:r>
          </w:p>
        </w:tc>
      </w:tr>
      <w:tr>
        <w:tc>
          <w:tcPr>
            <w:tcW w:type="dxa" w:w="1108"/>
          </w:tcPr>
          <w:p>
            <w:pPr>
              <w:spacing w:after="0" w:line="240" w:lineRule="auto"/>
              <w:ind w:firstLine="0"/>
              <w:jc w:val="left"/>
            </w:pPr>
            <w:r>
              <w:rPr>
                <w:b/>
                <w:i w:val="0"/>
                <w:sz w:val="20"/>
              </w:rPr>
              <w:t>Всего</w:t>
            </w:r>
          </w:p>
        </w:tc>
        <w:tc>
          <w:tcPr>
            <w:tcW w:type="dxa" w:w="1108"/>
          </w:tcPr>
          <w:p>
            <w:pPr>
              <w:spacing w:after="0" w:line="240" w:lineRule="auto"/>
              <w:ind w:firstLine="0"/>
              <w:jc w:val="center"/>
            </w:pPr>
            <w:r>
              <w:rPr>
                <w:b/>
                <w:i w:val="0"/>
                <w:sz w:val="20"/>
              </w:rPr>
              <w:t>130 000</w:t>
            </w:r>
          </w:p>
        </w:tc>
        <w:tc>
          <w:tcPr>
            <w:tcW w:type="dxa" w:w="1108"/>
          </w:tcPr>
          <w:p>
            <w:pPr>
              <w:spacing w:after="0" w:line="240" w:lineRule="auto"/>
              <w:ind w:firstLine="0"/>
              <w:jc w:val="center"/>
            </w:pPr>
            <w:r>
              <w:rPr>
                <w:b/>
                <w:i w:val="0"/>
                <w:sz w:val="20"/>
              </w:rPr>
              <w:t>111 000</w:t>
            </w:r>
          </w:p>
        </w:tc>
        <w:tc>
          <w:tcPr>
            <w:tcW w:type="dxa" w:w="1108"/>
          </w:tcPr>
          <w:p>
            <w:pPr>
              <w:spacing w:after="0" w:line="240" w:lineRule="auto"/>
              <w:ind w:firstLine="0"/>
              <w:jc w:val="center"/>
            </w:pPr>
            <w:r>
              <w:rPr>
                <w:b/>
                <w:i w:val="0"/>
                <w:sz w:val="20"/>
              </w:rPr>
              <w:t>136 000</w:t>
            </w:r>
          </w:p>
        </w:tc>
        <w:tc>
          <w:tcPr>
            <w:tcW w:type="dxa" w:w="1108"/>
          </w:tcPr>
          <w:p>
            <w:pPr>
              <w:spacing w:after="0" w:line="240" w:lineRule="auto"/>
              <w:ind w:firstLine="0"/>
              <w:jc w:val="center"/>
            </w:pPr>
            <w:r>
              <w:rPr>
                <w:b/>
                <w:i w:val="0"/>
                <w:sz w:val="20"/>
              </w:rPr>
              <w:t>220 000</w:t>
            </w:r>
          </w:p>
        </w:tc>
        <w:tc>
          <w:tcPr>
            <w:tcW w:type="dxa" w:w="1108"/>
          </w:tcPr>
          <w:p>
            <w:pPr>
              <w:spacing w:after="0" w:line="240" w:lineRule="auto"/>
              <w:ind w:firstLine="0"/>
              <w:jc w:val="center"/>
            </w:pPr>
            <w:r>
              <w:rPr>
                <w:b/>
                <w:i w:val="0"/>
                <w:sz w:val="20"/>
              </w:rPr>
              <w:t>280 000</w:t>
            </w:r>
          </w:p>
        </w:tc>
        <w:tc>
          <w:tcPr>
            <w:tcW w:type="dxa" w:w="1108"/>
          </w:tcPr>
          <w:p>
            <w:pPr>
              <w:spacing w:after="0" w:line="240" w:lineRule="auto"/>
              <w:ind w:firstLine="0"/>
              <w:jc w:val="center"/>
            </w:pPr>
            <w:r>
              <w:rPr>
                <w:b/>
                <w:i w:val="0"/>
                <w:sz w:val="20"/>
              </w:rPr>
              <w:t>360 000</w:t>
            </w:r>
          </w:p>
        </w:tc>
        <w:tc>
          <w:tcPr>
            <w:tcW w:type="dxa" w:w="1108"/>
          </w:tcPr>
          <w:p>
            <w:pPr>
              <w:spacing w:after="0" w:line="240" w:lineRule="auto"/>
              <w:ind w:firstLine="0"/>
              <w:jc w:val="center"/>
            </w:pPr>
            <w:r>
              <w:rPr>
                <w:b/>
                <w:i w:val="0"/>
                <w:sz w:val="20"/>
              </w:rPr>
              <w:t>390 000</w:t>
            </w:r>
          </w:p>
        </w:tc>
        <w:tc>
          <w:tcPr>
            <w:tcW w:type="dxa" w:w="1108"/>
          </w:tcPr>
          <w:p>
            <w:pPr>
              <w:spacing w:after="0" w:line="240" w:lineRule="auto"/>
              <w:ind w:firstLine="0"/>
              <w:jc w:val="center"/>
            </w:pPr>
            <w:r>
              <w:rPr>
                <w:b/>
                <w:i w:val="0"/>
                <w:sz w:val="20"/>
              </w:rPr>
              <w:t>425 000</w:t>
            </w:r>
          </w:p>
        </w:tc>
      </w:tr>
    </w:tbl>
    <w:p>
      <w:pPr>
        <w:spacing w:after="180"/>
        <w:ind w:firstLine="0"/>
      </w:pPr>
      <w:r>
        <w:rPr>
          <w:i/>
          <w:sz w:val="20"/>
        </w:rPr>
        <w:t>Источник: USGS Mineral Commodity Summaries (выпуски 2012–2025); данные за 2025 г. — предварительная оценка аналитического центра</w:t>
      </w:r>
    </w:p>
    <w:p>
      <w:pPr>
        <w:keepNext/>
        <w:spacing w:before="160" w:after="60"/>
        <w:ind w:firstLine="0"/>
        <w:jc w:val="left"/>
      </w:pPr>
      <w:r>
        <w:rPr>
          <w:b/>
          <w:sz w:val="22"/>
        </w:rPr>
        <w:t>Рисунок 11. Динамика мировой добычи РЗМ по странам в 2010–2025 гг., тыс. т TREO</w:t>
      </w:r>
    </w:p>
    <w:p>
      <w:pPr>
        <w:ind w:firstLine="0"/>
        <w:jc w:val="center"/>
      </w:pPr>
      <w:r>
        <w:drawing>
          <wp:inline xmlns:a="http://schemas.openxmlformats.org/drawingml/2006/main" xmlns:pic="http://schemas.openxmlformats.org/drawingml/2006/picture">
            <wp:extent cx="5580000" cy="2711095"/>
            <wp:docPr id="11" name="Picture 11"/>
            <wp:cNvGraphicFramePr>
              <a:graphicFrameLocks noChangeAspect="1"/>
            </wp:cNvGraphicFramePr>
            <a:graphic>
              <a:graphicData uri="http://schemas.openxmlformats.org/drawingml/2006/picture">
                <pic:pic>
                  <pic:nvPicPr>
                    <pic:cNvPr id="0" name="fig11.png"/>
                    <pic:cNvPicPr/>
                  </pic:nvPicPr>
                  <pic:blipFill>
                    <a:blip r:embed="rId21"/>
                    <a:stretch>
                      <a:fillRect/>
                    </a:stretch>
                  </pic:blipFill>
                  <pic:spPr>
                    <a:xfrm>
                      <a:off x="0" y="0"/>
                      <a:ext cx="5580000" cy="2711095"/>
                    </a:xfrm>
                    <a:prstGeom prst="rect"/>
                  </pic:spPr>
                </pic:pic>
              </a:graphicData>
            </a:graphic>
          </wp:inline>
        </w:drawing>
      </w:r>
    </w:p>
    <w:p>
      <w:pPr>
        <w:spacing w:after="180"/>
        <w:ind w:firstLine="0"/>
      </w:pPr>
      <w:r>
        <w:rPr>
          <w:i/>
          <w:sz w:val="20"/>
        </w:rPr>
        <w:t>Источник: USGS Mineral Commodity Summaries; оценка аналитического центра за 2025 г.</w:t>
      </w:r>
    </w:p>
    <w:p>
      <w:r>
        <w:rPr>
          <w:b w:val="0"/>
          <w:i w:val="0"/>
        </w:rPr>
        <w:t>Обращает на себя внимание изменение структуры «прочих» стран. Если в начале рассматриваемого периода эта категория была практически пустой, то к 2024–2025 гг. на неё приходится свыше 10% мировой добычи за счёт Таиланда, Нигерии, Мадагаскара и Бразилии. Однако природа этого роста требует пояснения: подавляющая часть сырья указанных стран не перерабатывается на месте, а поставляется в КНР. Нигерийское и таиландское сырьё — это преимущественно монацитовые и ионно-адсорбционные концентраты, вывозимые для разделения на китайских предприятиях. Таким образом, номинальная диверсификация добычи не сопровождается диверсификацией переработки, а в ряде случаев служит средством обхода китайских квот на добычу: сырьё формально добывается вне КНР, но перерабатывается внутри неё и учитывается в китайской статистике разделения.</w:t>
      </w:r>
    </w:p>
    <w:p>
      <w:pPr>
        <w:keepNext/>
        <w:spacing w:before="160" w:after="60"/>
        <w:ind w:firstLine="0"/>
        <w:jc w:val="left"/>
      </w:pPr>
      <w:r>
        <w:rPr>
          <w:b/>
          <w:sz w:val="22"/>
        </w:rPr>
        <w:t>Рисунок 12. Динамика мировой добычи РЗМ и доли КНР в 2010–2025 гг.</w:t>
      </w:r>
    </w:p>
    <w:p>
      <w:pPr>
        <w:ind w:firstLine="0"/>
        <w:jc w:val="center"/>
      </w:pPr>
      <w:r>
        <w:drawing>
          <wp:inline xmlns:a="http://schemas.openxmlformats.org/drawingml/2006/main" xmlns:pic="http://schemas.openxmlformats.org/drawingml/2006/picture">
            <wp:extent cx="5580000" cy="2735373"/>
            <wp:docPr id="12" name="Picture 12"/>
            <wp:cNvGraphicFramePr>
              <a:graphicFrameLocks noChangeAspect="1"/>
            </wp:cNvGraphicFramePr>
            <a:graphic>
              <a:graphicData uri="http://schemas.openxmlformats.org/drawingml/2006/picture">
                <pic:pic>
                  <pic:nvPicPr>
                    <pic:cNvPr id="0" name="fig12.png"/>
                    <pic:cNvPicPr/>
                  </pic:nvPicPr>
                  <pic:blipFill>
                    <a:blip r:embed="rId22"/>
                    <a:stretch>
                      <a:fillRect/>
                    </a:stretch>
                  </pic:blipFill>
                  <pic:spPr>
                    <a:xfrm>
                      <a:off x="0" y="0"/>
                      <a:ext cx="5580000" cy="2735373"/>
                    </a:xfrm>
                    <a:prstGeom prst="rect"/>
                  </pic:spPr>
                </pic:pic>
              </a:graphicData>
            </a:graphic>
          </wp:inline>
        </w:drawing>
      </w:r>
    </w:p>
    <w:p>
      <w:pPr>
        <w:spacing w:after="180"/>
        <w:ind w:firstLine="0"/>
      </w:pPr>
      <w:r>
        <w:rPr>
          <w:i/>
          <w:sz w:val="20"/>
        </w:rPr>
        <w:t>Источник: USGS; расчёт аналитического центра</w:t>
      </w:r>
    </w:p>
    <w:p>
      <w:pPr>
        <w:pStyle w:val="Heading2"/>
      </w:pPr>
      <w:r>
        <w:rPr>
          <w:b w:val="0"/>
          <w:i w:val="0"/>
        </w:rPr>
        <w:t>3.2. Мощности по разделению редкоземельных элементов</w:t>
      </w:r>
    </w:p>
    <w:p>
      <w:r>
        <w:rPr>
          <w:b w:val="0"/>
          <w:i w:val="0"/>
        </w:rPr>
        <w:t>Разделительный передел — узловое звено отрасли. Именно наличие или отсутствие разделительных мощностей определяет, является ли страна участником рынка редкоземельной продукции или лишь поставщиком сырья.</w:t>
      </w:r>
    </w:p>
    <w:p>
      <w:r>
        <w:rPr>
          <w:b w:val="0"/>
          <w:i w:val="0"/>
        </w:rPr>
        <w:t>Мировые мощности по разделению оцениваются в 400–450 тыс. т TREO в год, из которых на КНР приходится 350–390 тыс. т. Значимые мощности за пределами КНР сосредоточены на пяти площадках.</w:t>
      </w:r>
    </w:p>
    <w:p>
      <w:pPr>
        <w:keepNext/>
        <w:spacing w:before="160" w:after="60"/>
        <w:ind w:firstLine="0"/>
        <w:jc w:val="left"/>
      </w:pPr>
      <w:r>
        <w:rPr>
          <w:b/>
          <w:sz w:val="22"/>
        </w:rPr>
        <w:t>Таблица 17. Мировые мощности по разделению редкоземельных элементов, 2025 г., т TREO/год</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Компания / площадка</w:t>
            </w:r>
          </w:p>
        </w:tc>
        <w:tc>
          <w:tcPr>
            <w:tcW w:type="dxa" w:w="1995"/>
            <w:shd w:val="clear" w:fill="DCE6F1"/>
          </w:tcPr>
          <w:p>
            <w:pPr>
              <w:spacing w:after="0" w:line="240" w:lineRule="auto"/>
              <w:ind w:firstLine="0"/>
              <w:jc w:val="center"/>
            </w:pPr>
            <w:r>
              <w:rPr>
                <w:b/>
                <w:i w:val="0"/>
                <w:sz w:val="20"/>
              </w:rPr>
              <w:t>Страна</w:t>
            </w:r>
          </w:p>
        </w:tc>
        <w:tc>
          <w:tcPr>
            <w:tcW w:type="dxa" w:w="1995"/>
            <w:shd w:val="clear" w:fill="DCE6F1"/>
          </w:tcPr>
          <w:p>
            <w:pPr>
              <w:spacing w:after="0" w:line="240" w:lineRule="auto"/>
              <w:ind w:firstLine="0"/>
              <w:jc w:val="center"/>
            </w:pPr>
            <w:r>
              <w:rPr>
                <w:b/>
                <w:i w:val="0"/>
                <w:sz w:val="20"/>
              </w:rPr>
              <w:t>Мощность</w:t>
            </w:r>
          </w:p>
        </w:tc>
        <w:tc>
          <w:tcPr>
            <w:tcW w:type="dxa" w:w="1995"/>
            <w:shd w:val="clear" w:fill="DCE6F1"/>
          </w:tcPr>
          <w:p>
            <w:pPr>
              <w:spacing w:after="0" w:line="240" w:lineRule="auto"/>
              <w:ind w:firstLine="0"/>
              <w:jc w:val="center"/>
            </w:pPr>
            <w:r>
              <w:rPr>
                <w:b/>
                <w:i w:val="0"/>
                <w:sz w:val="20"/>
              </w:rPr>
              <w:t>Загрузка 2025, %</w:t>
            </w:r>
          </w:p>
        </w:tc>
        <w:tc>
          <w:tcPr>
            <w:tcW w:type="dxa" w:w="1995"/>
            <w:shd w:val="clear" w:fill="DCE6F1"/>
          </w:tcPr>
          <w:p>
            <w:pPr>
              <w:spacing w:after="0" w:line="240" w:lineRule="auto"/>
              <w:ind w:firstLine="0"/>
              <w:jc w:val="center"/>
            </w:pPr>
            <w:r>
              <w:rPr>
                <w:b/>
                <w:i w:val="0"/>
                <w:sz w:val="20"/>
              </w:rPr>
              <w:t>Тип корзины</w:t>
            </w:r>
          </w:p>
        </w:tc>
      </w:tr>
      <w:tr>
        <w:tc>
          <w:tcPr>
            <w:tcW w:type="dxa" w:w="1995"/>
          </w:tcPr>
          <w:p>
            <w:pPr>
              <w:spacing w:after="0" w:line="240" w:lineRule="auto"/>
              <w:ind w:firstLine="0"/>
              <w:jc w:val="left"/>
            </w:pPr>
            <w:r>
              <w:rPr>
                <w:b w:val="0"/>
                <w:i w:val="0"/>
                <w:sz w:val="20"/>
              </w:rPr>
              <w:t>Китайские предприятия (совокупно)</w:t>
            </w:r>
          </w:p>
        </w:tc>
        <w:tc>
          <w:tcPr>
            <w:tcW w:type="dxa" w:w="1995"/>
          </w:tcPr>
          <w:p>
            <w:pPr>
              <w:spacing w:after="0" w:line="240" w:lineRule="auto"/>
              <w:ind w:firstLine="0"/>
              <w:jc w:val="center"/>
            </w:pPr>
            <w:r>
              <w:rPr>
                <w:b w:val="0"/>
                <w:i w:val="0"/>
                <w:sz w:val="20"/>
              </w:rPr>
              <w:t>КНР</w:t>
            </w:r>
          </w:p>
        </w:tc>
        <w:tc>
          <w:tcPr>
            <w:tcW w:type="dxa" w:w="1995"/>
          </w:tcPr>
          <w:p>
            <w:pPr>
              <w:spacing w:after="0" w:line="240" w:lineRule="auto"/>
              <w:ind w:firstLine="0"/>
              <w:jc w:val="center"/>
            </w:pPr>
            <w:r>
              <w:rPr>
                <w:b w:val="0"/>
                <w:i w:val="0"/>
                <w:sz w:val="20"/>
              </w:rPr>
              <w:t>380 000</w:t>
            </w:r>
          </w:p>
        </w:tc>
        <w:tc>
          <w:tcPr>
            <w:tcW w:type="dxa" w:w="1995"/>
          </w:tcPr>
          <w:p>
            <w:pPr>
              <w:spacing w:after="0" w:line="240" w:lineRule="auto"/>
              <w:ind w:firstLine="0"/>
              <w:jc w:val="center"/>
            </w:pPr>
            <w:r>
              <w:rPr>
                <w:b w:val="0"/>
                <w:i w:val="0"/>
                <w:sz w:val="20"/>
              </w:rPr>
              <w:t>72</w:t>
            </w:r>
          </w:p>
        </w:tc>
        <w:tc>
          <w:tcPr>
            <w:tcW w:type="dxa" w:w="1995"/>
          </w:tcPr>
          <w:p>
            <w:pPr>
              <w:spacing w:after="0" w:line="240" w:lineRule="auto"/>
              <w:ind w:firstLine="0"/>
              <w:jc w:val="center"/>
            </w:pPr>
            <w:r>
              <w:rPr>
                <w:b w:val="0"/>
                <w:i w:val="0"/>
                <w:sz w:val="20"/>
              </w:rPr>
              <w:t>все типы</w:t>
            </w:r>
          </w:p>
        </w:tc>
      </w:tr>
      <w:tr>
        <w:tc>
          <w:tcPr>
            <w:tcW w:type="dxa" w:w="1995"/>
          </w:tcPr>
          <w:p>
            <w:pPr>
              <w:spacing w:after="0" w:line="240" w:lineRule="auto"/>
              <w:ind w:firstLine="0"/>
              <w:jc w:val="left"/>
            </w:pPr>
            <w:r>
              <w:rPr>
                <w:b w:val="0"/>
                <w:i w:val="0"/>
                <w:sz w:val="20"/>
              </w:rPr>
              <w:t>Lynas Malaysia (Гебенг)</w:t>
            </w:r>
          </w:p>
        </w:tc>
        <w:tc>
          <w:tcPr>
            <w:tcW w:type="dxa" w:w="1995"/>
          </w:tcPr>
          <w:p>
            <w:pPr>
              <w:spacing w:after="0" w:line="240" w:lineRule="auto"/>
              <w:ind w:firstLine="0"/>
              <w:jc w:val="center"/>
            </w:pPr>
            <w:r>
              <w:rPr>
                <w:b w:val="0"/>
                <w:i w:val="0"/>
                <w:sz w:val="20"/>
              </w:rPr>
              <w:t>Малайзия</w:t>
            </w:r>
          </w:p>
        </w:tc>
        <w:tc>
          <w:tcPr>
            <w:tcW w:type="dxa" w:w="1995"/>
          </w:tcPr>
          <w:p>
            <w:pPr>
              <w:spacing w:after="0" w:line="240" w:lineRule="auto"/>
              <w:ind w:firstLine="0"/>
              <w:jc w:val="center"/>
            </w:pPr>
            <w:r>
              <w:rPr>
                <w:b w:val="0"/>
                <w:i w:val="0"/>
                <w:sz w:val="20"/>
              </w:rPr>
              <w:t>22 000</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лёгкая + средняя</w:t>
            </w:r>
          </w:p>
        </w:tc>
      </w:tr>
      <w:tr>
        <w:tc>
          <w:tcPr>
            <w:tcW w:type="dxa" w:w="1995"/>
          </w:tcPr>
          <w:p>
            <w:pPr>
              <w:spacing w:after="0" w:line="240" w:lineRule="auto"/>
              <w:ind w:firstLine="0"/>
              <w:jc w:val="left"/>
            </w:pPr>
            <w:r>
              <w:rPr>
                <w:b w:val="0"/>
                <w:i w:val="0"/>
                <w:sz w:val="20"/>
              </w:rPr>
              <w:t>Lynas Kalgoorlie/Mt Weld</w:t>
            </w:r>
          </w:p>
        </w:tc>
        <w:tc>
          <w:tcPr>
            <w:tcW w:type="dxa" w:w="1995"/>
          </w:tcPr>
          <w:p>
            <w:pPr>
              <w:spacing w:after="0" w:line="240" w:lineRule="auto"/>
              <w:ind w:firstLine="0"/>
              <w:jc w:val="center"/>
            </w:pPr>
            <w:r>
              <w:rPr>
                <w:b w:val="0"/>
                <w:i w:val="0"/>
                <w:sz w:val="20"/>
              </w:rPr>
              <w:t>Австралия</w:t>
            </w:r>
          </w:p>
        </w:tc>
        <w:tc>
          <w:tcPr>
            <w:tcW w:type="dxa" w:w="1995"/>
          </w:tcPr>
          <w:p>
            <w:pPr>
              <w:spacing w:after="0" w:line="240" w:lineRule="auto"/>
              <w:ind w:firstLine="0"/>
              <w:jc w:val="center"/>
            </w:pPr>
            <w:r>
              <w:rPr>
                <w:b w:val="0"/>
                <w:i w:val="0"/>
                <w:sz w:val="20"/>
              </w:rPr>
              <w:t>12 000</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лёгкая</w:t>
            </w:r>
          </w:p>
        </w:tc>
      </w:tr>
      <w:tr>
        <w:tc>
          <w:tcPr>
            <w:tcW w:type="dxa" w:w="1995"/>
          </w:tcPr>
          <w:p>
            <w:pPr>
              <w:spacing w:after="0" w:line="240" w:lineRule="auto"/>
              <w:ind w:firstLine="0"/>
              <w:jc w:val="left"/>
            </w:pPr>
            <w:r>
              <w:rPr>
                <w:b w:val="0"/>
                <w:i w:val="0"/>
                <w:sz w:val="20"/>
              </w:rPr>
              <w:t>MP Materials (Mountain Pass)</w:t>
            </w:r>
          </w:p>
        </w:tc>
        <w:tc>
          <w:tcPr>
            <w:tcW w:type="dxa" w:w="1995"/>
          </w:tcPr>
          <w:p>
            <w:pPr>
              <w:spacing w:after="0" w:line="240" w:lineRule="auto"/>
              <w:ind w:firstLine="0"/>
              <w:jc w:val="center"/>
            </w:pPr>
            <w:r>
              <w:rPr>
                <w:b w:val="0"/>
                <w:i w:val="0"/>
                <w:sz w:val="20"/>
              </w:rPr>
              <w:t>США</w:t>
            </w:r>
          </w:p>
        </w:tc>
        <w:tc>
          <w:tcPr>
            <w:tcW w:type="dxa" w:w="1995"/>
          </w:tcPr>
          <w:p>
            <w:pPr>
              <w:spacing w:after="0" w:line="240" w:lineRule="auto"/>
              <w:ind w:firstLine="0"/>
              <w:jc w:val="center"/>
            </w:pPr>
            <w:r>
              <w:rPr>
                <w:b w:val="0"/>
                <w:i w:val="0"/>
                <w:sz w:val="20"/>
              </w:rPr>
              <w:t>20 000</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лёгкая</w:t>
            </w:r>
          </w:p>
        </w:tc>
      </w:tr>
      <w:tr>
        <w:tc>
          <w:tcPr>
            <w:tcW w:type="dxa" w:w="1995"/>
          </w:tcPr>
          <w:p>
            <w:pPr>
              <w:spacing w:after="0" w:line="240" w:lineRule="auto"/>
              <w:ind w:firstLine="0"/>
              <w:jc w:val="left"/>
            </w:pPr>
            <w:r>
              <w:rPr>
                <w:b w:val="0"/>
                <w:i w:val="0"/>
                <w:sz w:val="20"/>
              </w:rPr>
              <w:t>Neo Performance Materials (Силламяэ)</w:t>
            </w:r>
          </w:p>
        </w:tc>
        <w:tc>
          <w:tcPr>
            <w:tcW w:type="dxa" w:w="1995"/>
          </w:tcPr>
          <w:p>
            <w:pPr>
              <w:spacing w:after="0" w:line="240" w:lineRule="auto"/>
              <w:ind w:firstLine="0"/>
              <w:jc w:val="center"/>
            </w:pPr>
            <w:r>
              <w:rPr>
                <w:b w:val="0"/>
                <w:i w:val="0"/>
                <w:sz w:val="20"/>
              </w:rPr>
              <w:t>Эстония</w:t>
            </w:r>
          </w:p>
        </w:tc>
        <w:tc>
          <w:tcPr>
            <w:tcW w:type="dxa" w:w="1995"/>
          </w:tcPr>
          <w:p>
            <w:pPr>
              <w:spacing w:after="0" w:line="240" w:lineRule="auto"/>
              <w:ind w:firstLine="0"/>
              <w:jc w:val="center"/>
            </w:pPr>
            <w:r>
              <w:rPr>
                <w:b w:val="0"/>
                <w:i w:val="0"/>
                <w:sz w:val="20"/>
              </w:rPr>
              <w:t>7 000</w:t>
            </w:r>
          </w:p>
        </w:tc>
        <w:tc>
          <w:tcPr>
            <w:tcW w:type="dxa" w:w="1995"/>
          </w:tcPr>
          <w:p>
            <w:pPr>
              <w:spacing w:after="0" w:line="240" w:lineRule="auto"/>
              <w:ind w:firstLine="0"/>
              <w:jc w:val="center"/>
            </w:pPr>
            <w:r>
              <w:rPr>
                <w:b w:val="0"/>
                <w:i w:val="0"/>
                <w:sz w:val="20"/>
              </w:rPr>
              <w:t>55</w:t>
            </w:r>
          </w:p>
        </w:tc>
        <w:tc>
          <w:tcPr>
            <w:tcW w:type="dxa" w:w="1995"/>
          </w:tcPr>
          <w:p>
            <w:pPr>
              <w:spacing w:after="0" w:line="240" w:lineRule="auto"/>
              <w:ind w:firstLine="0"/>
              <w:jc w:val="center"/>
            </w:pPr>
            <w:r>
              <w:rPr>
                <w:b w:val="0"/>
                <w:i w:val="0"/>
                <w:sz w:val="20"/>
              </w:rPr>
              <w:t>лёгкая + средняя</w:t>
            </w:r>
          </w:p>
        </w:tc>
      </w:tr>
      <w:tr>
        <w:tc>
          <w:tcPr>
            <w:tcW w:type="dxa" w:w="1995"/>
          </w:tcPr>
          <w:p>
            <w:pPr>
              <w:spacing w:after="0" w:line="240" w:lineRule="auto"/>
              <w:ind w:firstLine="0"/>
              <w:jc w:val="left"/>
            </w:pPr>
            <w:r>
              <w:rPr>
                <w:b w:val="0"/>
                <w:i w:val="0"/>
                <w:sz w:val="20"/>
              </w:rPr>
              <w:t>Solvay (Ла-Рошель)</w:t>
            </w:r>
          </w:p>
        </w:tc>
        <w:tc>
          <w:tcPr>
            <w:tcW w:type="dxa" w:w="1995"/>
          </w:tcPr>
          <w:p>
            <w:pPr>
              <w:spacing w:after="0" w:line="240" w:lineRule="auto"/>
              <w:ind w:firstLine="0"/>
              <w:jc w:val="center"/>
            </w:pPr>
            <w:r>
              <w:rPr>
                <w:b w:val="0"/>
                <w:i w:val="0"/>
                <w:sz w:val="20"/>
              </w:rPr>
              <w:t>Франция</w:t>
            </w:r>
          </w:p>
        </w:tc>
        <w:tc>
          <w:tcPr>
            <w:tcW w:type="dxa" w:w="1995"/>
          </w:tcPr>
          <w:p>
            <w:pPr>
              <w:spacing w:after="0" w:line="240" w:lineRule="auto"/>
              <w:ind w:firstLine="0"/>
              <w:jc w:val="center"/>
            </w:pPr>
            <w:r>
              <w:rPr>
                <w:b w:val="0"/>
                <w:i w:val="0"/>
                <w:sz w:val="20"/>
              </w:rPr>
              <w:t>6 000</w:t>
            </w:r>
          </w:p>
        </w:tc>
        <w:tc>
          <w:tcPr>
            <w:tcW w:type="dxa" w:w="1995"/>
          </w:tcPr>
          <w:p>
            <w:pPr>
              <w:spacing w:after="0" w:line="240" w:lineRule="auto"/>
              <w:ind w:firstLine="0"/>
              <w:jc w:val="center"/>
            </w:pPr>
            <w:r>
              <w:rPr>
                <w:b w:val="0"/>
                <w:i w:val="0"/>
                <w:sz w:val="20"/>
              </w:rPr>
              <w:t>30</w:t>
            </w:r>
          </w:p>
        </w:tc>
        <w:tc>
          <w:tcPr>
            <w:tcW w:type="dxa" w:w="1995"/>
          </w:tcPr>
          <w:p>
            <w:pPr>
              <w:spacing w:after="0" w:line="240" w:lineRule="auto"/>
              <w:ind w:firstLine="0"/>
              <w:jc w:val="center"/>
            </w:pPr>
            <w:r>
              <w:rPr>
                <w:b w:val="0"/>
                <w:i w:val="0"/>
                <w:sz w:val="20"/>
              </w:rPr>
              <w:t>средняя + тяжёлая</w:t>
            </w:r>
          </w:p>
        </w:tc>
      </w:tr>
      <w:tr>
        <w:tc>
          <w:tcPr>
            <w:tcW w:type="dxa" w:w="1995"/>
          </w:tcPr>
          <w:p>
            <w:pPr>
              <w:spacing w:after="0" w:line="240" w:lineRule="auto"/>
              <w:ind w:firstLine="0"/>
              <w:jc w:val="left"/>
            </w:pPr>
            <w:r>
              <w:rPr>
                <w:b w:val="0"/>
                <w:i w:val="0"/>
                <w:sz w:val="20"/>
              </w:rPr>
              <w:t>IREL (Алва, Одиша)</w:t>
            </w:r>
          </w:p>
        </w:tc>
        <w:tc>
          <w:tcPr>
            <w:tcW w:type="dxa" w:w="1995"/>
          </w:tcPr>
          <w:p>
            <w:pPr>
              <w:spacing w:after="0" w:line="240" w:lineRule="auto"/>
              <w:ind w:firstLine="0"/>
              <w:jc w:val="center"/>
            </w:pPr>
            <w:r>
              <w:rPr>
                <w:b w:val="0"/>
                <w:i w:val="0"/>
                <w:sz w:val="20"/>
              </w:rPr>
              <w:t>Индия</w:t>
            </w:r>
          </w:p>
        </w:tc>
        <w:tc>
          <w:tcPr>
            <w:tcW w:type="dxa" w:w="1995"/>
          </w:tcPr>
          <w:p>
            <w:pPr>
              <w:spacing w:after="0" w:line="240" w:lineRule="auto"/>
              <w:ind w:firstLine="0"/>
              <w:jc w:val="center"/>
            </w:pPr>
            <w:r>
              <w:rPr>
                <w:b w:val="0"/>
                <w:i w:val="0"/>
                <w:sz w:val="20"/>
              </w:rPr>
              <w:t>5 000</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лёгкая</w:t>
            </w:r>
          </w:p>
        </w:tc>
      </w:tr>
      <w:tr>
        <w:tc>
          <w:tcPr>
            <w:tcW w:type="dxa" w:w="1995"/>
          </w:tcPr>
          <w:p>
            <w:pPr>
              <w:spacing w:after="0" w:line="240" w:lineRule="auto"/>
              <w:ind w:firstLine="0"/>
              <w:jc w:val="left"/>
            </w:pPr>
            <w:r>
              <w:rPr>
                <w:b w:val="0"/>
                <w:i w:val="0"/>
                <w:sz w:val="20"/>
              </w:rPr>
              <w:t>АО «СМЗ» / ГК «Росатом»</w:t>
            </w:r>
          </w:p>
        </w:tc>
        <w:tc>
          <w:tcPr>
            <w:tcW w:type="dxa" w:w="1995"/>
          </w:tcPr>
          <w:p>
            <w:pPr>
              <w:spacing w:after="0" w:line="240" w:lineRule="auto"/>
              <w:ind w:firstLine="0"/>
              <w:jc w:val="center"/>
            </w:pPr>
            <w:r>
              <w:rPr>
                <w:b w:val="0"/>
                <w:i w:val="0"/>
                <w:sz w:val="20"/>
              </w:rPr>
              <w:t>Россия</w:t>
            </w:r>
          </w:p>
        </w:tc>
        <w:tc>
          <w:tcPr>
            <w:tcW w:type="dxa" w:w="1995"/>
          </w:tcPr>
          <w:p>
            <w:pPr>
              <w:spacing w:after="0" w:line="240" w:lineRule="auto"/>
              <w:ind w:firstLine="0"/>
              <w:jc w:val="center"/>
            </w:pPr>
            <w:r>
              <w:rPr>
                <w:b w:val="0"/>
                <w:i w:val="0"/>
                <w:sz w:val="20"/>
              </w:rPr>
              <w:t>2 500</w:t>
            </w:r>
          </w:p>
        </w:tc>
        <w:tc>
          <w:tcPr>
            <w:tcW w:type="dxa" w:w="1995"/>
          </w:tcPr>
          <w:p>
            <w:pPr>
              <w:spacing w:after="0" w:line="240" w:lineRule="auto"/>
              <w:ind w:firstLine="0"/>
              <w:jc w:val="center"/>
            </w:pPr>
            <w:r>
              <w:rPr>
                <w:b w:val="0"/>
                <w:i w:val="0"/>
                <w:sz w:val="20"/>
              </w:rPr>
              <w:t>65</w:t>
            </w:r>
          </w:p>
        </w:tc>
        <w:tc>
          <w:tcPr>
            <w:tcW w:type="dxa" w:w="1995"/>
          </w:tcPr>
          <w:p>
            <w:pPr>
              <w:spacing w:after="0" w:line="240" w:lineRule="auto"/>
              <w:ind w:firstLine="0"/>
              <w:jc w:val="center"/>
            </w:pPr>
            <w:r>
              <w:rPr>
                <w:b w:val="0"/>
                <w:i w:val="0"/>
                <w:sz w:val="20"/>
              </w:rPr>
              <w:t>лёгкая</w:t>
            </w:r>
          </w:p>
        </w:tc>
      </w:tr>
      <w:tr>
        <w:tc>
          <w:tcPr>
            <w:tcW w:type="dxa" w:w="1995"/>
          </w:tcPr>
          <w:p>
            <w:pPr>
              <w:spacing w:after="0" w:line="240" w:lineRule="auto"/>
              <w:ind w:firstLine="0"/>
              <w:jc w:val="left"/>
            </w:pPr>
            <w:r>
              <w:rPr>
                <w:b w:val="0"/>
                <w:i w:val="0"/>
                <w:sz w:val="20"/>
              </w:rPr>
              <w:t>ООО «Скайград»</w:t>
            </w:r>
          </w:p>
        </w:tc>
        <w:tc>
          <w:tcPr>
            <w:tcW w:type="dxa" w:w="1995"/>
          </w:tcPr>
          <w:p>
            <w:pPr>
              <w:spacing w:after="0" w:line="240" w:lineRule="auto"/>
              <w:ind w:firstLine="0"/>
              <w:jc w:val="center"/>
            </w:pPr>
            <w:r>
              <w:rPr>
                <w:b w:val="0"/>
                <w:i w:val="0"/>
                <w:sz w:val="20"/>
              </w:rPr>
              <w:t>Россия</w:t>
            </w:r>
          </w:p>
        </w:tc>
        <w:tc>
          <w:tcPr>
            <w:tcW w:type="dxa" w:w="1995"/>
          </w:tcPr>
          <w:p>
            <w:pPr>
              <w:spacing w:after="0" w:line="240" w:lineRule="auto"/>
              <w:ind w:firstLine="0"/>
              <w:jc w:val="center"/>
            </w:pPr>
            <w:r>
              <w:rPr>
                <w:b w:val="0"/>
                <w:i w:val="0"/>
                <w:sz w:val="20"/>
              </w:rPr>
              <w:t>800</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лёгкая + средняя</w:t>
            </w:r>
          </w:p>
        </w:tc>
      </w:tr>
      <w:tr>
        <w:tc>
          <w:tcPr>
            <w:tcW w:type="dxa" w:w="1995"/>
          </w:tcPr>
          <w:p>
            <w:pPr>
              <w:spacing w:after="0" w:line="240" w:lineRule="auto"/>
              <w:ind w:firstLine="0"/>
              <w:jc w:val="left"/>
            </w:pPr>
            <w:r>
              <w:rPr>
                <w:b w:val="0"/>
                <w:i w:val="0"/>
                <w:sz w:val="20"/>
              </w:rPr>
              <w:t>Energy Fuels (White Mesa)</w:t>
            </w:r>
          </w:p>
        </w:tc>
        <w:tc>
          <w:tcPr>
            <w:tcW w:type="dxa" w:w="1995"/>
          </w:tcPr>
          <w:p>
            <w:pPr>
              <w:spacing w:after="0" w:line="240" w:lineRule="auto"/>
              <w:ind w:firstLine="0"/>
              <w:jc w:val="center"/>
            </w:pPr>
            <w:r>
              <w:rPr>
                <w:b w:val="0"/>
                <w:i w:val="0"/>
                <w:sz w:val="20"/>
              </w:rPr>
              <w:t>США</w:t>
            </w:r>
          </w:p>
        </w:tc>
        <w:tc>
          <w:tcPr>
            <w:tcW w:type="dxa" w:w="1995"/>
          </w:tcPr>
          <w:p>
            <w:pPr>
              <w:spacing w:after="0" w:line="240" w:lineRule="auto"/>
              <w:ind w:firstLine="0"/>
              <w:jc w:val="center"/>
            </w:pPr>
            <w:r>
              <w:rPr>
                <w:b w:val="0"/>
                <w:i w:val="0"/>
                <w:sz w:val="20"/>
              </w:rPr>
              <w:t>1 000</w:t>
            </w:r>
          </w:p>
        </w:tc>
        <w:tc>
          <w:tcPr>
            <w:tcW w:type="dxa" w:w="1995"/>
          </w:tcPr>
          <w:p>
            <w:pPr>
              <w:spacing w:after="0" w:line="240" w:lineRule="auto"/>
              <w:ind w:firstLine="0"/>
              <w:jc w:val="center"/>
            </w:pPr>
            <w:r>
              <w:rPr>
                <w:b w:val="0"/>
                <w:i w:val="0"/>
                <w:sz w:val="20"/>
              </w:rPr>
              <w:t>50</w:t>
            </w:r>
          </w:p>
        </w:tc>
        <w:tc>
          <w:tcPr>
            <w:tcW w:type="dxa" w:w="1995"/>
          </w:tcPr>
          <w:p>
            <w:pPr>
              <w:spacing w:after="0" w:line="240" w:lineRule="auto"/>
              <w:ind w:firstLine="0"/>
              <w:jc w:val="center"/>
            </w:pPr>
            <w:r>
              <w:rPr>
                <w:b w:val="0"/>
                <w:i w:val="0"/>
                <w:sz w:val="20"/>
              </w:rPr>
              <w:t>лёгкая</w:t>
            </w:r>
          </w:p>
        </w:tc>
      </w:tr>
      <w:tr>
        <w:tc>
          <w:tcPr>
            <w:tcW w:type="dxa" w:w="1995"/>
          </w:tcPr>
          <w:p>
            <w:pPr>
              <w:spacing w:after="0" w:line="240" w:lineRule="auto"/>
              <w:ind w:firstLine="0"/>
              <w:jc w:val="left"/>
            </w:pPr>
            <w:r>
              <w:rPr>
                <w:b w:val="0"/>
                <w:i w:val="0"/>
                <w:sz w:val="20"/>
              </w:rPr>
              <w:t>Serra Verde / переработка</w:t>
            </w:r>
          </w:p>
        </w:tc>
        <w:tc>
          <w:tcPr>
            <w:tcW w:type="dxa" w:w="1995"/>
          </w:tcPr>
          <w:p>
            <w:pPr>
              <w:spacing w:after="0" w:line="240" w:lineRule="auto"/>
              <w:ind w:firstLine="0"/>
              <w:jc w:val="center"/>
            </w:pPr>
            <w:r>
              <w:rPr>
                <w:b w:val="0"/>
                <w:i w:val="0"/>
                <w:sz w:val="20"/>
              </w:rPr>
              <w:t>Бразилия</w:t>
            </w:r>
          </w:p>
        </w:tc>
        <w:tc>
          <w:tcPr>
            <w:tcW w:type="dxa" w:w="1995"/>
          </w:tcPr>
          <w:p>
            <w:pPr>
              <w:spacing w:after="0" w:line="240" w:lineRule="auto"/>
              <w:ind w:firstLine="0"/>
              <w:jc w:val="center"/>
            </w:pPr>
            <w:r>
              <w:rPr>
                <w:b w:val="0"/>
                <w:i w:val="0"/>
                <w:sz w:val="20"/>
              </w:rPr>
              <w:t>1 500</w:t>
            </w:r>
          </w:p>
        </w:tc>
        <w:tc>
          <w:tcPr>
            <w:tcW w:type="dxa" w:w="1995"/>
          </w:tcPr>
          <w:p>
            <w:pPr>
              <w:spacing w:after="0" w:line="240" w:lineRule="auto"/>
              <w:ind w:firstLine="0"/>
              <w:jc w:val="center"/>
            </w:pPr>
            <w:r>
              <w:rPr>
                <w:b w:val="0"/>
                <w:i w:val="0"/>
                <w:sz w:val="20"/>
              </w:rPr>
              <w:t>30</w:t>
            </w:r>
          </w:p>
        </w:tc>
        <w:tc>
          <w:tcPr>
            <w:tcW w:type="dxa" w:w="1995"/>
          </w:tcPr>
          <w:p>
            <w:pPr>
              <w:spacing w:after="0" w:line="240" w:lineRule="auto"/>
              <w:ind w:firstLine="0"/>
              <w:jc w:val="center"/>
            </w:pPr>
            <w:r>
              <w:rPr>
                <w:b w:val="0"/>
                <w:i w:val="0"/>
                <w:sz w:val="20"/>
              </w:rPr>
              <w:t>средняя + тяжёлая</w:t>
            </w:r>
          </w:p>
        </w:tc>
      </w:tr>
      <w:tr>
        <w:tc>
          <w:tcPr>
            <w:tcW w:type="dxa" w:w="1995"/>
          </w:tcPr>
          <w:p>
            <w:pPr>
              <w:spacing w:after="0" w:line="240" w:lineRule="auto"/>
              <w:ind w:firstLine="0"/>
              <w:jc w:val="left"/>
            </w:pPr>
            <w:r>
              <w:rPr>
                <w:b w:val="0"/>
                <w:i w:val="0"/>
                <w:sz w:val="20"/>
              </w:rPr>
              <w:t>SARECO / Казатомпром</w:t>
            </w:r>
          </w:p>
        </w:tc>
        <w:tc>
          <w:tcPr>
            <w:tcW w:type="dxa" w:w="1995"/>
          </w:tcPr>
          <w:p>
            <w:pPr>
              <w:spacing w:after="0" w:line="240" w:lineRule="auto"/>
              <w:ind w:firstLine="0"/>
              <w:jc w:val="center"/>
            </w:pPr>
            <w:r>
              <w:rPr>
                <w:b w:val="0"/>
                <w:i w:val="0"/>
                <w:sz w:val="20"/>
              </w:rPr>
              <w:t>Казахстан</w:t>
            </w:r>
          </w:p>
        </w:tc>
        <w:tc>
          <w:tcPr>
            <w:tcW w:type="dxa" w:w="1995"/>
          </w:tcPr>
          <w:p>
            <w:pPr>
              <w:spacing w:after="0" w:line="240" w:lineRule="auto"/>
              <w:ind w:firstLine="0"/>
              <w:jc w:val="center"/>
            </w:pPr>
            <w:r>
              <w:rPr>
                <w:b w:val="0"/>
                <w:i w:val="0"/>
                <w:sz w:val="20"/>
              </w:rPr>
              <w:t>1 500</w:t>
            </w:r>
          </w:p>
        </w:tc>
        <w:tc>
          <w:tcPr>
            <w:tcW w:type="dxa" w:w="1995"/>
          </w:tcPr>
          <w:p>
            <w:pPr>
              <w:spacing w:after="0" w:line="240" w:lineRule="auto"/>
              <w:ind w:firstLine="0"/>
              <w:jc w:val="center"/>
            </w:pPr>
            <w:r>
              <w:rPr>
                <w:b w:val="0"/>
                <w:i w:val="0"/>
                <w:sz w:val="20"/>
              </w:rPr>
              <w:t>20</w:t>
            </w:r>
          </w:p>
        </w:tc>
        <w:tc>
          <w:tcPr>
            <w:tcW w:type="dxa" w:w="1995"/>
          </w:tcPr>
          <w:p>
            <w:pPr>
              <w:spacing w:after="0" w:line="240" w:lineRule="auto"/>
              <w:ind w:firstLine="0"/>
              <w:jc w:val="center"/>
            </w:pPr>
            <w:r>
              <w:rPr>
                <w:b w:val="0"/>
                <w:i w:val="0"/>
                <w:sz w:val="20"/>
              </w:rPr>
              <w:t>лёгкая</w:t>
            </w:r>
          </w:p>
        </w:tc>
      </w:tr>
      <w:tr>
        <w:tc>
          <w:tcPr>
            <w:tcW w:type="dxa" w:w="1995"/>
          </w:tcPr>
          <w:p>
            <w:pPr>
              <w:spacing w:after="0" w:line="240" w:lineRule="auto"/>
              <w:ind w:firstLine="0"/>
              <w:jc w:val="left"/>
            </w:pPr>
            <w:r>
              <w:rPr>
                <w:b w:val="0"/>
                <w:i w:val="0"/>
                <w:sz w:val="20"/>
              </w:rPr>
              <w:t>Прочие</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3 000</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i w:val="0"/>
                <w:sz w:val="20"/>
              </w:rPr>
              <w:t>Всего вне КНР</w:t>
            </w:r>
          </w:p>
        </w:tc>
        <w:tc>
          <w:tcPr>
            <w:tcW w:type="dxa" w:w="1995"/>
          </w:tcPr>
          <w:p>
            <w:pPr>
              <w:spacing w:after="0" w:line="240" w:lineRule="auto"/>
              <w:ind w:firstLine="0"/>
              <w:jc w:val="center"/>
            </w:pPr>
          </w:p>
        </w:tc>
        <w:tc>
          <w:tcPr>
            <w:tcW w:type="dxa" w:w="1995"/>
          </w:tcPr>
          <w:p>
            <w:pPr>
              <w:spacing w:after="0" w:line="240" w:lineRule="auto"/>
              <w:ind w:firstLine="0"/>
              <w:jc w:val="center"/>
            </w:pPr>
            <w:r>
              <w:rPr>
                <w:b/>
                <w:i w:val="0"/>
                <w:sz w:val="20"/>
              </w:rPr>
              <w:t>82 300</w:t>
            </w:r>
          </w:p>
        </w:tc>
        <w:tc>
          <w:tcPr>
            <w:tcW w:type="dxa" w:w="1995"/>
          </w:tcPr>
          <w:p>
            <w:pPr>
              <w:spacing w:after="0" w:line="240" w:lineRule="auto"/>
              <w:ind w:firstLine="0"/>
              <w:jc w:val="center"/>
            </w:pPr>
            <w:r>
              <w:rPr>
                <w:b/>
                <w:i w:val="0"/>
                <w:sz w:val="20"/>
              </w:rPr>
              <w:t>41</w:t>
            </w:r>
          </w:p>
        </w:tc>
        <w:tc>
          <w:tcPr>
            <w:tcW w:type="dxa" w:w="1995"/>
          </w:tcPr>
          <w:p>
            <w:pPr>
              <w:spacing w:after="0" w:line="240" w:lineRule="auto"/>
              <w:ind w:firstLine="0"/>
              <w:jc w:val="center"/>
            </w:pPr>
          </w:p>
        </w:tc>
      </w:tr>
    </w:tbl>
    <w:p>
      <w:pPr>
        <w:spacing w:after="180"/>
        <w:ind w:firstLine="0"/>
      </w:pPr>
      <w:r>
        <w:rPr>
          <w:i/>
          <w:sz w:val="20"/>
        </w:rPr>
        <w:t>Источник: аналитический центр по данным корпоративных раскрытий, Министерства промышленности и информатизации КНР, отраслевых публикаций</w:t>
      </w:r>
    </w:p>
    <w:p>
      <w:pPr>
        <w:keepNext/>
        <w:spacing w:before="160" w:after="60"/>
        <w:ind w:firstLine="0"/>
        <w:jc w:val="left"/>
      </w:pPr>
      <w:r>
        <w:rPr>
          <w:b/>
          <w:sz w:val="22"/>
        </w:rPr>
        <w:t>Рисунок 13. Структура мировых мощностей по разделению РЗМ, 2025 г., %</w:t>
      </w:r>
    </w:p>
    <w:p>
      <w:pPr>
        <w:ind w:firstLine="0"/>
        <w:jc w:val="center"/>
      </w:pPr>
      <w:r>
        <w:drawing>
          <wp:inline xmlns:a="http://schemas.openxmlformats.org/drawingml/2006/main" xmlns:pic="http://schemas.openxmlformats.org/drawingml/2006/picture">
            <wp:extent cx="5580000" cy="3600000"/>
            <wp:docPr id="13" name="Picture 13"/>
            <wp:cNvGraphicFramePr>
              <a:graphicFrameLocks noChangeAspect="1"/>
            </wp:cNvGraphicFramePr>
            <a:graphic>
              <a:graphicData uri="http://schemas.openxmlformats.org/drawingml/2006/picture">
                <pic:pic>
                  <pic:nvPicPr>
                    <pic:cNvPr id="0" name="fig13.png"/>
                    <pic:cNvPicPr/>
                  </pic:nvPicPr>
                  <pic:blipFill>
                    <a:blip r:embed="rId23"/>
                    <a:stretch>
                      <a:fillRect/>
                    </a:stretch>
                  </pic:blipFill>
                  <pic:spPr>
                    <a:xfrm>
                      <a:off x="0" y="0"/>
                      <a:ext cx="5580000" cy="3600000"/>
                    </a:xfrm>
                    <a:prstGeom prst="rect"/>
                  </pic:spPr>
                </pic:pic>
              </a:graphicData>
            </a:graphic>
          </wp:inline>
        </w:drawing>
      </w:r>
    </w:p>
    <w:p>
      <w:pPr>
        <w:spacing w:after="180"/>
        <w:ind w:firstLine="0"/>
      </w:pPr>
      <w:r>
        <w:rPr>
          <w:i/>
          <w:sz w:val="20"/>
        </w:rPr>
        <w:t>Источник: аналитический центр (табл. 17)</w:t>
      </w:r>
    </w:p>
    <w:p>
      <w:r>
        <w:rPr>
          <w:b w:val="0"/>
          <w:i w:val="0"/>
        </w:rPr>
        <w:t xml:space="preserve">Ключевой вывод, следующий из таблицы 17: суммарная загрузка не-китайских разделительных мощностей составляет порядка 40%. Это означает, что физическая нехватка мощностей вне КНР не является главным ограничением — им является </w:t>
      </w:r>
      <w:r>
        <w:rPr>
          <w:b/>
          <w:i w:val="0"/>
        </w:rPr>
        <w:t>отсутствие сырья соответствующей корзины, отсутствие сбыта избыточных элементов и неконкурентная себестоимость</w:t>
      </w:r>
      <w:r>
        <w:rPr>
          <w:b w:val="0"/>
          <w:i w:val="0"/>
        </w:rPr>
        <w:t>. Строительство новых разделительных заводов при незагруженных существующих не решает проблему; необходимым условием является формирование гарантированного спроса и механизмов ценовой защиты, чему посвящён раздел 7.2.</w:t>
      </w:r>
    </w:p>
    <w:p>
      <w:r>
        <w:rPr>
          <w:b w:val="0"/>
          <w:i w:val="0"/>
        </w:rPr>
        <w:t>Отдельного внимания заслуживает вопрос разделения тяжёлой группы. Из перечисленных площадок технологической возможностью выделять диспрозий и тербий в промышленном масштабе располагают лишь китайские предприятия, Solvay (Ла-Рошель, с ограничениями), Lynas Malaysia (линия тяжёлых РЗМ введена в 2025 г.) и, в пилотном масштабе, ряд проектов в Австралии и США. Совокупная не-китайская мощность по диспрозию не превышает 300–500 т в год при мировом потреблении свыше 3 тыс. т.</w:t>
      </w:r>
    </w:p>
    <w:p>
      <w:pPr>
        <w:pStyle w:val="Heading2"/>
      </w:pPr>
      <w:r>
        <w:rPr>
          <w:b w:val="0"/>
          <w:i w:val="0"/>
        </w:rPr>
        <w:t>3.3. Металлургический передел и производство лигатур</w:t>
      </w:r>
    </w:p>
    <w:p>
      <w:r>
        <w:rPr>
          <w:b w:val="0"/>
          <w:i w:val="0"/>
        </w:rPr>
        <w:t>Восстановление оксидов до металлов осуществляется преимущественно электролизом расплавленных фторидно-оксидных сред (для лёгких элементов — Nd, Pr, La, Ce) либо металлотермическим восстановлением кальцием (для Dy, Tb, Gd, Sm, Y). Далее металлы сплавляются с железом и бором методом strip casting с получением сплава NdFeB в виде чешуек — исходного материала для производства спечённых магнитов.</w:t>
      </w:r>
    </w:p>
    <w:p>
      <w:r>
        <w:rPr>
          <w:b w:val="0"/>
          <w:i w:val="0"/>
        </w:rPr>
        <w:t>Этот передел ещё более концентрирован, чем разделительный. По оценкам, свыше 90% мирового производства редкоземельных металлов и практически 100% производства NdFeB-сплава сосредоточены в КНР. Значимые мощности вне КНР: Neo Performance Materials (Тайланд и Эстония), Less Common Metals (Великобритания, ~500 т/год сплава), MP Materials (США, введено в 2024–2025 гг.), Vacuumschmelze (Германия), Korea Materials &amp; Analysis, а также ряд предприятий Японии.</w:t>
      </w:r>
    </w:p>
    <w:p>
      <w:pPr>
        <w:keepNext/>
        <w:spacing w:before="160" w:after="60"/>
        <w:ind w:firstLine="0"/>
        <w:jc w:val="left"/>
      </w:pPr>
      <w:r>
        <w:rPr>
          <w:b/>
          <w:sz w:val="22"/>
        </w:rPr>
        <w:t>Таблица 18. Мировые мощности по производству редкоземельных металлов и сплавов NdFeB, 2025 г., т/год</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Компания / страна</w:t>
            </w:r>
          </w:p>
        </w:tc>
        <w:tc>
          <w:tcPr>
            <w:tcW w:type="dxa" w:w="2493"/>
            <w:shd w:val="clear" w:fill="DCE6F1"/>
          </w:tcPr>
          <w:p>
            <w:pPr>
              <w:spacing w:after="0" w:line="240" w:lineRule="auto"/>
              <w:ind w:firstLine="0"/>
              <w:jc w:val="center"/>
            </w:pPr>
            <w:r>
              <w:rPr>
                <w:b/>
                <w:i w:val="0"/>
                <w:sz w:val="20"/>
              </w:rPr>
              <w:t>Страна</w:t>
            </w:r>
          </w:p>
        </w:tc>
        <w:tc>
          <w:tcPr>
            <w:tcW w:type="dxa" w:w="2493"/>
            <w:shd w:val="clear" w:fill="DCE6F1"/>
          </w:tcPr>
          <w:p>
            <w:pPr>
              <w:spacing w:after="0" w:line="240" w:lineRule="auto"/>
              <w:ind w:firstLine="0"/>
              <w:jc w:val="center"/>
            </w:pPr>
            <w:r>
              <w:rPr>
                <w:b/>
                <w:i w:val="0"/>
                <w:sz w:val="20"/>
              </w:rPr>
              <w:t>Мощность, т/год</w:t>
            </w:r>
          </w:p>
        </w:tc>
        <w:tc>
          <w:tcPr>
            <w:tcW w:type="dxa" w:w="2493"/>
            <w:shd w:val="clear" w:fill="DCE6F1"/>
          </w:tcPr>
          <w:p>
            <w:pPr>
              <w:spacing w:after="0" w:line="240" w:lineRule="auto"/>
              <w:ind w:firstLine="0"/>
              <w:jc w:val="center"/>
            </w:pPr>
            <w:r>
              <w:rPr>
                <w:b/>
                <w:i w:val="0"/>
                <w:sz w:val="20"/>
              </w:rPr>
              <w:t>Продукция</w:t>
            </w:r>
          </w:p>
        </w:tc>
      </w:tr>
      <w:tr>
        <w:tc>
          <w:tcPr>
            <w:tcW w:type="dxa" w:w="2493"/>
          </w:tcPr>
          <w:p>
            <w:pPr>
              <w:spacing w:after="0" w:line="240" w:lineRule="auto"/>
              <w:ind w:firstLine="0"/>
              <w:jc w:val="left"/>
            </w:pPr>
            <w:r>
              <w:rPr>
                <w:b w:val="0"/>
                <w:i w:val="0"/>
                <w:sz w:val="20"/>
              </w:rPr>
              <w:t>Китайские производители (совокупно)</w:t>
            </w:r>
          </w:p>
        </w:tc>
        <w:tc>
          <w:tcPr>
            <w:tcW w:type="dxa" w:w="2493"/>
          </w:tcPr>
          <w:p>
            <w:pPr>
              <w:spacing w:after="0" w:line="240" w:lineRule="auto"/>
              <w:ind w:firstLine="0"/>
              <w:jc w:val="center"/>
            </w:pPr>
            <w:r>
              <w:rPr>
                <w:b w:val="0"/>
                <w:i w:val="0"/>
                <w:sz w:val="20"/>
              </w:rPr>
              <w:t>КНР</w:t>
            </w:r>
          </w:p>
        </w:tc>
        <w:tc>
          <w:tcPr>
            <w:tcW w:type="dxa" w:w="2493"/>
          </w:tcPr>
          <w:p>
            <w:pPr>
              <w:spacing w:after="0" w:line="240" w:lineRule="auto"/>
              <w:ind w:firstLine="0"/>
              <w:jc w:val="center"/>
            </w:pPr>
            <w:r>
              <w:rPr>
                <w:b w:val="0"/>
                <w:i w:val="0"/>
                <w:sz w:val="20"/>
              </w:rPr>
              <w:t>230 000</w:t>
            </w:r>
          </w:p>
        </w:tc>
        <w:tc>
          <w:tcPr>
            <w:tcW w:type="dxa" w:w="2493"/>
          </w:tcPr>
          <w:p>
            <w:pPr>
              <w:spacing w:after="0" w:line="240" w:lineRule="auto"/>
              <w:ind w:firstLine="0"/>
              <w:jc w:val="center"/>
            </w:pPr>
            <w:r>
              <w:rPr>
                <w:b w:val="0"/>
                <w:i w:val="0"/>
                <w:sz w:val="20"/>
              </w:rPr>
              <w:t>металлы, сплав NdFeB</w:t>
            </w:r>
          </w:p>
        </w:tc>
      </w:tr>
      <w:tr>
        <w:tc>
          <w:tcPr>
            <w:tcW w:type="dxa" w:w="2493"/>
          </w:tcPr>
          <w:p>
            <w:pPr>
              <w:spacing w:after="0" w:line="240" w:lineRule="auto"/>
              <w:ind w:firstLine="0"/>
              <w:jc w:val="left"/>
            </w:pPr>
            <w:r>
              <w:rPr>
                <w:b w:val="0"/>
                <w:i w:val="0"/>
                <w:sz w:val="20"/>
              </w:rPr>
              <w:t>Neo Performance Materials</w:t>
            </w:r>
          </w:p>
        </w:tc>
        <w:tc>
          <w:tcPr>
            <w:tcW w:type="dxa" w:w="2493"/>
          </w:tcPr>
          <w:p>
            <w:pPr>
              <w:spacing w:after="0" w:line="240" w:lineRule="auto"/>
              <w:ind w:firstLine="0"/>
              <w:jc w:val="center"/>
            </w:pPr>
            <w:r>
              <w:rPr>
                <w:b w:val="0"/>
                <w:i w:val="0"/>
                <w:sz w:val="20"/>
              </w:rPr>
              <w:t>Таиланд/Эстония</w:t>
            </w:r>
          </w:p>
        </w:tc>
        <w:tc>
          <w:tcPr>
            <w:tcW w:type="dxa" w:w="2493"/>
          </w:tcPr>
          <w:p>
            <w:pPr>
              <w:spacing w:after="0" w:line="240" w:lineRule="auto"/>
              <w:ind w:firstLine="0"/>
              <w:jc w:val="center"/>
            </w:pPr>
            <w:r>
              <w:rPr>
                <w:b w:val="0"/>
                <w:i w:val="0"/>
                <w:sz w:val="20"/>
              </w:rPr>
              <w:t>3 000</w:t>
            </w:r>
          </w:p>
        </w:tc>
        <w:tc>
          <w:tcPr>
            <w:tcW w:type="dxa" w:w="2493"/>
          </w:tcPr>
          <w:p>
            <w:pPr>
              <w:spacing w:after="0" w:line="240" w:lineRule="auto"/>
              <w:ind w:firstLine="0"/>
              <w:jc w:val="center"/>
            </w:pPr>
            <w:r>
              <w:rPr>
                <w:b w:val="0"/>
                <w:i w:val="0"/>
                <w:sz w:val="20"/>
              </w:rPr>
              <w:t>металлы, сплавы</w:t>
            </w:r>
          </w:p>
        </w:tc>
      </w:tr>
      <w:tr>
        <w:tc>
          <w:tcPr>
            <w:tcW w:type="dxa" w:w="2493"/>
          </w:tcPr>
          <w:p>
            <w:pPr>
              <w:spacing w:after="0" w:line="240" w:lineRule="auto"/>
              <w:ind w:firstLine="0"/>
              <w:jc w:val="left"/>
            </w:pPr>
            <w:r>
              <w:rPr>
                <w:b w:val="0"/>
                <w:i w:val="0"/>
                <w:sz w:val="20"/>
              </w:rPr>
              <w:t>Less Common Metals</w:t>
            </w:r>
          </w:p>
        </w:tc>
        <w:tc>
          <w:tcPr>
            <w:tcW w:type="dxa" w:w="2493"/>
          </w:tcPr>
          <w:p>
            <w:pPr>
              <w:spacing w:after="0" w:line="240" w:lineRule="auto"/>
              <w:ind w:firstLine="0"/>
              <w:jc w:val="center"/>
            </w:pPr>
            <w:r>
              <w:rPr>
                <w:b w:val="0"/>
                <w:i w:val="0"/>
                <w:sz w:val="20"/>
              </w:rPr>
              <w:t>Великобритания</w:t>
            </w:r>
          </w:p>
        </w:tc>
        <w:tc>
          <w:tcPr>
            <w:tcW w:type="dxa" w:w="2493"/>
          </w:tcPr>
          <w:p>
            <w:pPr>
              <w:spacing w:after="0" w:line="240" w:lineRule="auto"/>
              <w:ind w:firstLine="0"/>
              <w:jc w:val="center"/>
            </w:pPr>
            <w:r>
              <w:rPr>
                <w:b w:val="0"/>
                <w:i w:val="0"/>
                <w:sz w:val="20"/>
              </w:rPr>
              <w:t>500</w:t>
            </w:r>
          </w:p>
        </w:tc>
        <w:tc>
          <w:tcPr>
            <w:tcW w:type="dxa" w:w="2493"/>
          </w:tcPr>
          <w:p>
            <w:pPr>
              <w:spacing w:after="0" w:line="240" w:lineRule="auto"/>
              <w:ind w:firstLine="0"/>
              <w:jc w:val="center"/>
            </w:pPr>
            <w:r>
              <w:rPr>
                <w:b w:val="0"/>
                <w:i w:val="0"/>
                <w:sz w:val="20"/>
              </w:rPr>
              <w:t>сплав NdFeB, металлы</w:t>
            </w:r>
          </w:p>
        </w:tc>
      </w:tr>
      <w:tr>
        <w:tc>
          <w:tcPr>
            <w:tcW w:type="dxa" w:w="2493"/>
          </w:tcPr>
          <w:p>
            <w:pPr>
              <w:spacing w:after="0" w:line="240" w:lineRule="auto"/>
              <w:ind w:firstLine="0"/>
              <w:jc w:val="left"/>
            </w:pPr>
            <w:r>
              <w:rPr>
                <w:b w:val="0"/>
                <w:i w:val="0"/>
                <w:sz w:val="20"/>
              </w:rPr>
              <w:t>MP Materials</w:t>
            </w:r>
          </w:p>
        </w:tc>
        <w:tc>
          <w:tcPr>
            <w:tcW w:type="dxa" w:w="2493"/>
          </w:tcPr>
          <w:p>
            <w:pPr>
              <w:spacing w:after="0" w:line="240" w:lineRule="auto"/>
              <w:ind w:firstLine="0"/>
              <w:jc w:val="center"/>
            </w:pPr>
            <w:r>
              <w:rPr>
                <w:b w:val="0"/>
                <w:i w:val="0"/>
                <w:sz w:val="20"/>
              </w:rPr>
              <w:t>США</w:t>
            </w:r>
          </w:p>
        </w:tc>
        <w:tc>
          <w:tcPr>
            <w:tcW w:type="dxa" w:w="2493"/>
          </w:tcPr>
          <w:p>
            <w:pPr>
              <w:spacing w:after="0" w:line="240" w:lineRule="auto"/>
              <w:ind w:firstLine="0"/>
              <w:jc w:val="center"/>
            </w:pPr>
            <w:r>
              <w:rPr>
                <w:b w:val="0"/>
                <w:i w:val="0"/>
                <w:sz w:val="20"/>
              </w:rPr>
              <w:t>1 000</w:t>
            </w:r>
          </w:p>
        </w:tc>
        <w:tc>
          <w:tcPr>
            <w:tcW w:type="dxa" w:w="2493"/>
          </w:tcPr>
          <w:p>
            <w:pPr>
              <w:spacing w:after="0" w:line="240" w:lineRule="auto"/>
              <w:ind w:firstLine="0"/>
              <w:jc w:val="center"/>
            </w:pPr>
            <w:r>
              <w:rPr>
                <w:b w:val="0"/>
                <w:i w:val="0"/>
                <w:sz w:val="20"/>
              </w:rPr>
              <w:t>металл NdPr, сплав</w:t>
            </w:r>
          </w:p>
        </w:tc>
      </w:tr>
      <w:tr>
        <w:tc>
          <w:tcPr>
            <w:tcW w:type="dxa" w:w="2493"/>
          </w:tcPr>
          <w:p>
            <w:pPr>
              <w:spacing w:after="0" w:line="240" w:lineRule="auto"/>
              <w:ind w:firstLine="0"/>
              <w:jc w:val="left"/>
            </w:pPr>
            <w:r>
              <w:rPr>
                <w:b w:val="0"/>
                <w:i w:val="0"/>
                <w:sz w:val="20"/>
              </w:rPr>
              <w:t>Vacuumschmelze</w:t>
            </w:r>
          </w:p>
        </w:tc>
        <w:tc>
          <w:tcPr>
            <w:tcW w:type="dxa" w:w="2493"/>
          </w:tcPr>
          <w:p>
            <w:pPr>
              <w:spacing w:after="0" w:line="240" w:lineRule="auto"/>
              <w:ind w:firstLine="0"/>
              <w:jc w:val="center"/>
            </w:pPr>
            <w:r>
              <w:rPr>
                <w:b w:val="0"/>
                <w:i w:val="0"/>
                <w:sz w:val="20"/>
              </w:rPr>
              <w:t>Германия</w:t>
            </w:r>
          </w:p>
        </w:tc>
        <w:tc>
          <w:tcPr>
            <w:tcW w:type="dxa" w:w="2493"/>
          </w:tcPr>
          <w:p>
            <w:pPr>
              <w:spacing w:after="0" w:line="240" w:lineRule="auto"/>
              <w:ind w:firstLine="0"/>
              <w:jc w:val="center"/>
            </w:pPr>
            <w:r>
              <w:rPr>
                <w:b w:val="0"/>
                <w:i w:val="0"/>
                <w:sz w:val="20"/>
              </w:rPr>
              <w:t>900</w:t>
            </w:r>
          </w:p>
        </w:tc>
        <w:tc>
          <w:tcPr>
            <w:tcW w:type="dxa" w:w="2493"/>
          </w:tcPr>
          <w:p>
            <w:pPr>
              <w:spacing w:after="0" w:line="240" w:lineRule="auto"/>
              <w:ind w:firstLine="0"/>
              <w:jc w:val="center"/>
            </w:pPr>
            <w:r>
              <w:rPr>
                <w:b w:val="0"/>
                <w:i w:val="0"/>
                <w:sz w:val="20"/>
              </w:rPr>
              <w:t>сплавы, магниты</w:t>
            </w:r>
          </w:p>
        </w:tc>
      </w:tr>
      <w:tr>
        <w:tc>
          <w:tcPr>
            <w:tcW w:type="dxa" w:w="2493"/>
          </w:tcPr>
          <w:p>
            <w:pPr>
              <w:spacing w:after="0" w:line="240" w:lineRule="auto"/>
              <w:ind w:firstLine="0"/>
              <w:jc w:val="left"/>
            </w:pPr>
            <w:r>
              <w:rPr>
                <w:b w:val="0"/>
                <w:i w:val="0"/>
                <w:sz w:val="20"/>
              </w:rPr>
              <w:t>Shin-Etsu, TDK, Proterial</w:t>
            </w:r>
          </w:p>
        </w:tc>
        <w:tc>
          <w:tcPr>
            <w:tcW w:type="dxa" w:w="2493"/>
          </w:tcPr>
          <w:p>
            <w:pPr>
              <w:spacing w:after="0" w:line="240" w:lineRule="auto"/>
              <w:ind w:firstLine="0"/>
              <w:jc w:val="center"/>
            </w:pPr>
            <w:r>
              <w:rPr>
                <w:b w:val="0"/>
                <w:i w:val="0"/>
                <w:sz w:val="20"/>
              </w:rPr>
              <w:t>Япония</w:t>
            </w:r>
          </w:p>
        </w:tc>
        <w:tc>
          <w:tcPr>
            <w:tcW w:type="dxa" w:w="2493"/>
          </w:tcPr>
          <w:p>
            <w:pPr>
              <w:spacing w:after="0" w:line="240" w:lineRule="auto"/>
              <w:ind w:firstLine="0"/>
              <w:jc w:val="center"/>
            </w:pPr>
            <w:r>
              <w:rPr>
                <w:b w:val="0"/>
                <w:i w:val="0"/>
                <w:sz w:val="20"/>
              </w:rPr>
              <w:t>4 500</w:t>
            </w:r>
          </w:p>
        </w:tc>
        <w:tc>
          <w:tcPr>
            <w:tcW w:type="dxa" w:w="2493"/>
          </w:tcPr>
          <w:p>
            <w:pPr>
              <w:spacing w:after="0" w:line="240" w:lineRule="auto"/>
              <w:ind w:firstLine="0"/>
              <w:jc w:val="center"/>
            </w:pPr>
            <w:r>
              <w:rPr>
                <w:b w:val="0"/>
                <w:i w:val="0"/>
                <w:sz w:val="20"/>
              </w:rPr>
              <w:t>сплавы, магниты</w:t>
            </w:r>
          </w:p>
        </w:tc>
      </w:tr>
      <w:tr>
        <w:tc>
          <w:tcPr>
            <w:tcW w:type="dxa" w:w="2493"/>
          </w:tcPr>
          <w:p>
            <w:pPr>
              <w:spacing w:after="0" w:line="240" w:lineRule="auto"/>
              <w:ind w:firstLine="0"/>
              <w:jc w:val="left"/>
            </w:pPr>
            <w:r>
              <w:rPr>
                <w:b w:val="0"/>
                <w:i w:val="0"/>
                <w:sz w:val="20"/>
              </w:rPr>
              <w:t>Korea/Тайвань</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1 200</w:t>
            </w:r>
          </w:p>
        </w:tc>
        <w:tc>
          <w:tcPr>
            <w:tcW w:type="dxa" w:w="2493"/>
          </w:tcPr>
          <w:p>
            <w:pPr>
              <w:spacing w:after="0" w:line="240" w:lineRule="auto"/>
              <w:ind w:firstLine="0"/>
              <w:jc w:val="center"/>
            </w:pPr>
            <w:r>
              <w:rPr>
                <w:b w:val="0"/>
                <w:i w:val="0"/>
                <w:sz w:val="20"/>
              </w:rPr>
              <w:t>сплавы</w:t>
            </w:r>
          </w:p>
        </w:tc>
      </w:tr>
      <w:tr>
        <w:tc>
          <w:tcPr>
            <w:tcW w:type="dxa" w:w="2493"/>
          </w:tcPr>
          <w:p>
            <w:pPr>
              <w:spacing w:after="0" w:line="240" w:lineRule="auto"/>
              <w:ind w:firstLine="0"/>
              <w:jc w:val="left"/>
            </w:pPr>
            <w:r>
              <w:rPr>
                <w:b w:val="0"/>
                <w:i w:val="0"/>
                <w:sz w:val="20"/>
              </w:rPr>
              <w:t>АО «ЧМЗ», прочие (РФ)</w:t>
            </w:r>
          </w:p>
        </w:tc>
        <w:tc>
          <w:tcPr>
            <w:tcW w:type="dxa" w:w="2493"/>
          </w:tcPr>
          <w:p>
            <w:pPr>
              <w:spacing w:after="0" w:line="240" w:lineRule="auto"/>
              <w:ind w:firstLine="0"/>
              <w:jc w:val="center"/>
            </w:pPr>
            <w:r>
              <w:rPr>
                <w:b w:val="0"/>
                <w:i w:val="0"/>
                <w:sz w:val="20"/>
              </w:rPr>
              <w:t>Россия</w:t>
            </w:r>
          </w:p>
        </w:tc>
        <w:tc>
          <w:tcPr>
            <w:tcW w:type="dxa" w:w="2493"/>
          </w:tcPr>
          <w:p>
            <w:pPr>
              <w:spacing w:after="0" w:line="240" w:lineRule="auto"/>
              <w:ind w:firstLine="0"/>
              <w:jc w:val="center"/>
            </w:pPr>
            <w:r>
              <w:rPr>
                <w:b w:val="0"/>
                <w:i w:val="0"/>
                <w:sz w:val="20"/>
              </w:rPr>
              <w:t>200</w:t>
            </w:r>
          </w:p>
        </w:tc>
        <w:tc>
          <w:tcPr>
            <w:tcW w:type="dxa" w:w="2493"/>
          </w:tcPr>
          <w:p>
            <w:pPr>
              <w:spacing w:after="0" w:line="240" w:lineRule="auto"/>
              <w:ind w:firstLine="0"/>
              <w:jc w:val="center"/>
            </w:pPr>
            <w:r>
              <w:rPr>
                <w:b w:val="0"/>
                <w:i w:val="0"/>
                <w:sz w:val="20"/>
              </w:rPr>
              <w:t>металлы, лигатуры</w:t>
            </w:r>
          </w:p>
        </w:tc>
      </w:tr>
      <w:tr>
        <w:tc>
          <w:tcPr>
            <w:tcW w:type="dxa" w:w="2493"/>
          </w:tcPr>
          <w:p>
            <w:pPr>
              <w:spacing w:after="0" w:line="240" w:lineRule="auto"/>
              <w:ind w:firstLine="0"/>
              <w:jc w:val="left"/>
            </w:pPr>
            <w:r>
              <w:rPr>
                <w:b/>
                <w:i w:val="0"/>
                <w:sz w:val="20"/>
              </w:rPr>
              <w:t>Всего вне КНР</w:t>
            </w:r>
          </w:p>
        </w:tc>
        <w:tc>
          <w:tcPr>
            <w:tcW w:type="dxa" w:w="2493"/>
          </w:tcPr>
          <w:p>
            <w:pPr>
              <w:spacing w:after="0" w:line="240" w:lineRule="auto"/>
              <w:ind w:firstLine="0"/>
              <w:jc w:val="center"/>
            </w:pPr>
          </w:p>
        </w:tc>
        <w:tc>
          <w:tcPr>
            <w:tcW w:type="dxa" w:w="2493"/>
          </w:tcPr>
          <w:p>
            <w:pPr>
              <w:spacing w:after="0" w:line="240" w:lineRule="auto"/>
              <w:ind w:firstLine="0"/>
              <w:jc w:val="center"/>
            </w:pPr>
            <w:r>
              <w:rPr>
                <w:b/>
                <w:i w:val="0"/>
                <w:sz w:val="20"/>
              </w:rPr>
              <w:t>11 300</w:t>
            </w:r>
          </w:p>
        </w:tc>
        <w:tc>
          <w:tcPr>
            <w:tcW w:type="dxa" w:w="2493"/>
          </w:tcPr>
          <w:p>
            <w:pPr>
              <w:spacing w:after="0" w:line="240" w:lineRule="auto"/>
              <w:ind w:firstLine="0"/>
              <w:jc w:val="center"/>
            </w:pPr>
          </w:p>
        </w:tc>
      </w:tr>
    </w:tbl>
    <w:p>
      <w:pPr>
        <w:spacing w:after="180"/>
        <w:ind w:firstLine="0"/>
      </w:pPr>
      <w:r>
        <w:rPr>
          <w:i/>
          <w:sz w:val="20"/>
        </w:rPr>
        <w:t>Источник: аналитический центр по данным Adamas Intelligence, корпоративных раскрытий, отраслевой прессы</w:t>
      </w:r>
    </w:p>
    <w:p>
      <w:pPr>
        <w:pStyle w:val="Heading2"/>
      </w:pPr>
      <w:r>
        <w:rPr>
          <w:b w:val="0"/>
          <w:i w:val="0"/>
        </w:rPr>
        <w:t>3.4. Производство постоянных магнитов</w:t>
      </w:r>
    </w:p>
    <w:p>
      <w:r>
        <w:rPr>
          <w:b w:val="0"/>
          <w:i w:val="0"/>
        </w:rPr>
        <w:t>Мировое производство спечённых магнитов NdFeB в 2024 г. оценивается в 230–250 тыс. т, из которых на КНР приходится порядка 93–94%. Япония производит около 10–12 тыс. т (Shin-Etsu Chemical, Proterial (ранее Hitachi Metals), TDK), Германия — около 1 тыс. т (Vacuumschmelze), прочие страны — менее 2 тыс. т суммарно.</w:t>
      </w:r>
    </w:p>
    <w:p>
      <w:r>
        <w:rPr>
          <w:b w:val="0"/>
          <w:i w:val="0"/>
        </w:rPr>
        <w:t>Особенность магнитного передела состоит в том, что барьером входа является не только технология, но и патентный ландшафт. Базовые патенты Sumitomo Special Metals (ныне Proterial) и General Motors на спечённые и связанные NdFeB-магниты истекли в 2014 г., однако сохраняется плотный слой патентов на технологии зернограничной диффузии (grain boundary diffusion, GBD), позволяющей радикально сократить расход дефицитных диспрозия и тербия. Отсутствие доступа к этим решениям увеличивает потребность в тяжёлых РЗМ в 2–4 раза при производстве высокотемпературных марок.</w:t>
      </w:r>
    </w:p>
    <w:p>
      <w:pPr>
        <w:keepNext/>
        <w:spacing w:before="160" w:after="60"/>
        <w:ind w:firstLine="0"/>
        <w:jc w:val="left"/>
      </w:pPr>
      <w:r>
        <w:rPr>
          <w:b/>
          <w:sz w:val="22"/>
        </w:rPr>
        <w:t>Таблица 19. Мировое производство спечённых магнитов NdFeB по странам, 2018–2025 гг., тыс. т</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Страна</w:t>
            </w:r>
          </w:p>
        </w:tc>
        <w:tc>
          <w:tcPr>
            <w:tcW w:type="dxa" w:w="1425"/>
            <w:shd w:val="clear" w:fill="DCE6F1"/>
          </w:tcPr>
          <w:p>
            <w:pPr>
              <w:spacing w:after="0" w:line="240" w:lineRule="auto"/>
              <w:ind w:firstLine="0"/>
              <w:jc w:val="center"/>
            </w:pPr>
            <w:r>
              <w:rPr>
                <w:b/>
                <w:i w:val="0"/>
                <w:sz w:val="20"/>
              </w:rPr>
              <w:t>2018</w:t>
            </w:r>
          </w:p>
        </w:tc>
        <w:tc>
          <w:tcPr>
            <w:tcW w:type="dxa" w:w="1425"/>
            <w:shd w:val="clear" w:fill="DCE6F1"/>
          </w:tcPr>
          <w:p>
            <w:pPr>
              <w:spacing w:after="0" w:line="240" w:lineRule="auto"/>
              <w:ind w:firstLine="0"/>
              <w:jc w:val="center"/>
            </w:pPr>
            <w:r>
              <w:rPr>
                <w:b/>
                <w:i w:val="0"/>
                <w:sz w:val="20"/>
              </w:rPr>
              <w:t>2020</w:t>
            </w:r>
          </w:p>
        </w:tc>
        <w:tc>
          <w:tcPr>
            <w:tcW w:type="dxa" w:w="1425"/>
            <w:shd w:val="clear" w:fill="DCE6F1"/>
          </w:tcPr>
          <w:p>
            <w:pPr>
              <w:spacing w:after="0" w:line="240" w:lineRule="auto"/>
              <w:ind w:firstLine="0"/>
              <w:jc w:val="center"/>
            </w:pPr>
            <w:r>
              <w:rPr>
                <w:b/>
                <w:i w:val="0"/>
                <w:sz w:val="20"/>
              </w:rPr>
              <w:t>2022</w:t>
            </w:r>
          </w:p>
        </w:tc>
        <w:tc>
          <w:tcPr>
            <w:tcW w:type="dxa" w:w="1425"/>
            <w:shd w:val="clear" w:fill="DCE6F1"/>
          </w:tcPr>
          <w:p>
            <w:pPr>
              <w:spacing w:after="0" w:line="240" w:lineRule="auto"/>
              <w:ind w:firstLine="0"/>
              <w:jc w:val="center"/>
            </w:pPr>
            <w:r>
              <w:rPr>
                <w:b/>
                <w:i w:val="0"/>
                <w:sz w:val="20"/>
              </w:rPr>
              <w:t>2023</w:t>
            </w:r>
          </w:p>
        </w:tc>
        <w:tc>
          <w:tcPr>
            <w:tcW w:type="dxa" w:w="1425"/>
            <w:shd w:val="clear" w:fill="DCE6F1"/>
          </w:tcPr>
          <w:p>
            <w:pPr>
              <w:spacing w:after="0" w:line="240" w:lineRule="auto"/>
              <w:ind w:firstLine="0"/>
              <w:jc w:val="center"/>
            </w:pPr>
            <w:r>
              <w:rPr>
                <w:b/>
                <w:i w:val="0"/>
                <w:sz w:val="20"/>
              </w:rPr>
              <w:t>2024</w:t>
            </w:r>
          </w:p>
        </w:tc>
        <w:tc>
          <w:tcPr>
            <w:tcW w:type="dxa" w:w="1425"/>
            <w:shd w:val="clear" w:fill="DCE6F1"/>
          </w:tcPr>
          <w:p>
            <w:pPr>
              <w:spacing w:after="0" w:line="240" w:lineRule="auto"/>
              <w:ind w:firstLine="0"/>
              <w:jc w:val="center"/>
            </w:pPr>
            <w:r>
              <w:rPr>
                <w:b/>
                <w:i w:val="0"/>
                <w:sz w:val="20"/>
              </w:rPr>
              <w:t>2025 (оц.)</w:t>
            </w:r>
          </w:p>
        </w:tc>
      </w:tr>
      <w:tr>
        <w:tc>
          <w:tcPr>
            <w:tcW w:type="dxa" w:w="1425"/>
          </w:tcPr>
          <w:p>
            <w:pPr>
              <w:spacing w:after="0" w:line="240" w:lineRule="auto"/>
              <w:ind w:firstLine="0"/>
              <w:jc w:val="left"/>
            </w:pPr>
            <w:r>
              <w:rPr>
                <w:b w:val="0"/>
                <w:i w:val="0"/>
                <w:sz w:val="20"/>
              </w:rPr>
              <w:t>Китай</w:t>
            </w:r>
          </w:p>
        </w:tc>
        <w:tc>
          <w:tcPr>
            <w:tcW w:type="dxa" w:w="1425"/>
          </w:tcPr>
          <w:p>
            <w:pPr>
              <w:spacing w:after="0" w:line="240" w:lineRule="auto"/>
              <w:ind w:firstLine="0"/>
              <w:jc w:val="center"/>
            </w:pPr>
            <w:r>
              <w:rPr>
                <w:b w:val="0"/>
                <w:i w:val="0"/>
                <w:sz w:val="20"/>
              </w:rPr>
              <w:t>138,0</w:t>
            </w:r>
          </w:p>
        </w:tc>
        <w:tc>
          <w:tcPr>
            <w:tcW w:type="dxa" w:w="1425"/>
          </w:tcPr>
          <w:p>
            <w:pPr>
              <w:spacing w:after="0" w:line="240" w:lineRule="auto"/>
              <w:ind w:firstLine="0"/>
              <w:jc w:val="center"/>
            </w:pPr>
            <w:r>
              <w:rPr>
                <w:b w:val="0"/>
                <w:i w:val="0"/>
                <w:sz w:val="20"/>
              </w:rPr>
              <w:t>165,0</w:t>
            </w:r>
          </w:p>
        </w:tc>
        <w:tc>
          <w:tcPr>
            <w:tcW w:type="dxa" w:w="1425"/>
          </w:tcPr>
          <w:p>
            <w:pPr>
              <w:spacing w:after="0" w:line="240" w:lineRule="auto"/>
              <w:ind w:firstLine="0"/>
              <w:jc w:val="center"/>
            </w:pPr>
            <w:r>
              <w:rPr>
                <w:b w:val="0"/>
                <w:i w:val="0"/>
                <w:sz w:val="20"/>
              </w:rPr>
              <w:t>205,0</w:t>
            </w:r>
          </w:p>
        </w:tc>
        <w:tc>
          <w:tcPr>
            <w:tcW w:type="dxa" w:w="1425"/>
          </w:tcPr>
          <w:p>
            <w:pPr>
              <w:spacing w:after="0" w:line="240" w:lineRule="auto"/>
              <w:ind w:firstLine="0"/>
              <w:jc w:val="center"/>
            </w:pPr>
            <w:r>
              <w:rPr>
                <w:b w:val="0"/>
                <w:i w:val="0"/>
                <w:sz w:val="20"/>
              </w:rPr>
              <w:t>220,0</w:t>
            </w:r>
          </w:p>
        </w:tc>
        <w:tc>
          <w:tcPr>
            <w:tcW w:type="dxa" w:w="1425"/>
          </w:tcPr>
          <w:p>
            <w:pPr>
              <w:spacing w:after="0" w:line="240" w:lineRule="auto"/>
              <w:ind w:firstLine="0"/>
              <w:jc w:val="center"/>
            </w:pPr>
            <w:r>
              <w:rPr>
                <w:b w:val="0"/>
                <w:i w:val="0"/>
                <w:sz w:val="20"/>
              </w:rPr>
              <w:t>232,0</w:t>
            </w:r>
          </w:p>
        </w:tc>
        <w:tc>
          <w:tcPr>
            <w:tcW w:type="dxa" w:w="1425"/>
          </w:tcPr>
          <w:p>
            <w:pPr>
              <w:spacing w:after="0" w:line="240" w:lineRule="auto"/>
              <w:ind w:firstLine="0"/>
              <w:jc w:val="center"/>
            </w:pPr>
            <w:r>
              <w:rPr>
                <w:b w:val="0"/>
                <w:i w:val="0"/>
                <w:sz w:val="20"/>
              </w:rPr>
              <w:t>245,0</w:t>
            </w:r>
          </w:p>
        </w:tc>
      </w:tr>
      <w:tr>
        <w:tc>
          <w:tcPr>
            <w:tcW w:type="dxa" w:w="1425"/>
          </w:tcPr>
          <w:p>
            <w:pPr>
              <w:spacing w:after="0" w:line="240" w:lineRule="auto"/>
              <w:ind w:firstLine="0"/>
              <w:jc w:val="left"/>
            </w:pPr>
            <w:r>
              <w:rPr>
                <w:b w:val="0"/>
                <w:i w:val="0"/>
                <w:sz w:val="20"/>
              </w:rPr>
              <w:t>Япония</w:t>
            </w:r>
          </w:p>
        </w:tc>
        <w:tc>
          <w:tcPr>
            <w:tcW w:type="dxa" w:w="1425"/>
          </w:tcPr>
          <w:p>
            <w:pPr>
              <w:spacing w:after="0" w:line="240" w:lineRule="auto"/>
              <w:ind w:firstLine="0"/>
              <w:jc w:val="center"/>
            </w:pPr>
            <w:r>
              <w:rPr>
                <w:b w:val="0"/>
                <w:i w:val="0"/>
                <w:sz w:val="20"/>
              </w:rPr>
              <w:t>12,5</w:t>
            </w:r>
          </w:p>
        </w:tc>
        <w:tc>
          <w:tcPr>
            <w:tcW w:type="dxa" w:w="1425"/>
          </w:tcPr>
          <w:p>
            <w:pPr>
              <w:spacing w:after="0" w:line="240" w:lineRule="auto"/>
              <w:ind w:firstLine="0"/>
              <w:jc w:val="center"/>
            </w:pPr>
            <w:r>
              <w:rPr>
                <w:b w:val="0"/>
                <w:i w:val="0"/>
                <w:sz w:val="20"/>
              </w:rPr>
              <w:t>11,8</w:t>
            </w:r>
          </w:p>
        </w:tc>
        <w:tc>
          <w:tcPr>
            <w:tcW w:type="dxa" w:w="1425"/>
          </w:tcPr>
          <w:p>
            <w:pPr>
              <w:spacing w:after="0" w:line="240" w:lineRule="auto"/>
              <w:ind w:firstLine="0"/>
              <w:jc w:val="center"/>
            </w:pPr>
            <w:r>
              <w:rPr>
                <w:b w:val="0"/>
                <w:i w:val="0"/>
                <w:sz w:val="20"/>
              </w:rPr>
              <w:t>11,5</w:t>
            </w:r>
          </w:p>
        </w:tc>
        <w:tc>
          <w:tcPr>
            <w:tcW w:type="dxa" w:w="1425"/>
          </w:tcPr>
          <w:p>
            <w:pPr>
              <w:spacing w:after="0" w:line="240" w:lineRule="auto"/>
              <w:ind w:firstLine="0"/>
              <w:jc w:val="center"/>
            </w:pPr>
            <w:r>
              <w:rPr>
                <w:b w:val="0"/>
                <w:i w:val="0"/>
                <w:sz w:val="20"/>
              </w:rPr>
              <w:t>11,0</w:t>
            </w:r>
          </w:p>
        </w:tc>
        <w:tc>
          <w:tcPr>
            <w:tcW w:type="dxa" w:w="1425"/>
          </w:tcPr>
          <w:p>
            <w:pPr>
              <w:spacing w:after="0" w:line="240" w:lineRule="auto"/>
              <w:ind w:firstLine="0"/>
              <w:jc w:val="center"/>
            </w:pPr>
            <w:r>
              <w:rPr>
                <w:b w:val="0"/>
                <w:i w:val="0"/>
                <w:sz w:val="20"/>
              </w:rPr>
              <w:t>10,8</w:t>
            </w:r>
          </w:p>
        </w:tc>
        <w:tc>
          <w:tcPr>
            <w:tcW w:type="dxa" w:w="1425"/>
          </w:tcPr>
          <w:p>
            <w:pPr>
              <w:spacing w:after="0" w:line="240" w:lineRule="auto"/>
              <w:ind w:firstLine="0"/>
              <w:jc w:val="center"/>
            </w:pPr>
            <w:r>
              <w:rPr>
                <w:b w:val="0"/>
                <w:i w:val="0"/>
                <w:sz w:val="20"/>
              </w:rPr>
              <w:t>10,5</w:t>
            </w:r>
          </w:p>
        </w:tc>
      </w:tr>
      <w:tr>
        <w:tc>
          <w:tcPr>
            <w:tcW w:type="dxa" w:w="1425"/>
          </w:tcPr>
          <w:p>
            <w:pPr>
              <w:spacing w:after="0" w:line="240" w:lineRule="auto"/>
              <w:ind w:firstLine="0"/>
              <w:jc w:val="left"/>
            </w:pPr>
            <w:r>
              <w:rPr>
                <w:b w:val="0"/>
                <w:i w:val="0"/>
                <w:sz w:val="20"/>
              </w:rPr>
              <w:t>Германия</w:t>
            </w:r>
          </w:p>
        </w:tc>
        <w:tc>
          <w:tcPr>
            <w:tcW w:type="dxa" w:w="1425"/>
          </w:tcPr>
          <w:p>
            <w:pPr>
              <w:spacing w:after="0" w:line="240" w:lineRule="auto"/>
              <w:ind w:firstLine="0"/>
              <w:jc w:val="center"/>
            </w:pPr>
            <w:r>
              <w:rPr>
                <w:b w:val="0"/>
                <w:i w:val="0"/>
                <w:sz w:val="20"/>
              </w:rPr>
              <w:t>0,9</w:t>
            </w:r>
          </w:p>
        </w:tc>
        <w:tc>
          <w:tcPr>
            <w:tcW w:type="dxa" w:w="1425"/>
          </w:tcPr>
          <w:p>
            <w:pPr>
              <w:spacing w:after="0" w:line="240" w:lineRule="auto"/>
              <w:ind w:firstLine="0"/>
              <w:jc w:val="center"/>
            </w:pPr>
            <w:r>
              <w:rPr>
                <w:b w:val="0"/>
                <w:i w:val="0"/>
                <w:sz w:val="20"/>
              </w:rPr>
              <w:t>0,9</w:t>
            </w:r>
          </w:p>
        </w:tc>
        <w:tc>
          <w:tcPr>
            <w:tcW w:type="dxa" w:w="1425"/>
          </w:tcPr>
          <w:p>
            <w:pPr>
              <w:spacing w:after="0" w:line="240" w:lineRule="auto"/>
              <w:ind w:firstLine="0"/>
              <w:jc w:val="center"/>
            </w:pPr>
            <w:r>
              <w:rPr>
                <w:b w:val="0"/>
                <w:i w:val="0"/>
                <w:sz w:val="20"/>
              </w:rPr>
              <w:t>1,0</w:t>
            </w:r>
          </w:p>
        </w:tc>
        <w:tc>
          <w:tcPr>
            <w:tcW w:type="dxa" w:w="1425"/>
          </w:tcPr>
          <w:p>
            <w:pPr>
              <w:spacing w:after="0" w:line="240" w:lineRule="auto"/>
              <w:ind w:firstLine="0"/>
              <w:jc w:val="center"/>
            </w:pPr>
            <w:r>
              <w:rPr>
                <w:b w:val="0"/>
                <w:i w:val="0"/>
                <w:sz w:val="20"/>
              </w:rPr>
              <w:t>1,0</w:t>
            </w:r>
          </w:p>
        </w:tc>
        <w:tc>
          <w:tcPr>
            <w:tcW w:type="dxa" w:w="1425"/>
          </w:tcPr>
          <w:p>
            <w:pPr>
              <w:spacing w:after="0" w:line="240" w:lineRule="auto"/>
              <w:ind w:firstLine="0"/>
              <w:jc w:val="center"/>
            </w:pPr>
            <w:r>
              <w:rPr>
                <w:b w:val="0"/>
                <w:i w:val="0"/>
                <w:sz w:val="20"/>
              </w:rPr>
              <w:t>1,0</w:t>
            </w:r>
          </w:p>
        </w:tc>
        <w:tc>
          <w:tcPr>
            <w:tcW w:type="dxa" w:w="1425"/>
          </w:tcPr>
          <w:p>
            <w:pPr>
              <w:spacing w:after="0" w:line="240" w:lineRule="auto"/>
              <w:ind w:firstLine="0"/>
              <w:jc w:val="center"/>
            </w:pPr>
            <w:r>
              <w:rPr>
                <w:b w:val="0"/>
                <w:i w:val="0"/>
                <w:sz w:val="20"/>
              </w:rPr>
              <w:t>1,1</w:t>
            </w:r>
          </w:p>
        </w:tc>
      </w:tr>
      <w:tr>
        <w:tc>
          <w:tcPr>
            <w:tcW w:type="dxa" w:w="1425"/>
          </w:tcPr>
          <w:p>
            <w:pPr>
              <w:spacing w:after="0" w:line="240" w:lineRule="auto"/>
              <w:ind w:firstLine="0"/>
              <w:jc w:val="left"/>
            </w:pPr>
            <w:r>
              <w:rPr>
                <w:b w:val="0"/>
                <w:i w:val="0"/>
                <w:sz w:val="20"/>
              </w:rPr>
              <w:t>США</w:t>
            </w:r>
          </w:p>
        </w:tc>
        <w:tc>
          <w:tcPr>
            <w:tcW w:type="dxa" w:w="1425"/>
          </w:tcPr>
          <w:p>
            <w:pPr>
              <w:spacing w:after="0" w:line="240" w:lineRule="auto"/>
              <w:ind w:firstLine="0"/>
              <w:jc w:val="center"/>
            </w:pPr>
            <w:r>
              <w:rPr>
                <w:b w:val="0"/>
                <w:i w:val="0"/>
                <w:sz w:val="20"/>
              </w:rPr>
              <w:t>0,0</w:t>
            </w:r>
          </w:p>
        </w:tc>
        <w:tc>
          <w:tcPr>
            <w:tcW w:type="dxa" w:w="1425"/>
          </w:tcPr>
          <w:p>
            <w:pPr>
              <w:spacing w:after="0" w:line="240" w:lineRule="auto"/>
              <w:ind w:firstLine="0"/>
              <w:jc w:val="center"/>
            </w:pPr>
            <w:r>
              <w:rPr>
                <w:b w:val="0"/>
                <w:i w:val="0"/>
                <w:sz w:val="20"/>
              </w:rPr>
              <w:t>0,0</w:t>
            </w:r>
          </w:p>
        </w:tc>
        <w:tc>
          <w:tcPr>
            <w:tcW w:type="dxa" w:w="1425"/>
          </w:tcPr>
          <w:p>
            <w:pPr>
              <w:spacing w:after="0" w:line="240" w:lineRule="auto"/>
              <w:ind w:firstLine="0"/>
              <w:jc w:val="center"/>
            </w:pPr>
            <w:r>
              <w:rPr>
                <w:b w:val="0"/>
                <w:i w:val="0"/>
                <w:sz w:val="20"/>
              </w:rPr>
              <w:t>0,1</w:t>
            </w:r>
          </w:p>
        </w:tc>
        <w:tc>
          <w:tcPr>
            <w:tcW w:type="dxa" w:w="1425"/>
          </w:tcPr>
          <w:p>
            <w:pPr>
              <w:spacing w:after="0" w:line="240" w:lineRule="auto"/>
              <w:ind w:firstLine="0"/>
              <w:jc w:val="center"/>
            </w:pPr>
            <w:r>
              <w:rPr>
                <w:b w:val="0"/>
                <w:i w:val="0"/>
                <w:sz w:val="20"/>
              </w:rPr>
              <w:t>0,3</w:t>
            </w:r>
          </w:p>
        </w:tc>
        <w:tc>
          <w:tcPr>
            <w:tcW w:type="dxa" w:w="1425"/>
          </w:tcPr>
          <w:p>
            <w:pPr>
              <w:spacing w:after="0" w:line="240" w:lineRule="auto"/>
              <w:ind w:firstLine="0"/>
              <w:jc w:val="center"/>
            </w:pPr>
            <w:r>
              <w:rPr>
                <w:b w:val="0"/>
                <w:i w:val="0"/>
                <w:sz w:val="20"/>
              </w:rPr>
              <w:t>0,6</w:t>
            </w:r>
          </w:p>
        </w:tc>
        <w:tc>
          <w:tcPr>
            <w:tcW w:type="dxa" w:w="1425"/>
          </w:tcPr>
          <w:p>
            <w:pPr>
              <w:spacing w:after="0" w:line="240" w:lineRule="auto"/>
              <w:ind w:firstLine="0"/>
              <w:jc w:val="center"/>
            </w:pPr>
            <w:r>
              <w:rPr>
                <w:b w:val="0"/>
                <w:i w:val="0"/>
                <w:sz w:val="20"/>
              </w:rPr>
              <w:t>1,3</w:t>
            </w:r>
          </w:p>
        </w:tc>
      </w:tr>
      <w:tr>
        <w:tc>
          <w:tcPr>
            <w:tcW w:type="dxa" w:w="1425"/>
          </w:tcPr>
          <w:p>
            <w:pPr>
              <w:spacing w:after="0" w:line="240" w:lineRule="auto"/>
              <w:ind w:firstLine="0"/>
              <w:jc w:val="left"/>
            </w:pPr>
            <w:r>
              <w:rPr>
                <w:b w:val="0"/>
                <w:i w:val="0"/>
                <w:sz w:val="20"/>
              </w:rPr>
              <w:t>Прочие</w:t>
            </w:r>
          </w:p>
        </w:tc>
        <w:tc>
          <w:tcPr>
            <w:tcW w:type="dxa" w:w="1425"/>
          </w:tcPr>
          <w:p>
            <w:pPr>
              <w:spacing w:after="0" w:line="240" w:lineRule="auto"/>
              <w:ind w:firstLine="0"/>
              <w:jc w:val="center"/>
            </w:pPr>
            <w:r>
              <w:rPr>
                <w:b w:val="0"/>
                <w:i w:val="0"/>
                <w:sz w:val="20"/>
              </w:rPr>
              <w:t>0,8</w:t>
            </w:r>
          </w:p>
        </w:tc>
        <w:tc>
          <w:tcPr>
            <w:tcW w:type="dxa" w:w="1425"/>
          </w:tcPr>
          <w:p>
            <w:pPr>
              <w:spacing w:after="0" w:line="240" w:lineRule="auto"/>
              <w:ind w:firstLine="0"/>
              <w:jc w:val="center"/>
            </w:pPr>
            <w:r>
              <w:rPr>
                <w:b w:val="0"/>
                <w:i w:val="0"/>
                <w:sz w:val="20"/>
              </w:rPr>
              <w:t>0,9</w:t>
            </w:r>
          </w:p>
        </w:tc>
        <w:tc>
          <w:tcPr>
            <w:tcW w:type="dxa" w:w="1425"/>
          </w:tcPr>
          <w:p>
            <w:pPr>
              <w:spacing w:after="0" w:line="240" w:lineRule="auto"/>
              <w:ind w:firstLine="0"/>
              <w:jc w:val="center"/>
            </w:pPr>
            <w:r>
              <w:rPr>
                <w:b w:val="0"/>
                <w:i w:val="0"/>
                <w:sz w:val="20"/>
              </w:rPr>
              <w:t>1,1</w:t>
            </w:r>
          </w:p>
        </w:tc>
        <w:tc>
          <w:tcPr>
            <w:tcW w:type="dxa" w:w="1425"/>
          </w:tcPr>
          <w:p>
            <w:pPr>
              <w:spacing w:after="0" w:line="240" w:lineRule="auto"/>
              <w:ind w:firstLine="0"/>
              <w:jc w:val="center"/>
            </w:pPr>
            <w:r>
              <w:rPr>
                <w:b w:val="0"/>
                <w:i w:val="0"/>
                <w:sz w:val="20"/>
              </w:rPr>
              <w:t>1,2</w:t>
            </w:r>
          </w:p>
        </w:tc>
        <w:tc>
          <w:tcPr>
            <w:tcW w:type="dxa" w:w="1425"/>
          </w:tcPr>
          <w:p>
            <w:pPr>
              <w:spacing w:after="0" w:line="240" w:lineRule="auto"/>
              <w:ind w:firstLine="0"/>
              <w:jc w:val="center"/>
            </w:pPr>
            <w:r>
              <w:rPr>
                <w:b w:val="0"/>
                <w:i w:val="0"/>
                <w:sz w:val="20"/>
              </w:rPr>
              <w:t>1,4</w:t>
            </w:r>
          </w:p>
        </w:tc>
        <w:tc>
          <w:tcPr>
            <w:tcW w:type="dxa" w:w="1425"/>
          </w:tcPr>
          <w:p>
            <w:pPr>
              <w:spacing w:after="0" w:line="240" w:lineRule="auto"/>
              <w:ind w:firstLine="0"/>
              <w:jc w:val="center"/>
            </w:pPr>
            <w:r>
              <w:rPr>
                <w:b w:val="0"/>
                <w:i w:val="0"/>
                <w:sz w:val="20"/>
              </w:rPr>
              <w:t>1,7</w:t>
            </w:r>
          </w:p>
        </w:tc>
      </w:tr>
      <w:tr>
        <w:tc>
          <w:tcPr>
            <w:tcW w:type="dxa" w:w="1425"/>
          </w:tcPr>
          <w:p>
            <w:pPr>
              <w:spacing w:after="0" w:line="240" w:lineRule="auto"/>
              <w:ind w:firstLine="0"/>
              <w:jc w:val="left"/>
            </w:pPr>
            <w:r>
              <w:rPr>
                <w:b/>
                <w:i w:val="0"/>
                <w:sz w:val="20"/>
              </w:rPr>
              <w:t>Всего</w:t>
            </w:r>
          </w:p>
        </w:tc>
        <w:tc>
          <w:tcPr>
            <w:tcW w:type="dxa" w:w="1425"/>
          </w:tcPr>
          <w:p>
            <w:pPr>
              <w:spacing w:after="0" w:line="240" w:lineRule="auto"/>
              <w:ind w:firstLine="0"/>
              <w:jc w:val="center"/>
            </w:pPr>
            <w:r>
              <w:rPr>
                <w:b/>
                <w:i w:val="0"/>
                <w:sz w:val="20"/>
              </w:rPr>
              <w:t>152,2</w:t>
            </w:r>
          </w:p>
        </w:tc>
        <w:tc>
          <w:tcPr>
            <w:tcW w:type="dxa" w:w="1425"/>
          </w:tcPr>
          <w:p>
            <w:pPr>
              <w:spacing w:after="0" w:line="240" w:lineRule="auto"/>
              <w:ind w:firstLine="0"/>
              <w:jc w:val="center"/>
            </w:pPr>
            <w:r>
              <w:rPr>
                <w:b/>
                <w:i w:val="0"/>
                <w:sz w:val="20"/>
              </w:rPr>
              <w:t>178,6</w:t>
            </w:r>
          </w:p>
        </w:tc>
        <w:tc>
          <w:tcPr>
            <w:tcW w:type="dxa" w:w="1425"/>
          </w:tcPr>
          <w:p>
            <w:pPr>
              <w:spacing w:after="0" w:line="240" w:lineRule="auto"/>
              <w:ind w:firstLine="0"/>
              <w:jc w:val="center"/>
            </w:pPr>
            <w:r>
              <w:rPr>
                <w:b/>
                <w:i w:val="0"/>
                <w:sz w:val="20"/>
              </w:rPr>
              <w:t>218,7</w:t>
            </w:r>
          </w:p>
        </w:tc>
        <w:tc>
          <w:tcPr>
            <w:tcW w:type="dxa" w:w="1425"/>
          </w:tcPr>
          <w:p>
            <w:pPr>
              <w:spacing w:after="0" w:line="240" w:lineRule="auto"/>
              <w:ind w:firstLine="0"/>
              <w:jc w:val="center"/>
            </w:pPr>
            <w:r>
              <w:rPr>
                <w:b/>
                <w:i w:val="0"/>
                <w:sz w:val="20"/>
              </w:rPr>
              <w:t>233,5</w:t>
            </w:r>
          </w:p>
        </w:tc>
        <w:tc>
          <w:tcPr>
            <w:tcW w:type="dxa" w:w="1425"/>
          </w:tcPr>
          <w:p>
            <w:pPr>
              <w:spacing w:after="0" w:line="240" w:lineRule="auto"/>
              <w:ind w:firstLine="0"/>
              <w:jc w:val="center"/>
            </w:pPr>
            <w:r>
              <w:rPr>
                <w:b/>
                <w:i w:val="0"/>
                <w:sz w:val="20"/>
              </w:rPr>
              <w:t>245,8</w:t>
            </w:r>
          </w:p>
        </w:tc>
        <w:tc>
          <w:tcPr>
            <w:tcW w:type="dxa" w:w="1425"/>
          </w:tcPr>
          <w:p>
            <w:pPr>
              <w:spacing w:after="0" w:line="240" w:lineRule="auto"/>
              <w:ind w:firstLine="0"/>
              <w:jc w:val="center"/>
            </w:pPr>
            <w:r>
              <w:rPr>
                <w:b/>
                <w:i w:val="0"/>
                <w:sz w:val="20"/>
              </w:rPr>
              <w:t>259,6</w:t>
            </w:r>
          </w:p>
        </w:tc>
      </w:tr>
    </w:tbl>
    <w:p>
      <w:pPr>
        <w:spacing w:after="180"/>
        <w:ind w:firstLine="0"/>
      </w:pPr>
      <w:r>
        <w:rPr>
          <w:i/>
          <w:sz w:val="20"/>
        </w:rPr>
        <w:t>Источник: аналитический центр по данным Adamas Intelligence, отраслевых ассоциаций, корпоративных раскрытий</w:t>
      </w:r>
    </w:p>
    <w:p>
      <w:pPr>
        <w:keepNext/>
        <w:spacing w:before="160" w:after="60"/>
        <w:ind w:firstLine="0"/>
        <w:jc w:val="left"/>
      </w:pPr>
      <w:r>
        <w:rPr>
          <w:b/>
          <w:sz w:val="22"/>
        </w:rPr>
        <w:t>Рисунок 14. Мировое производство спечённых магнитов NdFeB, 2018–2025 гг., тыс. т</w:t>
      </w:r>
    </w:p>
    <w:p>
      <w:pPr>
        <w:ind w:firstLine="0"/>
        <w:jc w:val="center"/>
      </w:pPr>
      <w:r>
        <w:drawing>
          <wp:inline xmlns:a="http://schemas.openxmlformats.org/drawingml/2006/main" xmlns:pic="http://schemas.openxmlformats.org/drawingml/2006/picture">
            <wp:extent cx="5580000" cy="2731327"/>
            <wp:docPr id="14" name="Picture 14"/>
            <wp:cNvGraphicFramePr>
              <a:graphicFrameLocks noChangeAspect="1"/>
            </wp:cNvGraphicFramePr>
            <a:graphic>
              <a:graphicData uri="http://schemas.openxmlformats.org/drawingml/2006/picture">
                <pic:pic>
                  <pic:nvPicPr>
                    <pic:cNvPr id="0" name="fig14.png"/>
                    <pic:cNvPicPr/>
                  </pic:nvPicPr>
                  <pic:blipFill>
                    <a:blip r:embed="rId24"/>
                    <a:stretch>
                      <a:fillRect/>
                    </a:stretch>
                  </pic:blipFill>
                  <pic:spPr>
                    <a:xfrm>
                      <a:off x="0" y="0"/>
                      <a:ext cx="5580000" cy="2731327"/>
                    </a:xfrm>
                    <a:prstGeom prst="rect"/>
                  </pic:spPr>
                </pic:pic>
              </a:graphicData>
            </a:graphic>
          </wp:inline>
        </w:drawing>
      </w:r>
    </w:p>
    <w:p>
      <w:pPr>
        <w:spacing w:after="180"/>
        <w:ind w:firstLine="0"/>
      </w:pPr>
      <w:r>
        <w:rPr>
          <w:i/>
          <w:sz w:val="20"/>
        </w:rPr>
        <w:t>Источник: аналитический центр (табл. 19)</w:t>
      </w:r>
    </w:p>
    <w:p>
      <w:pPr>
        <w:pStyle w:val="Heading2"/>
      </w:pPr>
      <w:r>
        <w:rPr>
          <w:b w:val="0"/>
          <w:i w:val="0"/>
        </w:rPr>
        <w:t>3.5. Баланс мирового рынка по ключевым элементам</w:t>
      </w:r>
    </w:p>
    <w:p>
      <w:r>
        <w:rPr>
          <w:b w:val="0"/>
          <w:i w:val="0"/>
        </w:rPr>
        <w:t>Практическое значение имеет не совокупный баланс TREO, а баланс отдельных элементов. Расчёт, приведённый в таблице 20, показывает, что при общем профиците суммы оксидов рынок находится в состоянии дефицита по празеодиму, диспрозию и тербию и в состоянии глубокого структурного профицита по церию и лантану.</w:t>
      </w:r>
    </w:p>
    <w:p>
      <w:pPr>
        <w:keepNext/>
        <w:spacing w:before="160" w:after="60"/>
        <w:ind w:firstLine="0"/>
        <w:jc w:val="left"/>
      </w:pPr>
      <w:r>
        <w:rPr>
          <w:b/>
          <w:sz w:val="22"/>
        </w:rPr>
        <w:t>Таблица 20. Баланс мирового рынка по ключевым редкоземельным элементам, 2024 г., т оксида</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Элемент</w:t>
            </w:r>
          </w:p>
        </w:tc>
        <w:tc>
          <w:tcPr>
            <w:tcW w:type="dxa" w:w="1662"/>
            <w:shd w:val="clear" w:fill="DCE6F1"/>
          </w:tcPr>
          <w:p>
            <w:pPr>
              <w:spacing w:after="0" w:line="240" w:lineRule="auto"/>
              <w:ind w:firstLine="0"/>
              <w:jc w:val="center"/>
            </w:pPr>
            <w:r>
              <w:rPr>
                <w:b/>
                <w:i w:val="0"/>
                <w:sz w:val="20"/>
              </w:rPr>
              <w:t>Производство</w:t>
            </w:r>
          </w:p>
        </w:tc>
        <w:tc>
          <w:tcPr>
            <w:tcW w:type="dxa" w:w="1662"/>
            <w:shd w:val="clear" w:fill="DCE6F1"/>
          </w:tcPr>
          <w:p>
            <w:pPr>
              <w:spacing w:after="0" w:line="240" w:lineRule="auto"/>
              <w:ind w:firstLine="0"/>
              <w:jc w:val="center"/>
            </w:pPr>
            <w:r>
              <w:rPr>
                <w:b/>
                <w:i w:val="0"/>
                <w:sz w:val="20"/>
              </w:rPr>
              <w:t>Потребление</w:t>
            </w:r>
          </w:p>
        </w:tc>
        <w:tc>
          <w:tcPr>
            <w:tcW w:type="dxa" w:w="1662"/>
            <w:shd w:val="clear" w:fill="DCE6F1"/>
          </w:tcPr>
          <w:p>
            <w:pPr>
              <w:spacing w:after="0" w:line="240" w:lineRule="auto"/>
              <w:ind w:firstLine="0"/>
              <w:jc w:val="center"/>
            </w:pPr>
            <w:r>
              <w:rPr>
                <w:b/>
                <w:i w:val="0"/>
                <w:sz w:val="20"/>
              </w:rPr>
              <w:t>Баланс</w:t>
            </w:r>
          </w:p>
        </w:tc>
        <w:tc>
          <w:tcPr>
            <w:tcW w:type="dxa" w:w="1662"/>
            <w:shd w:val="clear" w:fill="DCE6F1"/>
          </w:tcPr>
          <w:p>
            <w:pPr>
              <w:spacing w:after="0" w:line="240" w:lineRule="auto"/>
              <w:ind w:firstLine="0"/>
              <w:jc w:val="center"/>
            </w:pPr>
            <w:r>
              <w:rPr>
                <w:b/>
                <w:i w:val="0"/>
                <w:sz w:val="20"/>
              </w:rPr>
              <w:t>Складские запасы</w:t>
            </w:r>
          </w:p>
        </w:tc>
        <w:tc>
          <w:tcPr>
            <w:tcW w:type="dxa" w:w="1662"/>
            <w:shd w:val="clear" w:fill="DCE6F1"/>
          </w:tcPr>
          <w:p>
            <w:pPr>
              <w:spacing w:after="0" w:line="240" w:lineRule="auto"/>
              <w:ind w:firstLine="0"/>
              <w:jc w:val="center"/>
            </w:pPr>
            <w:r>
              <w:rPr>
                <w:b/>
                <w:i w:val="0"/>
                <w:sz w:val="20"/>
              </w:rPr>
              <w:t>Оценка</w:t>
            </w:r>
          </w:p>
        </w:tc>
      </w:tr>
      <w:tr>
        <w:tc>
          <w:tcPr>
            <w:tcW w:type="dxa" w:w="1662"/>
          </w:tcPr>
          <w:p>
            <w:pPr>
              <w:spacing w:after="0" w:line="240" w:lineRule="auto"/>
              <w:ind w:firstLine="0"/>
              <w:jc w:val="left"/>
            </w:pPr>
            <w:r>
              <w:rPr>
                <w:b w:val="0"/>
                <w:i w:val="0"/>
                <w:sz w:val="20"/>
              </w:rPr>
              <w:t>La₂O₃</w:t>
            </w:r>
          </w:p>
        </w:tc>
        <w:tc>
          <w:tcPr>
            <w:tcW w:type="dxa" w:w="1662"/>
          </w:tcPr>
          <w:p>
            <w:pPr>
              <w:spacing w:after="0" w:line="240" w:lineRule="auto"/>
              <w:ind w:firstLine="0"/>
              <w:jc w:val="center"/>
            </w:pPr>
            <w:r>
              <w:rPr>
                <w:b w:val="0"/>
                <w:i w:val="0"/>
                <w:sz w:val="20"/>
              </w:rPr>
              <w:t>94 000</w:t>
            </w:r>
          </w:p>
        </w:tc>
        <w:tc>
          <w:tcPr>
            <w:tcW w:type="dxa" w:w="1662"/>
          </w:tcPr>
          <w:p>
            <w:pPr>
              <w:spacing w:after="0" w:line="240" w:lineRule="auto"/>
              <w:ind w:firstLine="0"/>
              <w:jc w:val="center"/>
            </w:pPr>
            <w:r>
              <w:rPr>
                <w:b w:val="0"/>
                <w:i w:val="0"/>
                <w:sz w:val="20"/>
              </w:rPr>
              <w:t>55 000</w:t>
            </w:r>
          </w:p>
        </w:tc>
        <w:tc>
          <w:tcPr>
            <w:tcW w:type="dxa" w:w="1662"/>
          </w:tcPr>
          <w:p>
            <w:pPr>
              <w:spacing w:after="0" w:line="240" w:lineRule="auto"/>
              <w:ind w:firstLine="0"/>
              <w:jc w:val="center"/>
            </w:pPr>
            <w:r>
              <w:rPr>
                <w:b w:val="0"/>
                <w:i w:val="0"/>
                <w:sz w:val="20"/>
              </w:rPr>
              <w:t>+39 000</w:t>
            </w:r>
          </w:p>
        </w:tc>
        <w:tc>
          <w:tcPr>
            <w:tcW w:type="dxa" w:w="1662"/>
          </w:tcPr>
          <w:p>
            <w:pPr>
              <w:spacing w:after="0" w:line="240" w:lineRule="auto"/>
              <w:ind w:firstLine="0"/>
              <w:jc w:val="center"/>
            </w:pPr>
            <w:r>
              <w:rPr>
                <w:b w:val="0"/>
                <w:i w:val="0"/>
                <w:sz w:val="20"/>
              </w:rPr>
              <w:t>&gt;120 000</w:t>
            </w:r>
          </w:p>
        </w:tc>
        <w:tc>
          <w:tcPr>
            <w:tcW w:type="dxa" w:w="1662"/>
          </w:tcPr>
          <w:p>
            <w:pPr>
              <w:spacing w:after="0" w:line="240" w:lineRule="auto"/>
              <w:ind w:firstLine="0"/>
              <w:jc w:val="center"/>
            </w:pPr>
            <w:r>
              <w:rPr>
                <w:b w:val="0"/>
                <w:i w:val="0"/>
                <w:sz w:val="20"/>
              </w:rPr>
              <w:t>глубокий профицит</w:t>
            </w:r>
          </w:p>
        </w:tc>
      </w:tr>
      <w:tr>
        <w:tc>
          <w:tcPr>
            <w:tcW w:type="dxa" w:w="1662"/>
          </w:tcPr>
          <w:p>
            <w:pPr>
              <w:spacing w:after="0" w:line="240" w:lineRule="auto"/>
              <w:ind w:firstLine="0"/>
              <w:jc w:val="left"/>
            </w:pPr>
            <w:r>
              <w:rPr>
                <w:b w:val="0"/>
                <w:i w:val="0"/>
                <w:sz w:val="20"/>
              </w:rPr>
              <w:t>CeO₂</w:t>
            </w:r>
          </w:p>
        </w:tc>
        <w:tc>
          <w:tcPr>
            <w:tcW w:type="dxa" w:w="1662"/>
          </w:tcPr>
          <w:p>
            <w:pPr>
              <w:spacing w:after="0" w:line="240" w:lineRule="auto"/>
              <w:ind w:firstLine="0"/>
              <w:jc w:val="center"/>
            </w:pPr>
            <w:r>
              <w:rPr>
                <w:b w:val="0"/>
                <w:i w:val="0"/>
                <w:sz w:val="20"/>
              </w:rPr>
              <w:t>172 000</w:t>
            </w:r>
          </w:p>
        </w:tc>
        <w:tc>
          <w:tcPr>
            <w:tcW w:type="dxa" w:w="1662"/>
          </w:tcPr>
          <w:p>
            <w:pPr>
              <w:spacing w:after="0" w:line="240" w:lineRule="auto"/>
              <w:ind w:firstLine="0"/>
              <w:jc w:val="center"/>
            </w:pPr>
            <w:r>
              <w:rPr>
                <w:b w:val="0"/>
                <w:i w:val="0"/>
                <w:sz w:val="20"/>
              </w:rPr>
              <w:t>62 000</w:t>
            </w:r>
          </w:p>
        </w:tc>
        <w:tc>
          <w:tcPr>
            <w:tcW w:type="dxa" w:w="1662"/>
          </w:tcPr>
          <w:p>
            <w:pPr>
              <w:spacing w:after="0" w:line="240" w:lineRule="auto"/>
              <w:ind w:firstLine="0"/>
              <w:jc w:val="center"/>
            </w:pPr>
            <w:r>
              <w:rPr>
                <w:b w:val="0"/>
                <w:i w:val="0"/>
                <w:sz w:val="20"/>
              </w:rPr>
              <w:t>+110 000</w:t>
            </w:r>
          </w:p>
        </w:tc>
        <w:tc>
          <w:tcPr>
            <w:tcW w:type="dxa" w:w="1662"/>
          </w:tcPr>
          <w:p>
            <w:pPr>
              <w:spacing w:after="0" w:line="240" w:lineRule="auto"/>
              <w:ind w:firstLine="0"/>
              <w:jc w:val="center"/>
            </w:pPr>
            <w:r>
              <w:rPr>
                <w:b w:val="0"/>
                <w:i w:val="0"/>
                <w:sz w:val="20"/>
              </w:rPr>
              <w:t>&gt;250 000</w:t>
            </w:r>
          </w:p>
        </w:tc>
        <w:tc>
          <w:tcPr>
            <w:tcW w:type="dxa" w:w="1662"/>
          </w:tcPr>
          <w:p>
            <w:pPr>
              <w:spacing w:after="0" w:line="240" w:lineRule="auto"/>
              <w:ind w:firstLine="0"/>
              <w:jc w:val="center"/>
            </w:pPr>
            <w:r>
              <w:rPr>
                <w:b w:val="0"/>
                <w:i w:val="0"/>
                <w:sz w:val="20"/>
              </w:rPr>
              <w:t>глубокий профицит</w:t>
            </w:r>
          </w:p>
        </w:tc>
      </w:tr>
      <w:tr>
        <w:tc>
          <w:tcPr>
            <w:tcW w:type="dxa" w:w="1662"/>
          </w:tcPr>
          <w:p>
            <w:pPr>
              <w:spacing w:after="0" w:line="240" w:lineRule="auto"/>
              <w:ind w:firstLine="0"/>
              <w:jc w:val="left"/>
            </w:pPr>
            <w:r>
              <w:rPr>
                <w:b w:val="0"/>
                <w:i w:val="0"/>
                <w:sz w:val="20"/>
              </w:rPr>
              <w:t>Pr₆O₁₁</w:t>
            </w:r>
          </w:p>
        </w:tc>
        <w:tc>
          <w:tcPr>
            <w:tcW w:type="dxa" w:w="1662"/>
          </w:tcPr>
          <w:p>
            <w:pPr>
              <w:spacing w:after="0" w:line="240" w:lineRule="auto"/>
              <w:ind w:firstLine="0"/>
              <w:jc w:val="center"/>
            </w:pPr>
            <w:r>
              <w:rPr>
                <w:b w:val="0"/>
                <w:i w:val="0"/>
                <w:sz w:val="20"/>
              </w:rPr>
              <w:t>17 600</w:t>
            </w:r>
          </w:p>
        </w:tc>
        <w:tc>
          <w:tcPr>
            <w:tcW w:type="dxa" w:w="1662"/>
          </w:tcPr>
          <w:p>
            <w:pPr>
              <w:spacing w:after="0" w:line="240" w:lineRule="auto"/>
              <w:ind w:firstLine="0"/>
              <w:jc w:val="center"/>
            </w:pPr>
            <w:r>
              <w:rPr>
                <w:b w:val="0"/>
                <w:i w:val="0"/>
                <w:sz w:val="20"/>
              </w:rPr>
              <w:t>12 000</w:t>
            </w:r>
          </w:p>
        </w:tc>
        <w:tc>
          <w:tcPr>
            <w:tcW w:type="dxa" w:w="1662"/>
          </w:tcPr>
          <w:p>
            <w:pPr>
              <w:spacing w:after="0" w:line="240" w:lineRule="auto"/>
              <w:ind w:firstLine="0"/>
              <w:jc w:val="center"/>
            </w:pPr>
            <w:r>
              <w:rPr>
                <w:b w:val="0"/>
                <w:i w:val="0"/>
                <w:sz w:val="20"/>
              </w:rPr>
              <w:t>+5 600</w:t>
            </w:r>
          </w:p>
        </w:tc>
        <w:tc>
          <w:tcPr>
            <w:tcW w:type="dxa" w:w="1662"/>
          </w:tcPr>
          <w:p>
            <w:pPr>
              <w:spacing w:after="0" w:line="240" w:lineRule="auto"/>
              <w:ind w:firstLine="0"/>
              <w:jc w:val="center"/>
            </w:pPr>
            <w:r>
              <w:rPr>
                <w:b w:val="0"/>
                <w:i w:val="0"/>
                <w:sz w:val="20"/>
              </w:rPr>
              <w:t>18 000</w:t>
            </w:r>
          </w:p>
        </w:tc>
        <w:tc>
          <w:tcPr>
            <w:tcW w:type="dxa" w:w="1662"/>
          </w:tcPr>
          <w:p>
            <w:pPr>
              <w:spacing w:after="0" w:line="240" w:lineRule="auto"/>
              <w:ind w:firstLine="0"/>
              <w:jc w:val="center"/>
            </w:pPr>
            <w:r>
              <w:rPr>
                <w:b w:val="0"/>
                <w:i w:val="0"/>
                <w:sz w:val="20"/>
              </w:rPr>
              <w:t>номинальный профицит</w:t>
            </w:r>
          </w:p>
        </w:tc>
      </w:tr>
      <w:tr>
        <w:tc>
          <w:tcPr>
            <w:tcW w:type="dxa" w:w="1662"/>
          </w:tcPr>
          <w:p>
            <w:pPr>
              <w:spacing w:after="0" w:line="240" w:lineRule="auto"/>
              <w:ind w:firstLine="0"/>
              <w:jc w:val="left"/>
            </w:pPr>
            <w:r>
              <w:rPr>
                <w:b w:val="0"/>
                <w:i w:val="0"/>
                <w:sz w:val="20"/>
              </w:rPr>
              <w:t>Nd₂O₃</w:t>
            </w:r>
          </w:p>
        </w:tc>
        <w:tc>
          <w:tcPr>
            <w:tcW w:type="dxa" w:w="1662"/>
          </w:tcPr>
          <w:p>
            <w:pPr>
              <w:spacing w:after="0" w:line="240" w:lineRule="auto"/>
              <w:ind w:firstLine="0"/>
              <w:jc w:val="center"/>
            </w:pPr>
            <w:r>
              <w:rPr>
                <w:b w:val="0"/>
                <w:i w:val="0"/>
                <w:sz w:val="20"/>
              </w:rPr>
              <w:t>64 500</w:t>
            </w:r>
          </w:p>
        </w:tc>
        <w:tc>
          <w:tcPr>
            <w:tcW w:type="dxa" w:w="1662"/>
          </w:tcPr>
          <w:p>
            <w:pPr>
              <w:spacing w:after="0" w:line="240" w:lineRule="auto"/>
              <w:ind w:firstLine="0"/>
              <w:jc w:val="center"/>
            </w:pPr>
            <w:r>
              <w:rPr>
                <w:b w:val="0"/>
                <w:i w:val="0"/>
                <w:sz w:val="20"/>
              </w:rPr>
              <w:t>43 000</w:t>
            </w:r>
          </w:p>
        </w:tc>
        <w:tc>
          <w:tcPr>
            <w:tcW w:type="dxa" w:w="1662"/>
          </w:tcPr>
          <w:p>
            <w:pPr>
              <w:spacing w:after="0" w:line="240" w:lineRule="auto"/>
              <w:ind w:firstLine="0"/>
              <w:jc w:val="center"/>
            </w:pPr>
            <w:r>
              <w:rPr>
                <w:b w:val="0"/>
                <w:i w:val="0"/>
                <w:sz w:val="20"/>
              </w:rPr>
              <w:t>+21 500</w:t>
            </w:r>
          </w:p>
        </w:tc>
        <w:tc>
          <w:tcPr>
            <w:tcW w:type="dxa" w:w="1662"/>
          </w:tcPr>
          <w:p>
            <w:pPr>
              <w:spacing w:after="0" w:line="240" w:lineRule="auto"/>
              <w:ind w:firstLine="0"/>
              <w:jc w:val="center"/>
            </w:pPr>
            <w:r>
              <w:rPr>
                <w:b w:val="0"/>
                <w:i w:val="0"/>
                <w:sz w:val="20"/>
              </w:rPr>
              <w:t>55 000</w:t>
            </w:r>
          </w:p>
        </w:tc>
        <w:tc>
          <w:tcPr>
            <w:tcW w:type="dxa" w:w="1662"/>
          </w:tcPr>
          <w:p>
            <w:pPr>
              <w:spacing w:after="0" w:line="240" w:lineRule="auto"/>
              <w:ind w:firstLine="0"/>
              <w:jc w:val="center"/>
            </w:pPr>
            <w:r>
              <w:rPr>
                <w:b w:val="0"/>
                <w:i w:val="0"/>
                <w:sz w:val="20"/>
              </w:rPr>
              <w:t>номинальный профицит</w:t>
            </w:r>
          </w:p>
        </w:tc>
      </w:tr>
      <w:tr>
        <w:tc>
          <w:tcPr>
            <w:tcW w:type="dxa" w:w="1662"/>
          </w:tcPr>
          <w:p>
            <w:pPr>
              <w:spacing w:after="0" w:line="240" w:lineRule="auto"/>
              <w:ind w:firstLine="0"/>
              <w:jc w:val="left"/>
            </w:pPr>
            <w:r>
              <w:rPr>
                <w:b w:val="0"/>
                <w:i w:val="0"/>
                <w:sz w:val="20"/>
              </w:rPr>
              <w:t>Sm₂O₃</w:t>
            </w:r>
          </w:p>
        </w:tc>
        <w:tc>
          <w:tcPr>
            <w:tcW w:type="dxa" w:w="1662"/>
          </w:tcPr>
          <w:p>
            <w:pPr>
              <w:spacing w:after="0" w:line="240" w:lineRule="auto"/>
              <w:ind w:firstLine="0"/>
              <w:jc w:val="center"/>
            </w:pPr>
            <w:r>
              <w:rPr>
                <w:b w:val="0"/>
                <w:i w:val="0"/>
                <w:sz w:val="20"/>
              </w:rPr>
              <w:t>7 000</w:t>
            </w:r>
          </w:p>
        </w:tc>
        <w:tc>
          <w:tcPr>
            <w:tcW w:type="dxa" w:w="1662"/>
          </w:tcPr>
          <w:p>
            <w:pPr>
              <w:spacing w:after="0" w:line="240" w:lineRule="auto"/>
              <w:ind w:firstLine="0"/>
              <w:jc w:val="center"/>
            </w:pPr>
            <w:r>
              <w:rPr>
                <w:b w:val="0"/>
                <w:i w:val="0"/>
                <w:sz w:val="20"/>
              </w:rPr>
              <w:t>3 200</w:t>
            </w:r>
          </w:p>
        </w:tc>
        <w:tc>
          <w:tcPr>
            <w:tcW w:type="dxa" w:w="1662"/>
          </w:tcPr>
          <w:p>
            <w:pPr>
              <w:spacing w:after="0" w:line="240" w:lineRule="auto"/>
              <w:ind w:firstLine="0"/>
              <w:jc w:val="center"/>
            </w:pPr>
            <w:r>
              <w:rPr>
                <w:b w:val="0"/>
                <w:i w:val="0"/>
                <w:sz w:val="20"/>
              </w:rPr>
              <w:t>+3 800</w:t>
            </w:r>
          </w:p>
        </w:tc>
        <w:tc>
          <w:tcPr>
            <w:tcW w:type="dxa" w:w="1662"/>
          </w:tcPr>
          <w:p>
            <w:pPr>
              <w:spacing w:after="0" w:line="240" w:lineRule="auto"/>
              <w:ind w:firstLine="0"/>
              <w:jc w:val="center"/>
            </w:pPr>
            <w:r>
              <w:rPr>
                <w:b w:val="0"/>
                <w:i w:val="0"/>
                <w:sz w:val="20"/>
              </w:rPr>
              <w:t>22 000</w:t>
            </w:r>
          </w:p>
        </w:tc>
        <w:tc>
          <w:tcPr>
            <w:tcW w:type="dxa" w:w="1662"/>
          </w:tcPr>
          <w:p>
            <w:pPr>
              <w:spacing w:after="0" w:line="240" w:lineRule="auto"/>
              <w:ind w:firstLine="0"/>
              <w:jc w:val="center"/>
            </w:pPr>
            <w:r>
              <w:rPr>
                <w:b w:val="0"/>
                <w:i w:val="0"/>
                <w:sz w:val="20"/>
              </w:rPr>
              <w:t>профицит</w:t>
            </w:r>
          </w:p>
        </w:tc>
      </w:tr>
      <w:tr>
        <w:tc>
          <w:tcPr>
            <w:tcW w:type="dxa" w:w="1662"/>
          </w:tcPr>
          <w:p>
            <w:pPr>
              <w:spacing w:after="0" w:line="240" w:lineRule="auto"/>
              <w:ind w:firstLine="0"/>
              <w:jc w:val="left"/>
            </w:pPr>
            <w:r>
              <w:rPr>
                <w:b w:val="0"/>
                <w:i w:val="0"/>
                <w:sz w:val="20"/>
              </w:rPr>
              <w:t>Eu₂O₃</w:t>
            </w:r>
          </w:p>
        </w:tc>
        <w:tc>
          <w:tcPr>
            <w:tcW w:type="dxa" w:w="1662"/>
          </w:tcPr>
          <w:p>
            <w:pPr>
              <w:spacing w:after="0" w:line="240" w:lineRule="auto"/>
              <w:ind w:firstLine="0"/>
              <w:jc w:val="center"/>
            </w:pPr>
            <w:r>
              <w:rPr>
                <w:b w:val="0"/>
                <w:i w:val="0"/>
                <w:sz w:val="20"/>
              </w:rPr>
              <w:t>1 200</w:t>
            </w:r>
          </w:p>
        </w:tc>
        <w:tc>
          <w:tcPr>
            <w:tcW w:type="dxa" w:w="1662"/>
          </w:tcPr>
          <w:p>
            <w:pPr>
              <w:spacing w:after="0" w:line="240" w:lineRule="auto"/>
              <w:ind w:firstLine="0"/>
              <w:jc w:val="center"/>
            </w:pPr>
            <w:r>
              <w:rPr>
                <w:b w:val="0"/>
                <w:i w:val="0"/>
                <w:sz w:val="20"/>
              </w:rPr>
              <w:t>320</w:t>
            </w:r>
          </w:p>
        </w:tc>
        <w:tc>
          <w:tcPr>
            <w:tcW w:type="dxa" w:w="1662"/>
          </w:tcPr>
          <w:p>
            <w:pPr>
              <w:spacing w:after="0" w:line="240" w:lineRule="auto"/>
              <w:ind w:firstLine="0"/>
              <w:jc w:val="center"/>
            </w:pPr>
            <w:r>
              <w:rPr>
                <w:b w:val="0"/>
                <w:i w:val="0"/>
                <w:sz w:val="20"/>
              </w:rPr>
              <w:t>+880</w:t>
            </w:r>
          </w:p>
        </w:tc>
        <w:tc>
          <w:tcPr>
            <w:tcW w:type="dxa" w:w="1662"/>
          </w:tcPr>
          <w:p>
            <w:pPr>
              <w:spacing w:after="0" w:line="240" w:lineRule="auto"/>
              <w:ind w:firstLine="0"/>
              <w:jc w:val="center"/>
            </w:pPr>
            <w:r>
              <w:rPr>
                <w:b w:val="0"/>
                <w:i w:val="0"/>
                <w:sz w:val="20"/>
              </w:rPr>
              <w:t>9 000</w:t>
            </w:r>
          </w:p>
        </w:tc>
        <w:tc>
          <w:tcPr>
            <w:tcW w:type="dxa" w:w="1662"/>
          </w:tcPr>
          <w:p>
            <w:pPr>
              <w:spacing w:after="0" w:line="240" w:lineRule="auto"/>
              <w:ind w:firstLine="0"/>
              <w:jc w:val="center"/>
            </w:pPr>
            <w:r>
              <w:rPr>
                <w:b w:val="0"/>
                <w:i w:val="0"/>
                <w:sz w:val="20"/>
              </w:rPr>
              <w:t>глубокий профицит</w:t>
            </w:r>
          </w:p>
        </w:tc>
      </w:tr>
      <w:tr>
        <w:tc>
          <w:tcPr>
            <w:tcW w:type="dxa" w:w="1662"/>
          </w:tcPr>
          <w:p>
            <w:pPr>
              <w:spacing w:after="0" w:line="240" w:lineRule="auto"/>
              <w:ind w:firstLine="0"/>
              <w:jc w:val="left"/>
            </w:pPr>
            <w:r>
              <w:rPr>
                <w:b w:val="0"/>
                <w:i w:val="0"/>
                <w:sz w:val="20"/>
              </w:rPr>
              <w:t>Gd₂O₃</w:t>
            </w:r>
          </w:p>
        </w:tc>
        <w:tc>
          <w:tcPr>
            <w:tcW w:type="dxa" w:w="1662"/>
          </w:tcPr>
          <w:p>
            <w:pPr>
              <w:spacing w:after="0" w:line="240" w:lineRule="auto"/>
              <w:ind w:firstLine="0"/>
              <w:jc w:val="center"/>
            </w:pPr>
            <w:r>
              <w:rPr>
                <w:b w:val="0"/>
                <w:i w:val="0"/>
                <w:sz w:val="20"/>
              </w:rPr>
              <w:t>6 600</w:t>
            </w:r>
          </w:p>
        </w:tc>
        <w:tc>
          <w:tcPr>
            <w:tcW w:type="dxa" w:w="1662"/>
          </w:tcPr>
          <w:p>
            <w:pPr>
              <w:spacing w:after="0" w:line="240" w:lineRule="auto"/>
              <w:ind w:firstLine="0"/>
              <w:jc w:val="center"/>
            </w:pPr>
            <w:r>
              <w:rPr>
                <w:b w:val="0"/>
                <w:i w:val="0"/>
                <w:sz w:val="20"/>
              </w:rPr>
              <w:t>4 100</w:t>
            </w:r>
          </w:p>
        </w:tc>
        <w:tc>
          <w:tcPr>
            <w:tcW w:type="dxa" w:w="1662"/>
          </w:tcPr>
          <w:p>
            <w:pPr>
              <w:spacing w:after="0" w:line="240" w:lineRule="auto"/>
              <w:ind w:firstLine="0"/>
              <w:jc w:val="center"/>
            </w:pPr>
            <w:r>
              <w:rPr>
                <w:b w:val="0"/>
                <w:i w:val="0"/>
                <w:sz w:val="20"/>
              </w:rPr>
              <w:t>+2 500</w:t>
            </w:r>
          </w:p>
        </w:tc>
        <w:tc>
          <w:tcPr>
            <w:tcW w:type="dxa" w:w="1662"/>
          </w:tcPr>
          <w:p>
            <w:pPr>
              <w:spacing w:after="0" w:line="240" w:lineRule="auto"/>
              <w:ind w:firstLine="0"/>
              <w:jc w:val="center"/>
            </w:pPr>
            <w:r>
              <w:rPr>
                <w:b w:val="0"/>
                <w:i w:val="0"/>
                <w:sz w:val="20"/>
              </w:rPr>
              <w:t>11 000</w:t>
            </w:r>
          </w:p>
        </w:tc>
        <w:tc>
          <w:tcPr>
            <w:tcW w:type="dxa" w:w="1662"/>
          </w:tcPr>
          <w:p>
            <w:pPr>
              <w:spacing w:after="0" w:line="240" w:lineRule="auto"/>
              <w:ind w:firstLine="0"/>
              <w:jc w:val="center"/>
            </w:pPr>
            <w:r>
              <w:rPr>
                <w:b w:val="0"/>
                <w:i w:val="0"/>
                <w:sz w:val="20"/>
              </w:rPr>
              <w:t>профицит</w:t>
            </w:r>
          </w:p>
        </w:tc>
      </w:tr>
      <w:tr>
        <w:tc>
          <w:tcPr>
            <w:tcW w:type="dxa" w:w="1662"/>
          </w:tcPr>
          <w:p>
            <w:pPr>
              <w:spacing w:after="0" w:line="240" w:lineRule="auto"/>
              <w:ind w:firstLine="0"/>
              <w:jc w:val="left"/>
            </w:pPr>
            <w:r>
              <w:rPr>
                <w:b w:val="0"/>
                <w:i w:val="0"/>
                <w:sz w:val="20"/>
              </w:rPr>
              <w:t>Tb₄O₇</w:t>
            </w:r>
          </w:p>
        </w:tc>
        <w:tc>
          <w:tcPr>
            <w:tcW w:type="dxa" w:w="1662"/>
          </w:tcPr>
          <w:p>
            <w:pPr>
              <w:spacing w:after="0" w:line="240" w:lineRule="auto"/>
              <w:ind w:firstLine="0"/>
              <w:jc w:val="center"/>
            </w:pPr>
            <w:r>
              <w:rPr>
                <w:b w:val="0"/>
                <w:i w:val="0"/>
                <w:sz w:val="20"/>
              </w:rPr>
              <w:t>980</w:t>
            </w:r>
          </w:p>
        </w:tc>
        <w:tc>
          <w:tcPr>
            <w:tcW w:type="dxa" w:w="1662"/>
          </w:tcPr>
          <w:p>
            <w:pPr>
              <w:spacing w:after="0" w:line="240" w:lineRule="auto"/>
              <w:ind w:firstLine="0"/>
              <w:jc w:val="center"/>
            </w:pPr>
            <w:r>
              <w:rPr>
                <w:b w:val="0"/>
                <w:i w:val="0"/>
                <w:sz w:val="20"/>
              </w:rPr>
              <w:t>900</w:t>
            </w:r>
          </w:p>
        </w:tc>
        <w:tc>
          <w:tcPr>
            <w:tcW w:type="dxa" w:w="1662"/>
          </w:tcPr>
          <w:p>
            <w:pPr>
              <w:spacing w:after="0" w:line="240" w:lineRule="auto"/>
              <w:ind w:firstLine="0"/>
              <w:jc w:val="center"/>
            </w:pPr>
            <w:r>
              <w:rPr>
                <w:b w:val="0"/>
                <w:i w:val="0"/>
                <w:sz w:val="20"/>
              </w:rPr>
              <w:t>+80</w:t>
            </w:r>
          </w:p>
        </w:tc>
        <w:tc>
          <w:tcPr>
            <w:tcW w:type="dxa" w:w="1662"/>
          </w:tcPr>
          <w:p>
            <w:pPr>
              <w:spacing w:after="0" w:line="240" w:lineRule="auto"/>
              <w:ind w:firstLine="0"/>
              <w:jc w:val="center"/>
            </w:pPr>
            <w:r>
              <w:rPr>
                <w:b w:val="0"/>
                <w:i w:val="0"/>
                <w:sz w:val="20"/>
              </w:rPr>
              <w:t>900</w:t>
            </w:r>
          </w:p>
        </w:tc>
        <w:tc>
          <w:tcPr>
            <w:tcW w:type="dxa" w:w="1662"/>
          </w:tcPr>
          <w:p>
            <w:pPr>
              <w:spacing w:after="0" w:line="240" w:lineRule="auto"/>
              <w:ind w:firstLine="0"/>
              <w:jc w:val="center"/>
            </w:pPr>
            <w:r>
              <w:rPr>
                <w:b w:val="0"/>
                <w:i w:val="0"/>
                <w:sz w:val="20"/>
              </w:rPr>
              <w:t>напряжённый баланс</w:t>
            </w:r>
          </w:p>
        </w:tc>
      </w:tr>
      <w:tr>
        <w:tc>
          <w:tcPr>
            <w:tcW w:type="dxa" w:w="1662"/>
          </w:tcPr>
          <w:p>
            <w:pPr>
              <w:spacing w:after="0" w:line="240" w:lineRule="auto"/>
              <w:ind w:firstLine="0"/>
              <w:jc w:val="left"/>
            </w:pPr>
            <w:r>
              <w:rPr>
                <w:b w:val="0"/>
                <w:i w:val="0"/>
                <w:sz w:val="20"/>
              </w:rPr>
              <w:t>Dy₂O₃</w:t>
            </w:r>
          </w:p>
        </w:tc>
        <w:tc>
          <w:tcPr>
            <w:tcW w:type="dxa" w:w="1662"/>
          </w:tcPr>
          <w:p>
            <w:pPr>
              <w:spacing w:after="0" w:line="240" w:lineRule="auto"/>
              <w:ind w:firstLine="0"/>
              <w:jc w:val="center"/>
            </w:pPr>
            <w:r>
              <w:rPr>
                <w:b w:val="0"/>
                <w:i w:val="0"/>
                <w:sz w:val="20"/>
              </w:rPr>
              <w:t>4 300</w:t>
            </w:r>
          </w:p>
        </w:tc>
        <w:tc>
          <w:tcPr>
            <w:tcW w:type="dxa" w:w="1662"/>
          </w:tcPr>
          <w:p>
            <w:pPr>
              <w:spacing w:after="0" w:line="240" w:lineRule="auto"/>
              <w:ind w:firstLine="0"/>
              <w:jc w:val="center"/>
            </w:pPr>
            <w:r>
              <w:rPr>
                <w:b w:val="0"/>
                <w:i w:val="0"/>
                <w:sz w:val="20"/>
              </w:rPr>
              <w:t>3 300</w:t>
            </w:r>
          </w:p>
        </w:tc>
        <w:tc>
          <w:tcPr>
            <w:tcW w:type="dxa" w:w="1662"/>
          </w:tcPr>
          <w:p>
            <w:pPr>
              <w:spacing w:after="0" w:line="240" w:lineRule="auto"/>
              <w:ind w:firstLine="0"/>
              <w:jc w:val="center"/>
            </w:pPr>
            <w:r>
              <w:rPr>
                <w:b w:val="0"/>
                <w:i w:val="0"/>
                <w:sz w:val="20"/>
              </w:rPr>
              <w:t>+1 000</w:t>
            </w:r>
          </w:p>
        </w:tc>
        <w:tc>
          <w:tcPr>
            <w:tcW w:type="dxa" w:w="1662"/>
          </w:tcPr>
          <w:p>
            <w:pPr>
              <w:spacing w:after="0" w:line="240" w:lineRule="auto"/>
              <w:ind w:firstLine="0"/>
              <w:jc w:val="center"/>
            </w:pPr>
            <w:r>
              <w:rPr>
                <w:b w:val="0"/>
                <w:i w:val="0"/>
                <w:sz w:val="20"/>
              </w:rPr>
              <w:t>3 500</w:t>
            </w:r>
          </w:p>
        </w:tc>
        <w:tc>
          <w:tcPr>
            <w:tcW w:type="dxa" w:w="1662"/>
          </w:tcPr>
          <w:p>
            <w:pPr>
              <w:spacing w:after="0" w:line="240" w:lineRule="auto"/>
              <w:ind w:firstLine="0"/>
              <w:jc w:val="center"/>
            </w:pPr>
            <w:r>
              <w:rPr>
                <w:b w:val="0"/>
                <w:i w:val="0"/>
                <w:sz w:val="20"/>
              </w:rPr>
              <w:t>напряжённый баланс</w:t>
            </w:r>
          </w:p>
        </w:tc>
      </w:tr>
      <w:tr>
        <w:tc>
          <w:tcPr>
            <w:tcW w:type="dxa" w:w="1662"/>
          </w:tcPr>
          <w:p>
            <w:pPr>
              <w:spacing w:after="0" w:line="240" w:lineRule="auto"/>
              <w:ind w:firstLine="0"/>
              <w:jc w:val="left"/>
            </w:pPr>
            <w:r>
              <w:rPr>
                <w:b w:val="0"/>
                <w:i w:val="0"/>
                <w:sz w:val="20"/>
              </w:rPr>
              <w:t>Y₂O₃</w:t>
            </w:r>
          </w:p>
        </w:tc>
        <w:tc>
          <w:tcPr>
            <w:tcW w:type="dxa" w:w="1662"/>
          </w:tcPr>
          <w:p>
            <w:pPr>
              <w:spacing w:after="0" w:line="240" w:lineRule="auto"/>
              <w:ind w:firstLine="0"/>
              <w:jc w:val="center"/>
            </w:pPr>
            <w:r>
              <w:rPr>
                <w:b w:val="0"/>
                <w:i w:val="0"/>
                <w:sz w:val="20"/>
              </w:rPr>
              <w:t>19 500</w:t>
            </w:r>
          </w:p>
        </w:tc>
        <w:tc>
          <w:tcPr>
            <w:tcW w:type="dxa" w:w="1662"/>
          </w:tcPr>
          <w:p>
            <w:pPr>
              <w:spacing w:after="0" w:line="240" w:lineRule="auto"/>
              <w:ind w:firstLine="0"/>
              <w:jc w:val="center"/>
            </w:pPr>
            <w:r>
              <w:rPr>
                <w:b w:val="0"/>
                <w:i w:val="0"/>
                <w:sz w:val="20"/>
              </w:rPr>
              <w:t>8 500</w:t>
            </w:r>
          </w:p>
        </w:tc>
        <w:tc>
          <w:tcPr>
            <w:tcW w:type="dxa" w:w="1662"/>
          </w:tcPr>
          <w:p>
            <w:pPr>
              <w:spacing w:after="0" w:line="240" w:lineRule="auto"/>
              <w:ind w:firstLine="0"/>
              <w:jc w:val="center"/>
            </w:pPr>
            <w:r>
              <w:rPr>
                <w:b w:val="0"/>
                <w:i w:val="0"/>
                <w:sz w:val="20"/>
              </w:rPr>
              <w:t>+11 000</w:t>
            </w:r>
          </w:p>
        </w:tc>
        <w:tc>
          <w:tcPr>
            <w:tcW w:type="dxa" w:w="1662"/>
          </w:tcPr>
          <w:p>
            <w:pPr>
              <w:spacing w:after="0" w:line="240" w:lineRule="auto"/>
              <w:ind w:firstLine="0"/>
              <w:jc w:val="center"/>
            </w:pPr>
            <w:r>
              <w:rPr>
                <w:b w:val="0"/>
                <w:i w:val="0"/>
                <w:sz w:val="20"/>
              </w:rPr>
              <w:t>40 000</w:t>
            </w:r>
          </w:p>
        </w:tc>
        <w:tc>
          <w:tcPr>
            <w:tcW w:type="dxa" w:w="1662"/>
          </w:tcPr>
          <w:p>
            <w:pPr>
              <w:spacing w:after="0" w:line="240" w:lineRule="auto"/>
              <w:ind w:firstLine="0"/>
              <w:jc w:val="center"/>
            </w:pPr>
            <w:r>
              <w:rPr>
                <w:b w:val="0"/>
                <w:i w:val="0"/>
                <w:sz w:val="20"/>
              </w:rPr>
              <w:t>профицит</w:t>
            </w:r>
          </w:p>
        </w:tc>
      </w:tr>
    </w:tbl>
    <w:p>
      <w:pPr>
        <w:spacing w:after="180"/>
        <w:ind w:firstLine="0"/>
      </w:pPr>
      <w:r>
        <w:rPr>
          <w:i/>
          <w:sz w:val="20"/>
        </w:rPr>
        <w:t>Источник: расчёт аналитического центра на основе данных о производстве, потреблении и складских запасах</w:t>
      </w:r>
    </w:p>
    <w:p>
      <w:r>
        <w:rPr>
          <w:b w:val="0"/>
          <w:i w:val="0"/>
        </w:rPr>
        <w:t>Показатели «номинального профицита» по неодиму и празеодиму требуют осторожной интерпретации. Формально произведённый объём превышает потребление, однако значительная его часть представлена продукцией, физически находящейся в КНР и недоступной покупателям вне её вследствие экспортного контроля. С точки зрения потребителя в ЕС, США или Японии рынок NdPr в 2025 г. находился в состоянии дефицита, что и отражалось в разрыве между внутрикитайскими и экспортными ценами (см. раздел 6.4).</w:t>
      </w:r>
    </w:p>
    <w:p>
      <w:pPr>
        <w:keepNext/>
        <w:spacing w:before="160" w:after="60"/>
        <w:ind w:firstLine="0"/>
        <w:jc w:val="left"/>
      </w:pPr>
      <w:r>
        <w:rPr>
          <w:b/>
          <w:sz w:val="22"/>
        </w:rPr>
        <w:t>Рисунок 15. Баланс производства и потребления ключевых оксидов РЗМ, 2024 г., т</w:t>
      </w:r>
    </w:p>
    <w:p>
      <w:pPr>
        <w:ind w:firstLine="0"/>
        <w:jc w:val="center"/>
      </w:pPr>
      <w:r>
        <w:drawing>
          <wp:inline xmlns:a="http://schemas.openxmlformats.org/drawingml/2006/main" xmlns:pic="http://schemas.openxmlformats.org/drawingml/2006/picture">
            <wp:extent cx="5580000" cy="2389696"/>
            <wp:docPr id="15" name="Picture 15"/>
            <wp:cNvGraphicFramePr>
              <a:graphicFrameLocks noChangeAspect="1"/>
            </wp:cNvGraphicFramePr>
            <a:graphic>
              <a:graphicData uri="http://schemas.openxmlformats.org/drawingml/2006/picture">
                <pic:pic>
                  <pic:nvPicPr>
                    <pic:cNvPr id="0" name="fig15.png"/>
                    <pic:cNvPicPr/>
                  </pic:nvPicPr>
                  <pic:blipFill>
                    <a:blip r:embed="rId25"/>
                    <a:stretch>
                      <a:fillRect/>
                    </a:stretch>
                  </pic:blipFill>
                  <pic:spPr>
                    <a:xfrm>
                      <a:off x="0" y="0"/>
                      <a:ext cx="5580000" cy="2389696"/>
                    </a:xfrm>
                    <a:prstGeom prst="rect"/>
                  </pic:spPr>
                </pic:pic>
              </a:graphicData>
            </a:graphic>
          </wp:inline>
        </w:drawing>
      </w:r>
    </w:p>
    <w:p>
      <w:pPr>
        <w:spacing w:after="180"/>
        <w:ind w:firstLine="0"/>
      </w:pPr>
      <w:r>
        <w:rPr>
          <w:i/>
          <w:sz w:val="20"/>
        </w:rPr>
        <w:t>Источник: расчёт аналитического центра (табл. 20)</w:t>
      </w:r>
    </w:p>
    <w:p>
      <w:pPr>
        <w:pStyle w:val="Heading2"/>
      </w:pPr>
      <w:r>
        <w:rPr>
          <w:b w:val="0"/>
          <w:i w:val="0"/>
        </w:rPr>
        <w:t>3.6. «Серые» потоки сырья и проблема достоверности статистики</w:t>
      </w:r>
    </w:p>
    <w:p>
      <w:r>
        <w:rPr>
          <w:b w:val="0"/>
          <w:i w:val="0"/>
        </w:rPr>
        <w:t>Оценка масштабов нелегальной и полулегальной добычи является одним из наиболее сложных методологических вопросов отраслевой аналитики. Косвенные методы оценки основаны на сопоставлении:</w:t>
      </w:r>
    </w:p>
    <w:p>
      <w:pPr>
        <w:pStyle w:val="ListBullet"/>
        <w:spacing w:after="20"/>
        <w:ind w:firstLine="0"/>
      </w:pPr>
      <w:r>
        <w:rPr>
          <w:b w:val="0"/>
          <w:i w:val="0"/>
        </w:rPr>
        <w:t>объёма выданных квот на разделение в КНР с объёмом квот на добычу (систематическое превышение первого над вторым указывает на переработку сырья, не учтённого в добыче);</w:t>
      </w:r>
    </w:p>
    <w:p>
      <w:pPr>
        <w:pStyle w:val="ListBullet"/>
        <w:spacing w:after="20"/>
        <w:ind w:firstLine="0"/>
      </w:pPr>
      <w:r>
        <w:rPr>
          <w:b w:val="0"/>
          <w:i w:val="0"/>
        </w:rPr>
        <w:t>китайской импортной статистики по позициям редкоземельного сырья с экспортной статистикой стран-контрагентов («зеркальный» анализ);</w:t>
      </w:r>
    </w:p>
    <w:p>
      <w:pPr>
        <w:pStyle w:val="ListBullet"/>
        <w:spacing w:after="20"/>
        <w:ind w:firstLine="0"/>
      </w:pPr>
      <w:r>
        <w:rPr>
          <w:b w:val="0"/>
          <w:i w:val="0"/>
        </w:rPr>
        <w:t>заявленной производительности предприятий с потреблением реагентов и электроэнергии.</w:t>
      </w:r>
    </w:p>
    <w:p>
      <w:r>
        <w:rPr>
          <w:b w:val="0"/>
          <w:i w:val="0"/>
        </w:rPr>
        <w:t>По совокупности этих оценок объём сырья, поступающего в китайскую переработку сверх официально учтённой добычи, составлял в отдельные годы от 40 до 90 тыс. т TREO. Основные источники — Мьянма, Лаос, Мадагаскар, Нигерия, Таиланд, а в предыдущие периоды — нелегальная добыча внутри КНР.</w:t>
      </w:r>
    </w:p>
    <w:p>
      <w:pPr>
        <w:keepNext/>
        <w:spacing w:before="160" w:after="60"/>
        <w:ind w:firstLine="0"/>
        <w:jc w:val="left"/>
      </w:pPr>
      <w:r>
        <w:rPr>
          <w:b/>
          <w:sz w:val="22"/>
        </w:rPr>
        <w:t>Таблица 21. Сопоставление квот КНР на добычу и разделение РЗМ, 2016–2025 гг., т TREO</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Год</w:t>
            </w:r>
          </w:p>
        </w:tc>
        <w:tc>
          <w:tcPr>
            <w:tcW w:type="dxa" w:w="1995"/>
            <w:shd w:val="clear" w:fill="DCE6F1"/>
          </w:tcPr>
          <w:p>
            <w:pPr>
              <w:spacing w:after="0" w:line="240" w:lineRule="auto"/>
              <w:ind w:firstLine="0"/>
              <w:jc w:val="center"/>
            </w:pPr>
            <w:r>
              <w:rPr>
                <w:b/>
                <w:i w:val="0"/>
                <w:sz w:val="20"/>
              </w:rPr>
              <w:t>Квота на добычу</w:t>
            </w:r>
          </w:p>
        </w:tc>
        <w:tc>
          <w:tcPr>
            <w:tcW w:type="dxa" w:w="1995"/>
            <w:shd w:val="clear" w:fill="DCE6F1"/>
          </w:tcPr>
          <w:p>
            <w:pPr>
              <w:spacing w:after="0" w:line="240" w:lineRule="auto"/>
              <w:ind w:firstLine="0"/>
              <w:jc w:val="center"/>
            </w:pPr>
            <w:r>
              <w:rPr>
                <w:b/>
                <w:i w:val="0"/>
                <w:sz w:val="20"/>
              </w:rPr>
              <w:t>Квота на разделение</w:t>
            </w:r>
          </w:p>
        </w:tc>
        <w:tc>
          <w:tcPr>
            <w:tcW w:type="dxa" w:w="1995"/>
            <w:shd w:val="clear" w:fill="DCE6F1"/>
          </w:tcPr>
          <w:p>
            <w:pPr>
              <w:spacing w:after="0" w:line="240" w:lineRule="auto"/>
              <w:ind w:firstLine="0"/>
              <w:jc w:val="center"/>
            </w:pPr>
            <w:r>
              <w:rPr>
                <w:b/>
                <w:i w:val="0"/>
                <w:sz w:val="20"/>
              </w:rPr>
              <w:t>Разница</w:t>
            </w:r>
          </w:p>
        </w:tc>
        <w:tc>
          <w:tcPr>
            <w:tcW w:type="dxa" w:w="1995"/>
            <w:shd w:val="clear" w:fill="DCE6F1"/>
          </w:tcPr>
          <w:p>
            <w:pPr>
              <w:spacing w:after="0" w:line="240" w:lineRule="auto"/>
              <w:ind w:firstLine="0"/>
              <w:jc w:val="center"/>
            </w:pPr>
            <w:r>
              <w:rPr>
                <w:b/>
                <w:i w:val="0"/>
                <w:sz w:val="20"/>
              </w:rPr>
              <w:t>Интерпретация разницы</w:t>
            </w:r>
          </w:p>
        </w:tc>
      </w:tr>
      <w:tr>
        <w:tc>
          <w:tcPr>
            <w:tcW w:type="dxa" w:w="1995"/>
          </w:tcPr>
          <w:p>
            <w:pPr>
              <w:spacing w:after="0" w:line="240" w:lineRule="auto"/>
              <w:ind w:firstLine="0"/>
              <w:jc w:val="left"/>
            </w:pPr>
            <w:r>
              <w:rPr>
                <w:b w:val="0"/>
                <w:i w:val="0"/>
                <w:sz w:val="20"/>
              </w:rPr>
              <w:t>2016</w:t>
            </w:r>
          </w:p>
        </w:tc>
        <w:tc>
          <w:tcPr>
            <w:tcW w:type="dxa" w:w="1995"/>
          </w:tcPr>
          <w:p>
            <w:pPr>
              <w:spacing w:after="0" w:line="240" w:lineRule="auto"/>
              <w:ind w:firstLine="0"/>
              <w:jc w:val="center"/>
            </w:pPr>
            <w:r>
              <w:rPr>
                <w:b w:val="0"/>
                <w:i w:val="0"/>
                <w:sz w:val="20"/>
              </w:rPr>
              <w:t>105 000</w:t>
            </w:r>
          </w:p>
        </w:tc>
        <w:tc>
          <w:tcPr>
            <w:tcW w:type="dxa" w:w="1995"/>
          </w:tcPr>
          <w:p>
            <w:pPr>
              <w:spacing w:after="0" w:line="240" w:lineRule="auto"/>
              <w:ind w:firstLine="0"/>
              <w:jc w:val="center"/>
            </w:pPr>
            <w:r>
              <w:rPr>
                <w:b w:val="0"/>
                <w:i w:val="0"/>
                <w:sz w:val="20"/>
              </w:rPr>
              <w:t>100 200</w:t>
            </w:r>
          </w:p>
        </w:tc>
        <w:tc>
          <w:tcPr>
            <w:tcW w:type="dxa" w:w="1995"/>
          </w:tcPr>
          <w:p>
            <w:pPr>
              <w:spacing w:after="0" w:line="240" w:lineRule="auto"/>
              <w:ind w:firstLine="0"/>
              <w:jc w:val="center"/>
            </w:pPr>
            <w:r>
              <w:rPr>
                <w:b w:val="0"/>
                <w:i w:val="0"/>
                <w:sz w:val="20"/>
              </w:rPr>
              <w:t>−4 800</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2018</w:t>
            </w:r>
          </w:p>
        </w:tc>
        <w:tc>
          <w:tcPr>
            <w:tcW w:type="dxa" w:w="1995"/>
          </w:tcPr>
          <w:p>
            <w:pPr>
              <w:spacing w:after="0" w:line="240" w:lineRule="auto"/>
              <w:ind w:firstLine="0"/>
              <w:jc w:val="center"/>
            </w:pPr>
            <w:r>
              <w:rPr>
                <w:b w:val="0"/>
                <w:i w:val="0"/>
                <w:sz w:val="20"/>
              </w:rPr>
              <w:t>120 000</w:t>
            </w:r>
          </w:p>
        </w:tc>
        <w:tc>
          <w:tcPr>
            <w:tcW w:type="dxa" w:w="1995"/>
          </w:tcPr>
          <w:p>
            <w:pPr>
              <w:spacing w:after="0" w:line="240" w:lineRule="auto"/>
              <w:ind w:firstLine="0"/>
              <w:jc w:val="center"/>
            </w:pPr>
            <w:r>
              <w:rPr>
                <w:b w:val="0"/>
                <w:i w:val="0"/>
                <w:sz w:val="20"/>
              </w:rPr>
              <w:t>115 000</w:t>
            </w:r>
          </w:p>
        </w:tc>
        <w:tc>
          <w:tcPr>
            <w:tcW w:type="dxa" w:w="1995"/>
          </w:tcPr>
          <w:p>
            <w:pPr>
              <w:spacing w:after="0" w:line="240" w:lineRule="auto"/>
              <w:ind w:firstLine="0"/>
              <w:jc w:val="center"/>
            </w:pPr>
            <w:r>
              <w:rPr>
                <w:b w:val="0"/>
                <w:i w:val="0"/>
                <w:sz w:val="20"/>
              </w:rPr>
              <w:t>−5 000</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2019</w:t>
            </w:r>
          </w:p>
        </w:tc>
        <w:tc>
          <w:tcPr>
            <w:tcW w:type="dxa" w:w="1995"/>
          </w:tcPr>
          <w:p>
            <w:pPr>
              <w:spacing w:after="0" w:line="240" w:lineRule="auto"/>
              <w:ind w:firstLine="0"/>
              <w:jc w:val="center"/>
            </w:pPr>
            <w:r>
              <w:rPr>
                <w:b w:val="0"/>
                <w:i w:val="0"/>
                <w:sz w:val="20"/>
              </w:rPr>
              <w:t>132 000</w:t>
            </w:r>
          </w:p>
        </w:tc>
        <w:tc>
          <w:tcPr>
            <w:tcW w:type="dxa" w:w="1995"/>
          </w:tcPr>
          <w:p>
            <w:pPr>
              <w:spacing w:after="0" w:line="240" w:lineRule="auto"/>
              <w:ind w:firstLine="0"/>
              <w:jc w:val="center"/>
            </w:pPr>
            <w:r>
              <w:rPr>
                <w:b w:val="0"/>
                <w:i w:val="0"/>
                <w:sz w:val="20"/>
              </w:rPr>
              <w:t>127 000</w:t>
            </w:r>
          </w:p>
        </w:tc>
        <w:tc>
          <w:tcPr>
            <w:tcW w:type="dxa" w:w="1995"/>
          </w:tcPr>
          <w:p>
            <w:pPr>
              <w:spacing w:after="0" w:line="240" w:lineRule="auto"/>
              <w:ind w:firstLine="0"/>
              <w:jc w:val="center"/>
            </w:pPr>
            <w:r>
              <w:rPr>
                <w:b w:val="0"/>
                <w:i w:val="0"/>
                <w:sz w:val="20"/>
              </w:rPr>
              <w:t>−5 000</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2020</w:t>
            </w:r>
          </w:p>
        </w:tc>
        <w:tc>
          <w:tcPr>
            <w:tcW w:type="dxa" w:w="1995"/>
          </w:tcPr>
          <w:p>
            <w:pPr>
              <w:spacing w:after="0" w:line="240" w:lineRule="auto"/>
              <w:ind w:firstLine="0"/>
              <w:jc w:val="center"/>
            </w:pPr>
            <w:r>
              <w:rPr>
                <w:b w:val="0"/>
                <w:i w:val="0"/>
                <w:sz w:val="20"/>
              </w:rPr>
              <w:t>140 000</w:t>
            </w:r>
          </w:p>
        </w:tc>
        <w:tc>
          <w:tcPr>
            <w:tcW w:type="dxa" w:w="1995"/>
          </w:tcPr>
          <w:p>
            <w:pPr>
              <w:spacing w:after="0" w:line="240" w:lineRule="auto"/>
              <w:ind w:firstLine="0"/>
              <w:jc w:val="center"/>
            </w:pPr>
            <w:r>
              <w:rPr>
                <w:b w:val="0"/>
                <w:i w:val="0"/>
                <w:sz w:val="20"/>
              </w:rPr>
              <w:t>135 000</w:t>
            </w:r>
          </w:p>
        </w:tc>
        <w:tc>
          <w:tcPr>
            <w:tcW w:type="dxa" w:w="1995"/>
          </w:tcPr>
          <w:p>
            <w:pPr>
              <w:spacing w:after="0" w:line="240" w:lineRule="auto"/>
              <w:ind w:firstLine="0"/>
              <w:jc w:val="center"/>
            </w:pPr>
            <w:r>
              <w:rPr>
                <w:b w:val="0"/>
                <w:i w:val="0"/>
                <w:sz w:val="20"/>
              </w:rPr>
              <w:t>−5 000</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2021</w:t>
            </w:r>
          </w:p>
        </w:tc>
        <w:tc>
          <w:tcPr>
            <w:tcW w:type="dxa" w:w="1995"/>
          </w:tcPr>
          <w:p>
            <w:pPr>
              <w:spacing w:after="0" w:line="240" w:lineRule="auto"/>
              <w:ind w:firstLine="0"/>
              <w:jc w:val="center"/>
            </w:pPr>
            <w:r>
              <w:rPr>
                <w:b w:val="0"/>
                <w:i w:val="0"/>
                <w:sz w:val="20"/>
              </w:rPr>
              <w:t>168 000</w:t>
            </w:r>
          </w:p>
        </w:tc>
        <w:tc>
          <w:tcPr>
            <w:tcW w:type="dxa" w:w="1995"/>
          </w:tcPr>
          <w:p>
            <w:pPr>
              <w:spacing w:after="0" w:line="240" w:lineRule="auto"/>
              <w:ind w:firstLine="0"/>
              <w:jc w:val="center"/>
            </w:pPr>
            <w:r>
              <w:rPr>
                <w:b w:val="0"/>
                <w:i w:val="0"/>
                <w:sz w:val="20"/>
              </w:rPr>
              <w:t>162 000</w:t>
            </w:r>
          </w:p>
        </w:tc>
        <w:tc>
          <w:tcPr>
            <w:tcW w:type="dxa" w:w="1995"/>
          </w:tcPr>
          <w:p>
            <w:pPr>
              <w:spacing w:after="0" w:line="240" w:lineRule="auto"/>
              <w:ind w:firstLine="0"/>
              <w:jc w:val="center"/>
            </w:pPr>
            <w:r>
              <w:rPr>
                <w:b w:val="0"/>
                <w:i w:val="0"/>
                <w:sz w:val="20"/>
              </w:rPr>
              <w:t>−6 000</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2022</w:t>
            </w:r>
          </w:p>
        </w:tc>
        <w:tc>
          <w:tcPr>
            <w:tcW w:type="dxa" w:w="1995"/>
          </w:tcPr>
          <w:p>
            <w:pPr>
              <w:spacing w:after="0" w:line="240" w:lineRule="auto"/>
              <w:ind w:firstLine="0"/>
              <w:jc w:val="center"/>
            </w:pPr>
            <w:r>
              <w:rPr>
                <w:b w:val="0"/>
                <w:i w:val="0"/>
                <w:sz w:val="20"/>
              </w:rPr>
              <w:t>210 000</w:t>
            </w:r>
          </w:p>
        </w:tc>
        <w:tc>
          <w:tcPr>
            <w:tcW w:type="dxa" w:w="1995"/>
          </w:tcPr>
          <w:p>
            <w:pPr>
              <w:spacing w:after="0" w:line="240" w:lineRule="auto"/>
              <w:ind w:firstLine="0"/>
              <w:jc w:val="center"/>
            </w:pPr>
            <w:r>
              <w:rPr>
                <w:b w:val="0"/>
                <w:i w:val="0"/>
                <w:sz w:val="20"/>
              </w:rPr>
              <w:t>202 000</w:t>
            </w:r>
          </w:p>
        </w:tc>
        <w:tc>
          <w:tcPr>
            <w:tcW w:type="dxa" w:w="1995"/>
          </w:tcPr>
          <w:p>
            <w:pPr>
              <w:spacing w:after="0" w:line="240" w:lineRule="auto"/>
              <w:ind w:firstLine="0"/>
              <w:jc w:val="center"/>
            </w:pPr>
            <w:r>
              <w:rPr>
                <w:b w:val="0"/>
                <w:i w:val="0"/>
                <w:sz w:val="20"/>
              </w:rPr>
              <w:t>−8 000</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2023</w:t>
            </w:r>
          </w:p>
        </w:tc>
        <w:tc>
          <w:tcPr>
            <w:tcW w:type="dxa" w:w="1995"/>
          </w:tcPr>
          <w:p>
            <w:pPr>
              <w:spacing w:after="0" w:line="240" w:lineRule="auto"/>
              <w:ind w:firstLine="0"/>
              <w:jc w:val="center"/>
            </w:pPr>
            <w:r>
              <w:rPr>
                <w:b w:val="0"/>
                <w:i w:val="0"/>
                <w:sz w:val="20"/>
              </w:rPr>
              <w:t>240 000</w:t>
            </w:r>
          </w:p>
        </w:tc>
        <w:tc>
          <w:tcPr>
            <w:tcW w:type="dxa" w:w="1995"/>
          </w:tcPr>
          <w:p>
            <w:pPr>
              <w:spacing w:after="0" w:line="240" w:lineRule="auto"/>
              <w:ind w:firstLine="0"/>
              <w:jc w:val="center"/>
            </w:pPr>
            <w:r>
              <w:rPr>
                <w:b w:val="0"/>
                <w:i w:val="0"/>
                <w:sz w:val="20"/>
              </w:rPr>
              <w:t>230 000</w:t>
            </w:r>
          </w:p>
        </w:tc>
        <w:tc>
          <w:tcPr>
            <w:tcW w:type="dxa" w:w="1995"/>
          </w:tcPr>
          <w:p>
            <w:pPr>
              <w:spacing w:after="0" w:line="240" w:lineRule="auto"/>
              <w:ind w:firstLine="0"/>
              <w:jc w:val="center"/>
            </w:pPr>
            <w:r>
              <w:rPr>
                <w:b w:val="0"/>
                <w:i w:val="0"/>
                <w:sz w:val="20"/>
              </w:rPr>
              <w:t>−10 000</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2024</w:t>
            </w:r>
          </w:p>
        </w:tc>
        <w:tc>
          <w:tcPr>
            <w:tcW w:type="dxa" w:w="1995"/>
          </w:tcPr>
          <w:p>
            <w:pPr>
              <w:spacing w:after="0" w:line="240" w:lineRule="auto"/>
              <w:ind w:firstLine="0"/>
              <w:jc w:val="center"/>
            </w:pPr>
            <w:r>
              <w:rPr>
                <w:b w:val="0"/>
                <w:i w:val="0"/>
                <w:sz w:val="20"/>
              </w:rPr>
              <w:t>270 000</w:t>
            </w:r>
          </w:p>
        </w:tc>
        <w:tc>
          <w:tcPr>
            <w:tcW w:type="dxa" w:w="1995"/>
          </w:tcPr>
          <w:p>
            <w:pPr>
              <w:spacing w:after="0" w:line="240" w:lineRule="auto"/>
              <w:ind w:firstLine="0"/>
              <w:jc w:val="center"/>
            </w:pPr>
            <w:r>
              <w:rPr>
                <w:b w:val="0"/>
                <w:i w:val="0"/>
                <w:sz w:val="20"/>
              </w:rPr>
              <w:t>254 000</w:t>
            </w:r>
          </w:p>
        </w:tc>
        <w:tc>
          <w:tcPr>
            <w:tcW w:type="dxa" w:w="1995"/>
          </w:tcPr>
          <w:p>
            <w:pPr>
              <w:spacing w:after="0" w:line="240" w:lineRule="auto"/>
              <w:ind w:firstLine="0"/>
              <w:jc w:val="center"/>
            </w:pPr>
            <w:r>
              <w:rPr>
                <w:b w:val="0"/>
                <w:i w:val="0"/>
                <w:sz w:val="20"/>
              </w:rPr>
              <w:t>−16 000</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2025 (оц.)</w:t>
            </w:r>
          </w:p>
        </w:tc>
        <w:tc>
          <w:tcPr>
            <w:tcW w:type="dxa" w:w="1995"/>
          </w:tcPr>
          <w:p>
            <w:pPr>
              <w:spacing w:after="0" w:line="240" w:lineRule="auto"/>
              <w:ind w:firstLine="0"/>
              <w:jc w:val="center"/>
            </w:pPr>
            <w:r>
              <w:rPr>
                <w:b w:val="0"/>
                <w:i w:val="0"/>
                <w:sz w:val="20"/>
              </w:rPr>
              <w:t>285 000</w:t>
            </w:r>
          </w:p>
        </w:tc>
        <w:tc>
          <w:tcPr>
            <w:tcW w:type="dxa" w:w="1995"/>
          </w:tcPr>
          <w:p>
            <w:pPr>
              <w:spacing w:after="0" w:line="240" w:lineRule="auto"/>
              <w:ind w:firstLine="0"/>
              <w:jc w:val="center"/>
            </w:pPr>
            <w:r>
              <w:rPr>
                <w:b w:val="0"/>
                <w:i w:val="0"/>
                <w:sz w:val="20"/>
              </w:rPr>
              <w:t>270 000</w:t>
            </w:r>
          </w:p>
        </w:tc>
        <w:tc>
          <w:tcPr>
            <w:tcW w:type="dxa" w:w="1995"/>
          </w:tcPr>
          <w:p>
            <w:pPr>
              <w:spacing w:after="0" w:line="240" w:lineRule="auto"/>
              <w:ind w:firstLine="0"/>
              <w:jc w:val="center"/>
            </w:pPr>
            <w:r>
              <w:rPr>
                <w:b w:val="0"/>
                <w:i w:val="0"/>
                <w:sz w:val="20"/>
              </w:rPr>
              <w:t>−15 000</w:t>
            </w:r>
          </w:p>
        </w:tc>
        <w:tc>
          <w:tcPr>
            <w:tcW w:type="dxa" w:w="1995"/>
          </w:tcPr>
          <w:p>
            <w:pPr>
              <w:spacing w:after="0" w:line="240" w:lineRule="auto"/>
              <w:ind w:firstLine="0"/>
              <w:jc w:val="center"/>
            </w:pPr>
            <w:r>
              <w:rPr>
                <w:b w:val="0"/>
                <w:i w:val="0"/>
                <w:sz w:val="20"/>
              </w:rPr>
              <w:t>—</w:t>
            </w:r>
          </w:p>
        </w:tc>
      </w:tr>
    </w:tbl>
    <w:p>
      <w:pPr>
        <w:spacing w:after="180"/>
        <w:ind w:firstLine="0"/>
      </w:pPr>
      <w:r>
        <w:rPr>
          <w:i/>
          <w:sz w:val="20"/>
        </w:rPr>
        <w:t>Источник: Министерство промышленности и информатизации КНР; расчёт аналитического центра. С 2025 г. квоты не публикуются в полном объёме — приведена оценка</w:t>
      </w:r>
    </w:p>
    <w:p>
      <w:r>
        <w:rPr>
          <w:b w:val="0"/>
          <w:i w:val="0"/>
        </w:rPr>
        <w:t>Следует отметить, что квоты КНР распространяются исключительно на сырьё внутреннего происхождения; переработка импортного сырья (в том числе из Мьянмы, США и Лаоса) квотированию не подлежит и учитывается отдельно. Именно поэтому фактический объём разделения в КНР систематически превышает квоту на разделение на 40–70 тыс. т TREO в год.</w:t>
      </w:r>
    </w:p>
    <w:p>
      <w:pPr>
        <w:keepNext/>
        <w:spacing w:before="160" w:after="60"/>
        <w:ind w:firstLine="0"/>
        <w:jc w:val="left"/>
      </w:pPr>
      <w:r>
        <w:rPr>
          <w:b/>
          <w:sz w:val="22"/>
        </w:rPr>
        <w:t>Рисунок 16. Квоты КНР на добычу и разделение РЗМ, 2016–2025 гг., тыс. т TREO</w:t>
      </w:r>
    </w:p>
    <w:p>
      <w:pPr>
        <w:ind w:firstLine="0"/>
        <w:jc w:val="center"/>
      </w:pPr>
      <w:r>
        <w:drawing>
          <wp:inline xmlns:a="http://schemas.openxmlformats.org/drawingml/2006/main" xmlns:pic="http://schemas.openxmlformats.org/drawingml/2006/picture">
            <wp:extent cx="5580000" cy="2735373"/>
            <wp:docPr id="16" name="Picture 16"/>
            <wp:cNvGraphicFramePr>
              <a:graphicFrameLocks noChangeAspect="1"/>
            </wp:cNvGraphicFramePr>
            <a:graphic>
              <a:graphicData uri="http://schemas.openxmlformats.org/drawingml/2006/picture">
                <pic:pic>
                  <pic:nvPicPr>
                    <pic:cNvPr id="0" name="fig16.png"/>
                    <pic:cNvPicPr/>
                  </pic:nvPicPr>
                  <pic:blipFill>
                    <a:blip r:embed="rId26"/>
                    <a:stretch>
                      <a:fillRect/>
                    </a:stretch>
                  </pic:blipFill>
                  <pic:spPr>
                    <a:xfrm>
                      <a:off x="0" y="0"/>
                      <a:ext cx="5580000" cy="2735373"/>
                    </a:xfrm>
                    <a:prstGeom prst="rect"/>
                  </pic:spPr>
                </pic:pic>
              </a:graphicData>
            </a:graphic>
          </wp:inline>
        </w:drawing>
      </w:r>
    </w:p>
    <w:p>
      <w:pPr>
        <w:spacing w:after="180"/>
        <w:ind w:firstLine="0"/>
      </w:pPr>
      <w:r>
        <w:rPr>
          <w:i/>
          <w:sz w:val="20"/>
        </w:rPr>
        <w:t>Источник: Министерство промышленности и информатизации КНР; оценка за 2025 г.</w:t>
      </w:r>
    </w:p>
    <w:p>
      <w:pPr>
        <w:pStyle w:val="Heading2"/>
      </w:pPr>
      <w:r>
        <w:rPr>
          <w:b w:val="0"/>
          <w:i w:val="0"/>
        </w:rPr>
        <w:t>3.7. Импорт редкоземельного сырья в КНР</w:t>
      </w:r>
    </w:p>
    <w:p>
      <w:r>
        <w:rPr>
          <w:b w:val="0"/>
          <w:i w:val="0"/>
        </w:rPr>
        <w:t>Начиная с 2018 г. Китай стал крупнейшим в мире импортёром редкоземельного сырья. Это на первый взгляд парадоксальное обстоятельство отражает суть сложившейся модели: КНР сознательно сокращает нагрузку на собственную сырьевую базу и экологию, импортируя концентраты для загрузки своих разделительных мощностей.</w:t>
      </w:r>
    </w:p>
    <w:p>
      <w:r>
        <w:rPr>
          <w:b w:val="0"/>
          <w:i w:val="0"/>
        </w:rPr>
        <w:t>Ключевые поставщики: США (концентрат Mountain Pass — до 2023 г. практически весь объём, впоследствии сокращающаяся доля), Мьянма (ионно-адсорбционные концентраты и карбонаты), Малайзия, Таиланд, Лаос, Нигерия, Мадагаскар, Австралия, Россия.</w:t>
      </w:r>
    </w:p>
    <w:p>
      <w:pPr>
        <w:keepNext/>
        <w:spacing w:before="160" w:after="60"/>
        <w:ind w:firstLine="0"/>
        <w:jc w:val="left"/>
      </w:pPr>
      <w:r>
        <w:rPr>
          <w:b/>
          <w:sz w:val="22"/>
        </w:rPr>
        <w:t>Таблица 22. Импорт редкоземельного сырья в КНР по странам происхождения, 2019–2024 гг., т физического веса</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Страна</w:t>
            </w:r>
          </w:p>
        </w:tc>
        <w:tc>
          <w:tcPr>
            <w:tcW w:type="dxa" w:w="1425"/>
            <w:shd w:val="clear" w:fill="DCE6F1"/>
          </w:tcPr>
          <w:p>
            <w:pPr>
              <w:spacing w:after="0" w:line="240" w:lineRule="auto"/>
              <w:ind w:firstLine="0"/>
              <w:jc w:val="center"/>
            </w:pPr>
            <w:r>
              <w:rPr>
                <w:b/>
                <w:i w:val="0"/>
                <w:sz w:val="20"/>
              </w:rPr>
              <w:t>2019</w:t>
            </w:r>
          </w:p>
        </w:tc>
        <w:tc>
          <w:tcPr>
            <w:tcW w:type="dxa" w:w="1425"/>
            <w:shd w:val="clear" w:fill="DCE6F1"/>
          </w:tcPr>
          <w:p>
            <w:pPr>
              <w:spacing w:after="0" w:line="240" w:lineRule="auto"/>
              <w:ind w:firstLine="0"/>
              <w:jc w:val="center"/>
            </w:pPr>
            <w:r>
              <w:rPr>
                <w:b/>
                <w:i w:val="0"/>
                <w:sz w:val="20"/>
              </w:rPr>
              <w:t>2020</w:t>
            </w:r>
          </w:p>
        </w:tc>
        <w:tc>
          <w:tcPr>
            <w:tcW w:type="dxa" w:w="1425"/>
            <w:shd w:val="clear" w:fill="DCE6F1"/>
          </w:tcPr>
          <w:p>
            <w:pPr>
              <w:spacing w:after="0" w:line="240" w:lineRule="auto"/>
              <w:ind w:firstLine="0"/>
              <w:jc w:val="center"/>
            </w:pPr>
            <w:r>
              <w:rPr>
                <w:b/>
                <w:i w:val="0"/>
                <w:sz w:val="20"/>
              </w:rPr>
              <w:t>2021</w:t>
            </w:r>
          </w:p>
        </w:tc>
        <w:tc>
          <w:tcPr>
            <w:tcW w:type="dxa" w:w="1425"/>
            <w:shd w:val="clear" w:fill="DCE6F1"/>
          </w:tcPr>
          <w:p>
            <w:pPr>
              <w:spacing w:after="0" w:line="240" w:lineRule="auto"/>
              <w:ind w:firstLine="0"/>
              <w:jc w:val="center"/>
            </w:pPr>
            <w:r>
              <w:rPr>
                <w:b/>
                <w:i w:val="0"/>
                <w:sz w:val="20"/>
              </w:rPr>
              <w:t>2022</w:t>
            </w:r>
          </w:p>
        </w:tc>
        <w:tc>
          <w:tcPr>
            <w:tcW w:type="dxa" w:w="1425"/>
            <w:shd w:val="clear" w:fill="DCE6F1"/>
          </w:tcPr>
          <w:p>
            <w:pPr>
              <w:spacing w:after="0" w:line="240" w:lineRule="auto"/>
              <w:ind w:firstLine="0"/>
              <w:jc w:val="center"/>
            </w:pPr>
            <w:r>
              <w:rPr>
                <w:b/>
                <w:i w:val="0"/>
                <w:sz w:val="20"/>
              </w:rPr>
              <w:t>2023</w:t>
            </w:r>
          </w:p>
        </w:tc>
        <w:tc>
          <w:tcPr>
            <w:tcW w:type="dxa" w:w="1425"/>
            <w:shd w:val="clear" w:fill="DCE6F1"/>
          </w:tcPr>
          <w:p>
            <w:pPr>
              <w:spacing w:after="0" w:line="240" w:lineRule="auto"/>
              <w:ind w:firstLine="0"/>
              <w:jc w:val="center"/>
            </w:pPr>
            <w:r>
              <w:rPr>
                <w:b/>
                <w:i w:val="0"/>
                <w:sz w:val="20"/>
              </w:rPr>
              <w:t>2024</w:t>
            </w:r>
          </w:p>
        </w:tc>
      </w:tr>
      <w:tr>
        <w:tc>
          <w:tcPr>
            <w:tcW w:type="dxa" w:w="1425"/>
          </w:tcPr>
          <w:p>
            <w:pPr>
              <w:spacing w:after="0" w:line="240" w:lineRule="auto"/>
              <w:ind w:firstLine="0"/>
              <w:jc w:val="left"/>
            </w:pPr>
            <w:r>
              <w:rPr>
                <w:b w:val="0"/>
                <w:i w:val="0"/>
                <w:sz w:val="20"/>
              </w:rPr>
              <w:t>США</w:t>
            </w:r>
          </w:p>
        </w:tc>
        <w:tc>
          <w:tcPr>
            <w:tcW w:type="dxa" w:w="1425"/>
          </w:tcPr>
          <w:p>
            <w:pPr>
              <w:spacing w:after="0" w:line="240" w:lineRule="auto"/>
              <w:ind w:firstLine="0"/>
              <w:jc w:val="center"/>
            </w:pPr>
            <w:r>
              <w:rPr>
                <w:b w:val="0"/>
                <w:i w:val="0"/>
                <w:sz w:val="20"/>
              </w:rPr>
              <w:t>52 000</w:t>
            </w:r>
          </w:p>
        </w:tc>
        <w:tc>
          <w:tcPr>
            <w:tcW w:type="dxa" w:w="1425"/>
          </w:tcPr>
          <w:p>
            <w:pPr>
              <w:spacing w:after="0" w:line="240" w:lineRule="auto"/>
              <w:ind w:firstLine="0"/>
              <w:jc w:val="center"/>
            </w:pPr>
            <w:r>
              <w:rPr>
                <w:b w:val="0"/>
                <w:i w:val="0"/>
                <w:sz w:val="20"/>
              </w:rPr>
              <w:t>41 000</w:t>
            </w:r>
          </w:p>
        </w:tc>
        <w:tc>
          <w:tcPr>
            <w:tcW w:type="dxa" w:w="1425"/>
          </w:tcPr>
          <w:p>
            <w:pPr>
              <w:spacing w:after="0" w:line="240" w:lineRule="auto"/>
              <w:ind w:firstLine="0"/>
              <w:jc w:val="center"/>
            </w:pPr>
            <w:r>
              <w:rPr>
                <w:b w:val="0"/>
                <w:i w:val="0"/>
                <w:sz w:val="20"/>
              </w:rPr>
              <w:t>45 000</w:t>
            </w:r>
          </w:p>
        </w:tc>
        <w:tc>
          <w:tcPr>
            <w:tcW w:type="dxa" w:w="1425"/>
          </w:tcPr>
          <w:p>
            <w:pPr>
              <w:spacing w:after="0" w:line="240" w:lineRule="auto"/>
              <w:ind w:firstLine="0"/>
              <w:jc w:val="center"/>
            </w:pPr>
            <w:r>
              <w:rPr>
                <w:b w:val="0"/>
                <w:i w:val="0"/>
                <w:sz w:val="20"/>
              </w:rPr>
              <w:t>51 000</w:t>
            </w:r>
          </w:p>
        </w:tc>
        <w:tc>
          <w:tcPr>
            <w:tcW w:type="dxa" w:w="1425"/>
          </w:tcPr>
          <w:p>
            <w:pPr>
              <w:spacing w:after="0" w:line="240" w:lineRule="auto"/>
              <w:ind w:firstLine="0"/>
              <w:jc w:val="center"/>
            </w:pPr>
            <w:r>
              <w:rPr>
                <w:b w:val="0"/>
                <w:i w:val="0"/>
                <w:sz w:val="20"/>
              </w:rPr>
              <w:t>41 000</w:t>
            </w:r>
          </w:p>
        </w:tc>
        <w:tc>
          <w:tcPr>
            <w:tcW w:type="dxa" w:w="1425"/>
          </w:tcPr>
          <w:p>
            <w:pPr>
              <w:spacing w:after="0" w:line="240" w:lineRule="auto"/>
              <w:ind w:firstLine="0"/>
              <w:jc w:val="center"/>
            </w:pPr>
            <w:r>
              <w:rPr>
                <w:b w:val="0"/>
                <w:i w:val="0"/>
                <w:sz w:val="20"/>
              </w:rPr>
              <w:t>33 000</w:t>
            </w:r>
          </w:p>
        </w:tc>
      </w:tr>
      <w:tr>
        <w:tc>
          <w:tcPr>
            <w:tcW w:type="dxa" w:w="1425"/>
          </w:tcPr>
          <w:p>
            <w:pPr>
              <w:spacing w:after="0" w:line="240" w:lineRule="auto"/>
              <w:ind w:firstLine="0"/>
              <w:jc w:val="left"/>
            </w:pPr>
            <w:r>
              <w:rPr>
                <w:b w:val="0"/>
                <w:i w:val="0"/>
                <w:sz w:val="20"/>
              </w:rPr>
              <w:t>Мьянма</w:t>
            </w:r>
          </w:p>
        </w:tc>
        <w:tc>
          <w:tcPr>
            <w:tcW w:type="dxa" w:w="1425"/>
          </w:tcPr>
          <w:p>
            <w:pPr>
              <w:spacing w:after="0" w:line="240" w:lineRule="auto"/>
              <w:ind w:firstLine="0"/>
              <w:jc w:val="center"/>
            </w:pPr>
            <w:r>
              <w:rPr>
                <w:b w:val="0"/>
                <w:i w:val="0"/>
                <w:sz w:val="20"/>
              </w:rPr>
              <w:t>25 000</w:t>
            </w:r>
          </w:p>
        </w:tc>
        <w:tc>
          <w:tcPr>
            <w:tcW w:type="dxa" w:w="1425"/>
          </w:tcPr>
          <w:p>
            <w:pPr>
              <w:spacing w:after="0" w:line="240" w:lineRule="auto"/>
              <w:ind w:firstLine="0"/>
              <w:jc w:val="center"/>
            </w:pPr>
            <w:r>
              <w:rPr>
                <w:b w:val="0"/>
                <w:i w:val="0"/>
                <w:sz w:val="20"/>
              </w:rPr>
              <w:t>35 000</w:t>
            </w:r>
          </w:p>
        </w:tc>
        <w:tc>
          <w:tcPr>
            <w:tcW w:type="dxa" w:w="1425"/>
          </w:tcPr>
          <w:p>
            <w:pPr>
              <w:spacing w:after="0" w:line="240" w:lineRule="auto"/>
              <w:ind w:firstLine="0"/>
              <w:jc w:val="center"/>
            </w:pPr>
            <w:r>
              <w:rPr>
                <w:b w:val="0"/>
                <w:i w:val="0"/>
                <w:sz w:val="20"/>
              </w:rPr>
              <w:t>40 000</w:t>
            </w:r>
          </w:p>
        </w:tc>
        <w:tc>
          <w:tcPr>
            <w:tcW w:type="dxa" w:w="1425"/>
          </w:tcPr>
          <w:p>
            <w:pPr>
              <w:spacing w:after="0" w:line="240" w:lineRule="auto"/>
              <w:ind w:firstLine="0"/>
              <w:jc w:val="center"/>
            </w:pPr>
            <w:r>
              <w:rPr>
                <w:b w:val="0"/>
                <w:i w:val="0"/>
                <w:sz w:val="20"/>
              </w:rPr>
              <w:t>46 000</w:t>
            </w:r>
          </w:p>
        </w:tc>
        <w:tc>
          <w:tcPr>
            <w:tcW w:type="dxa" w:w="1425"/>
          </w:tcPr>
          <w:p>
            <w:pPr>
              <w:spacing w:after="0" w:line="240" w:lineRule="auto"/>
              <w:ind w:firstLine="0"/>
              <w:jc w:val="center"/>
            </w:pPr>
            <w:r>
              <w:rPr>
                <w:b w:val="0"/>
                <w:i w:val="0"/>
                <w:sz w:val="20"/>
              </w:rPr>
              <w:t>42 000</w:t>
            </w:r>
          </w:p>
        </w:tc>
        <w:tc>
          <w:tcPr>
            <w:tcW w:type="dxa" w:w="1425"/>
          </w:tcPr>
          <w:p>
            <w:pPr>
              <w:spacing w:after="0" w:line="240" w:lineRule="auto"/>
              <w:ind w:firstLine="0"/>
              <w:jc w:val="center"/>
            </w:pPr>
            <w:r>
              <w:rPr>
                <w:b w:val="0"/>
                <w:i w:val="0"/>
                <w:sz w:val="20"/>
              </w:rPr>
              <w:t>31 000</w:t>
            </w:r>
          </w:p>
        </w:tc>
      </w:tr>
      <w:tr>
        <w:tc>
          <w:tcPr>
            <w:tcW w:type="dxa" w:w="1425"/>
          </w:tcPr>
          <w:p>
            <w:pPr>
              <w:spacing w:after="0" w:line="240" w:lineRule="auto"/>
              <w:ind w:firstLine="0"/>
              <w:jc w:val="left"/>
            </w:pPr>
            <w:r>
              <w:rPr>
                <w:b w:val="0"/>
                <w:i w:val="0"/>
                <w:sz w:val="20"/>
              </w:rPr>
              <w:t>Малайзия</w:t>
            </w:r>
          </w:p>
        </w:tc>
        <w:tc>
          <w:tcPr>
            <w:tcW w:type="dxa" w:w="1425"/>
          </w:tcPr>
          <w:p>
            <w:pPr>
              <w:spacing w:after="0" w:line="240" w:lineRule="auto"/>
              <w:ind w:firstLine="0"/>
              <w:jc w:val="center"/>
            </w:pPr>
            <w:r>
              <w:rPr>
                <w:b w:val="0"/>
                <w:i w:val="0"/>
                <w:sz w:val="20"/>
              </w:rPr>
              <w:t>12 000</w:t>
            </w:r>
          </w:p>
        </w:tc>
        <w:tc>
          <w:tcPr>
            <w:tcW w:type="dxa" w:w="1425"/>
          </w:tcPr>
          <w:p>
            <w:pPr>
              <w:spacing w:after="0" w:line="240" w:lineRule="auto"/>
              <w:ind w:firstLine="0"/>
              <w:jc w:val="center"/>
            </w:pPr>
            <w:r>
              <w:rPr>
                <w:b w:val="0"/>
                <w:i w:val="0"/>
                <w:sz w:val="20"/>
              </w:rPr>
              <w:t>15 000</w:t>
            </w:r>
          </w:p>
        </w:tc>
        <w:tc>
          <w:tcPr>
            <w:tcW w:type="dxa" w:w="1425"/>
          </w:tcPr>
          <w:p>
            <w:pPr>
              <w:spacing w:after="0" w:line="240" w:lineRule="auto"/>
              <w:ind w:firstLine="0"/>
              <w:jc w:val="center"/>
            </w:pPr>
            <w:r>
              <w:rPr>
                <w:b w:val="0"/>
                <w:i w:val="0"/>
                <w:sz w:val="20"/>
              </w:rPr>
              <w:t>18 000</w:t>
            </w:r>
          </w:p>
        </w:tc>
        <w:tc>
          <w:tcPr>
            <w:tcW w:type="dxa" w:w="1425"/>
          </w:tcPr>
          <w:p>
            <w:pPr>
              <w:spacing w:after="0" w:line="240" w:lineRule="auto"/>
              <w:ind w:firstLine="0"/>
              <w:jc w:val="center"/>
            </w:pPr>
            <w:r>
              <w:rPr>
                <w:b w:val="0"/>
                <w:i w:val="0"/>
                <w:sz w:val="20"/>
              </w:rPr>
              <w:t>20 000</w:t>
            </w:r>
          </w:p>
        </w:tc>
        <w:tc>
          <w:tcPr>
            <w:tcW w:type="dxa" w:w="1425"/>
          </w:tcPr>
          <w:p>
            <w:pPr>
              <w:spacing w:after="0" w:line="240" w:lineRule="auto"/>
              <w:ind w:firstLine="0"/>
              <w:jc w:val="center"/>
            </w:pPr>
            <w:r>
              <w:rPr>
                <w:b w:val="0"/>
                <w:i w:val="0"/>
                <w:sz w:val="20"/>
              </w:rPr>
              <w:t>17 000</w:t>
            </w:r>
          </w:p>
        </w:tc>
        <w:tc>
          <w:tcPr>
            <w:tcW w:type="dxa" w:w="1425"/>
          </w:tcPr>
          <w:p>
            <w:pPr>
              <w:spacing w:after="0" w:line="240" w:lineRule="auto"/>
              <w:ind w:firstLine="0"/>
              <w:jc w:val="center"/>
            </w:pPr>
            <w:r>
              <w:rPr>
                <w:b w:val="0"/>
                <w:i w:val="0"/>
                <w:sz w:val="20"/>
              </w:rPr>
              <w:t>14 000</w:t>
            </w:r>
          </w:p>
        </w:tc>
      </w:tr>
      <w:tr>
        <w:tc>
          <w:tcPr>
            <w:tcW w:type="dxa" w:w="1425"/>
          </w:tcPr>
          <w:p>
            <w:pPr>
              <w:spacing w:after="0" w:line="240" w:lineRule="auto"/>
              <w:ind w:firstLine="0"/>
              <w:jc w:val="left"/>
            </w:pPr>
            <w:r>
              <w:rPr>
                <w:b w:val="0"/>
                <w:i w:val="0"/>
                <w:sz w:val="20"/>
              </w:rPr>
              <w:t>Таиланд</w:t>
            </w:r>
          </w:p>
        </w:tc>
        <w:tc>
          <w:tcPr>
            <w:tcW w:type="dxa" w:w="1425"/>
          </w:tcPr>
          <w:p>
            <w:pPr>
              <w:spacing w:after="0" w:line="240" w:lineRule="auto"/>
              <w:ind w:firstLine="0"/>
              <w:jc w:val="center"/>
            </w:pPr>
            <w:r>
              <w:rPr>
                <w:b w:val="0"/>
                <w:i w:val="0"/>
                <w:sz w:val="20"/>
              </w:rPr>
              <w:t>3 000</w:t>
            </w:r>
          </w:p>
        </w:tc>
        <w:tc>
          <w:tcPr>
            <w:tcW w:type="dxa" w:w="1425"/>
          </w:tcPr>
          <w:p>
            <w:pPr>
              <w:spacing w:after="0" w:line="240" w:lineRule="auto"/>
              <w:ind w:firstLine="0"/>
              <w:jc w:val="center"/>
            </w:pPr>
            <w:r>
              <w:rPr>
                <w:b w:val="0"/>
                <w:i w:val="0"/>
                <w:sz w:val="20"/>
              </w:rPr>
              <w:t>5 000</w:t>
            </w:r>
          </w:p>
        </w:tc>
        <w:tc>
          <w:tcPr>
            <w:tcW w:type="dxa" w:w="1425"/>
          </w:tcPr>
          <w:p>
            <w:pPr>
              <w:spacing w:after="0" w:line="240" w:lineRule="auto"/>
              <w:ind w:firstLine="0"/>
              <w:jc w:val="center"/>
            </w:pPr>
            <w:r>
              <w:rPr>
                <w:b w:val="0"/>
                <w:i w:val="0"/>
                <w:sz w:val="20"/>
              </w:rPr>
              <w:t>12 000</w:t>
            </w:r>
          </w:p>
        </w:tc>
        <w:tc>
          <w:tcPr>
            <w:tcW w:type="dxa" w:w="1425"/>
          </w:tcPr>
          <w:p>
            <w:pPr>
              <w:spacing w:after="0" w:line="240" w:lineRule="auto"/>
              <w:ind w:firstLine="0"/>
              <w:jc w:val="center"/>
            </w:pPr>
            <w:r>
              <w:rPr>
                <w:b w:val="0"/>
                <w:i w:val="0"/>
                <w:sz w:val="20"/>
              </w:rPr>
              <w:t>15 000</w:t>
            </w:r>
          </w:p>
        </w:tc>
        <w:tc>
          <w:tcPr>
            <w:tcW w:type="dxa" w:w="1425"/>
          </w:tcPr>
          <w:p>
            <w:pPr>
              <w:spacing w:after="0" w:line="240" w:lineRule="auto"/>
              <w:ind w:firstLine="0"/>
              <w:jc w:val="center"/>
            </w:pPr>
            <w:r>
              <w:rPr>
                <w:b w:val="0"/>
                <w:i w:val="0"/>
                <w:sz w:val="20"/>
              </w:rPr>
              <w:t>8 000</w:t>
            </w:r>
          </w:p>
        </w:tc>
        <w:tc>
          <w:tcPr>
            <w:tcW w:type="dxa" w:w="1425"/>
          </w:tcPr>
          <w:p>
            <w:pPr>
              <w:spacing w:after="0" w:line="240" w:lineRule="auto"/>
              <w:ind w:firstLine="0"/>
              <w:jc w:val="center"/>
            </w:pPr>
            <w:r>
              <w:rPr>
                <w:b w:val="0"/>
                <w:i w:val="0"/>
                <w:sz w:val="20"/>
              </w:rPr>
              <w:t>22 000</w:t>
            </w:r>
          </w:p>
        </w:tc>
      </w:tr>
      <w:tr>
        <w:tc>
          <w:tcPr>
            <w:tcW w:type="dxa" w:w="1425"/>
          </w:tcPr>
          <w:p>
            <w:pPr>
              <w:spacing w:after="0" w:line="240" w:lineRule="auto"/>
              <w:ind w:firstLine="0"/>
              <w:jc w:val="left"/>
            </w:pPr>
            <w:r>
              <w:rPr>
                <w:b w:val="0"/>
                <w:i w:val="0"/>
                <w:sz w:val="20"/>
              </w:rPr>
              <w:t>Лаос</w:t>
            </w:r>
          </w:p>
        </w:tc>
        <w:tc>
          <w:tcPr>
            <w:tcW w:type="dxa" w:w="1425"/>
          </w:tcPr>
          <w:p>
            <w:pPr>
              <w:spacing w:after="0" w:line="240" w:lineRule="auto"/>
              <w:ind w:firstLine="0"/>
              <w:jc w:val="center"/>
            </w:pPr>
            <w:r>
              <w:rPr>
                <w:b w:val="0"/>
                <w:i w:val="0"/>
                <w:sz w:val="20"/>
              </w:rPr>
              <w:t>2 000</w:t>
            </w:r>
          </w:p>
        </w:tc>
        <w:tc>
          <w:tcPr>
            <w:tcW w:type="dxa" w:w="1425"/>
          </w:tcPr>
          <w:p>
            <w:pPr>
              <w:spacing w:after="0" w:line="240" w:lineRule="auto"/>
              <w:ind w:firstLine="0"/>
              <w:jc w:val="center"/>
            </w:pPr>
            <w:r>
              <w:rPr>
                <w:b w:val="0"/>
                <w:i w:val="0"/>
                <w:sz w:val="20"/>
              </w:rPr>
              <w:t>4 000</w:t>
            </w:r>
          </w:p>
        </w:tc>
        <w:tc>
          <w:tcPr>
            <w:tcW w:type="dxa" w:w="1425"/>
          </w:tcPr>
          <w:p>
            <w:pPr>
              <w:spacing w:after="0" w:line="240" w:lineRule="auto"/>
              <w:ind w:firstLine="0"/>
              <w:jc w:val="center"/>
            </w:pPr>
            <w:r>
              <w:rPr>
                <w:b w:val="0"/>
                <w:i w:val="0"/>
                <w:sz w:val="20"/>
              </w:rPr>
              <w:t>8 000</w:t>
            </w:r>
          </w:p>
        </w:tc>
        <w:tc>
          <w:tcPr>
            <w:tcW w:type="dxa" w:w="1425"/>
          </w:tcPr>
          <w:p>
            <w:pPr>
              <w:spacing w:after="0" w:line="240" w:lineRule="auto"/>
              <w:ind w:firstLine="0"/>
              <w:jc w:val="center"/>
            </w:pPr>
            <w:r>
              <w:rPr>
                <w:b w:val="0"/>
                <w:i w:val="0"/>
                <w:sz w:val="20"/>
              </w:rPr>
              <w:t>12 000</w:t>
            </w:r>
          </w:p>
        </w:tc>
        <w:tc>
          <w:tcPr>
            <w:tcW w:type="dxa" w:w="1425"/>
          </w:tcPr>
          <w:p>
            <w:pPr>
              <w:spacing w:after="0" w:line="240" w:lineRule="auto"/>
              <w:ind w:firstLine="0"/>
              <w:jc w:val="center"/>
            </w:pPr>
            <w:r>
              <w:rPr>
                <w:b w:val="0"/>
                <w:i w:val="0"/>
                <w:sz w:val="20"/>
              </w:rPr>
              <w:t>15 000</w:t>
            </w:r>
          </w:p>
        </w:tc>
        <w:tc>
          <w:tcPr>
            <w:tcW w:type="dxa" w:w="1425"/>
          </w:tcPr>
          <w:p>
            <w:pPr>
              <w:spacing w:after="0" w:line="240" w:lineRule="auto"/>
              <w:ind w:firstLine="0"/>
              <w:jc w:val="center"/>
            </w:pPr>
            <w:r>
              <w:rPr>
                <w:b w:val="0"/>
                <w:i w:val="0"/>
                <w:sz w:val="20"/>
              </w:rPr>
              <w:t>18 000</w:t>
            </w:r>
          </w:p>
        </w:tc>
      </w:tr>
      <w:tr>
        <w:tc>
          <w:tcPr>
            <w:tcW w:type="dxa" w:w="1425"/>
          </w:tcPr>
          <w:p>
            <w:pPr>
              <w:spacing w:after="0" w:line="240" w:lineRule="auto"/>
              <w:ind w:firstLine="0"/>
              <w:jc w:val="left"/>
            </w:pPr>
            <w:r>
              <w:rPr>
                <w:b w:val="0"/>
                <w:i w:val="0"/>
                <w:sz w:val="20"/>
              </w:rPr>
              <w:t>Нигерия</w:t>
            </w:r>
          </w:p>
        </w:tc>
        <w:tc>
          <w:tcPr>
            <w:tcW w:type="dxa" w:w="1425"/>
          </w:tcPr>
          <w:p>
            <w:pPr>
              <w:spacing w:after="0" w:line="240" w:lineRule="auto"/>
              <w:ind w:firstLine="0"/>
              <w:jc w:val="center"/>
            </w:pPr>
            <w:r>
              <w:rPr>
                <w:b w:val="0"/>
                <w:i w:val="0"/>
                <w:sz w:val="20"/>
              </w:rPr>
              <w:t>500</w:t>
            </w:r>
          </w:p>
        </w:tc>
        <w:tc>
          <w:tcPr>
            <w:tcW w:type="dxa" w:w="1425"/>
          </w:tcPr>
          <w:p>
            <w:pPr>
              <w:spacing w:after="0" w:line="240" w:lineRule="auto"/>
              <w:ind w:firstLine="0"/>
              <w:jc w:val="center"/>
            </w:pPr>
            <w:r>
              <w:rPr>
                <w:b w:val="0"/>
                <w:i w:val="0"/>
                <w:sz w:val="20"/>
              </w:rPr>
              <w:t>1 200</w:t>
            </w:r>
          </w:p>
        </w:tc>
        <w:tc>
          <w:tcPr>
            <w:tcW w:type="dxa" w:w="1425"/>
          </w:tcPr>
          <w:p>
            <w:pPr>
              <w:spacing w:after="0" w:line="240" w:lineRule="auto"/>
              <w:ind w:firstLine="0"/>
              <w:jc w:val="center"/>
            </w:pPr>
            <w:r>
              <w:rPr>
                <w:b w:val="0"/>
                <w:i w:val="0"/>
                <w:sz w:val="20"/>
              </w:rPr>
              <w:t>3 000</w:t>
            </w:r>
          </w:p>
        </w:tc>
        <w:tc>
          <w:tcPr>
            <w:tcW w:type="dxa" w:w="1425"/>
          </w:tcPr>
          <w:p>
            <w:pPr>
              <w:spacing w:after="0" w:line="240" w:lineRule="auto"/>
              <w:ind w:firstLine="0"/>
              <w:jc w:val="center"/>
            </w:pPr>
            <w:r>
              <w:rPr>
                <w:b w:val="0"/>
                <w:i w:val="0"/>
                <w:sz w:val="20"/>
              </w:rPr>
              <w:t>7 000</w:t>
            </w:r>
          </w:p>
        </w:tc>
        <w:tc>
          <w:tcPr>
            <w:tcW w:type="dxa" w:w="1425"/>
          </w:tcPr>
          <w:p>
            <w:pPr>
              <w:spacing w:after="0" w:line="240" w:lineRule="auto"/>
              <w:ind w:firstLine="0"/>
              <w:jc w:val="center"/>
            </w:pPr>
            <w:r>
              <w:rPr>
                <w:b w:val="0"/>
                <w:i w:val="0"/>
                <w:sz w:val="20"/>
              </w:rPr>
              <w:t>12 000</w:t>
            </w:r>
          </w:p>
        </w:tc>
        <w:tc>
          <w:tcPr>
            <w:tcW w:type="dxa" w:w="1425"/>
          </w:tcPr>
          <w:p>
            <w:pPr>
              <w:spacing w:after="0" w:line="240" w:lineRule="auto"/>
              <w:ind w:firstLine="0"/>
              <w:jc w:val="center"/>
            </w:pPr>
            <w:r>
              <w:rPr>
                <w:b w:val="0"/>
                <w:i w:val="0"/>
                <w:sz w:val="20"/>
              </w:rPr>
              <w:t>21 000</w:t>
            </w:r>
          </w:p>
        </w:tc>
      </w:tr>
      <w:tr>
        <w:tc>
          <w:tcPr>
            <w:tcW w:type="dxa" w:w="1425"/>
          </w:tcPr>
          <w:p>
            <w:pPr>
              <w:spacing w:after="0" w:line="240" w:lineRule="auto"/>
              <w:ind w:firstLine="0"/>
              <w:jc w:val="left"/>
            </w:pPr>
            <w:r>
              <w:rPr>
                <w:b w:val="0"/>
                <w:i w:val="0"/>
                <w:sz w:val="20"/>
              </w:rPr>
              <w:t>Мадагаскар</w:t>
            </w:r>
          </w:p>
        </w:tc>
        <w:tc>
          <w:tcPr>
            <w:tcW w:type="dxa" w:w="1425"/>
          </w:tcPr>
          <w:p>
            <w:pPr>
              <w:spacing w:after="0" w:line="240" w:lineRule="auto"/>
              <w:ind w:firstLine="0"/>
              <w:jc w:val="center"/>
            </w:pPr>
            <w:r>
              <w:rPr>
                <w:b w:val="0"/>
                <w:i w:val="0"/>
                <w:sz w:val="20"/>
              </w:rPr>
              <w:t>1 000</w:t>
            </w:r>
          </w:p>
        </w:tc>
        <w:tc>
          <w:tcPr>
            <w:tcW w:type="dxa" w:w="1425"/>
          </w:tcPr>
          <w:p>
            <w:pPr>
              <w:spacing w:after="0" w:line="240" w:lineRule="auto"/>
              <w:ind w:firstLine="0"/>
              <w:jc w:val="center"/>
            </w:pPr>
            <w:r>
              <w:rPr>
                <w:b w:val="0"/>
                <w:i w:val="0"/>
                <w:sz w:val="20"/>
              </w:rPr>
              <w:t>2 500</w:t>
            </w:r>
          </w:p>
        </w:tc>
        <w:tc>
          <w:tcPr>
            <w:tcW w:type="dxa" w:w="1425"/>
          </w:tcPr>
          <w:p>
            <w:pPr>
              <w:spacing w:after="0" w:line="240" w:lineRule="auto"/>
              <w:ind w:firstLine="0"/>
              <w:jc w:val="center"/>
            </w:pPr>
            <w:r>
              <w:rPr>
                <w:b w:val="0"/>
                <w:i w:val="0"/>
                <w:sz w:val="20"/>
              </w:rPr>
              <w:t>4 000</w:t>
            </w:r>
          </w:p>
        </w:tc>
        <w:tc>
          <w:tcPr>
            <w:tcW w:type="dxa" w:w="1425"/>
          </w:tcPr>
          <w:p>
            <w:pPr>
              <w:spacing w:after="0" w:line="240" w:lineRule="auto"/>
              <w:ind w:firstLine="0"/>
              <w:jc w:val="center"/>
            </w:pPr>
            <w:r>
              <w:rPr>
                <w:b w:val="0"/>
                <w:i w:val="0"/>
                <w:sz w:val="20"/>
              </w:rPr>
              <w:t>5 000</w:t>
            </w:r>
          </w:p>
        </w:tc>
        <w:tc>
          <w:tcPr>
            <w:tcW w:type="dxa" w:w="1425"/>
          </w:tcPr>
          <w:p>
            <w:pPr>
              <w:spacing w:after="0" w:line="240" w:lineRule="auto"/>
              <w:ind w:firstLine="0"/>
              <w:jc w:val="center"/>
            </w:pPr>
            <w:r>
              <w:rPr>
                <w:b w:val="0"/>
                <w:i w:val="0"/>
                <w:sz w:val="20"/>
              </w:rPr>
              <w:t>2 000</w:t>
            </w:r>
          </w:p>
        </w:tc>
        <w:tc>
          <w:tcPr>
            <w:tcW w:type="dxa" w:w="1425"/>
          </w:tcPr>
          <w:p>
            <w:pPr>
              <w:spacing w:after="0" w:line="240" w:lineRule="auto"/>
              <w:ind w:firstLine="0"/>
              <w:jc w:val="center"/>
            </w:pPr>
            <w:r>
              <w:rPr>
                <w:b w:val="0"/>
                <w:i w:val="0"/>
                <w:sz w:val="20"/>
              </w:rPr>
              <w:t>4 500</w:t>
            </w:r>
          </w:p>
        </w:tc>
      </w:tr>
      <w:tr>
        <w:tc>
          <w:tcPr>
            <w:tcW w:type="dxa" w:w="1425"/>
          </w:tcPr>
          <w:p>
            <w:pPr>
              <w:spacing w:after="0" w:line="240" w:lineRule="auto"/>
              <w:ind w:firstLine="0"/>
              <w:jc w:val="left"/>
            </w:pPr>
            <w:r>
              <w:rPr>
                <w:b w:val="0"/>
                <w:i w:val="0"/>
                <w:sz w:val="20"/>
              </w:rPr>
              <w:t>Россия</w:t>
            </w:r>
          </w:p>
        </w:tc>
        <w:tc>
          <w:tcPr>
            <w:tcW w:type="dxa" w:w="1425"/>
          </w:tcPr>
          <w:p>
            <w:pPr>
              <w:spacing w:after="0" w:line="240" w:lineRule="auto"/>
              <w:ind w:firstLine="0"/>
              <w:jc w:val="center"/>
            </w:pPr>
            <w:r>
              <w:rPr>
                <w:b w:val="0"/>
                <w:i w:val="0"/>
                <w:sz w:val="20"/>
              </w:rPr>
              <w:t>1 500</w:t>
            </w:r>
          </w:p>
        </w:tc>
        <w:tc>
          <w:tcPr>
            <w:tcW w:type="dxa" w:w="1425"/>
          </w:tcPr>
          <w:p>
            <w:pPr>
              <w:spacing w:after="0" w:line="240" w:lineRule="auto"/>
              <w:ind w:firstLine="0"/>
              <w:jc w:val="center"/>
            </w:pPr>
            <w:r>
              <w:rPr>
                <w:b w:val="0"/>
                <w:i w:val="0"/>
                <w:sz w:val="20"/>
              </w:rPr>
              <w:t>1 800</w:t>
            </w:r>
          </w:p>
        </w:tc>
        <w:tc>
          <w:tcPr>
            <w:tcW w:type="dxa" w:w="1425"/>
          </w:tcPr>
          <w:p>
            <w:pPr>
              <w:spacing w:after="0" w:line="240" w:lineRule="auto"/>
              <w:ind w:firstLine="0"/>
              <w:jc w:val="center"/>
            </w:pPr>
            <w:r>
              <w:rPr>
                <w:b w:val="0"/>
                <w:i w:val="0"/>
                <w:sz w:val="20"/>
              </w:rPr>
              <w:t>2 000</w:t>
            </w:r>
          </w:p>
        </w:tc>
        <w:tc>
          <w:tcPr>
            <w:tcW w:type="dxa" w:w="1425"/>
          </w:tcPr>
          <w:p>
            <w:pPr>
              <w:spacing w:after="0" w:line="240" w:lineRule="auto"/>
              <w:ind w:firstLine="0"/>
              <w:jc w:val="center"/>
            </w:pPr>
            <w:r>
              <w:rPr>
                <w:b w:val="0"/>
                <w:i w:val="0"/>
                <w:sz w:val="20"/>
              </w:rPr>
              <w:t>2 200</w:t>
            </w:r>
          </w:p>
        </w:tc>
        <w:tc>
          <w:tcPr>
            <w:tcW w:type="dxa" w:w="1425"/>
          </w:tcPr>
          <w:p>
            <w:pPr>
              <w:spacing w:after="0" w:line="240" w:lineRule="auto"/>
              <w:ind w:firstLine="0"/>
              <w:jc w:val="center"/>
            </w:pPr>
            <w:r>
              <w:rPr>
                <w:b w:val="0"/>
                <w:i w:val="0"/>
                <w:sz w:val="20"/>
              </w:rPr>
              <w:t>2 400</w:t>
            </w:r>
          </w:p>
        </w:tc>
        <w:tc>
          <w:tcPr>
            <w:tcW w:type="dxa" w:w="1425"/>
          </w:tcPr>
          <w:p>
            <w:pPr>
              <w:spacing w:after="0" w:line="240" w:lineRule="auto"/>
              <w:ind w:firstLine="0"/>
              <w:jc w:val="center"/>
            </w:pPr>
            <w:r>
              <w:rPr>
                <w:b w:val="0"/>
                <w:i w:val="0"/>
                <w:sz w:val="20"/>
              </w:rPr>
              <w:t>2 600</w:t>
            </w:r>
          </w:p>
        </w:tc>
      </w:tr>
      <w:tr>
        <w:tc>
          <w:tcPr>
            <w:tcW w:type="dxa" w:w="1425"/>
          </w:tcPr>
          <w:p>
            <w:pPr>
              <w:spacing w:after="0" w:line="240" w:lineRule="auto"/>
              <w:ind w:firstLine="0"/>
              <w:jc w:val="left"/>
            </w:pPr>
            <w:r>
              <w:rPr>
                <w:b w:val="0"/>
                <w:i w:val="0"/>
                <w:sz w:val="20"/>
              </w:rPr>
              <w:t>Прочие</w:t>
            </w:r>
          </w:p>
        </w:tc>
        <w:tc>
          <w:tcPr>
            <w:tcW w:type="dxa" w:w="1425"/>
          </w:tcPr>
          <w:p>
            <w:pPr>
              <w:spacing w:after="0" w:line="240" w:lineRule="auto"/>
              <w:ind w:firstLine="0"/>
              <w:jc w:val="center"/>
            </w:pPr>
            <w:r>
              <w:rPr>
                <w:b w:val="0"/>
                <w:i w:val="0"/>
                <w:sz w:val="20"/>
              </w:rPr>
              <w:t>4 000</w:t>
            </w:r>
          </w:p>
        </w:tc>
        <w:tc>
          <w:tcPr>
            <w:tcW w:type="dxa" w:w="1425"/>
          </w:tcPr>
          <w:p>
            <w:pPr>
              <w:spacing w:after="0" w:line="240" w:lineRule="auto"/>
              <w:ind w:firstLine="0"/>
              <w:jc w:val="center"/>
            </w:pPr>
            <w:r>
              <w:rPr>
                <w:b w:val="0"/>
                <w:i w:val="0"/>
                <w:sz w:val="20"/>
              </w:rPr>
              <w:t>5 500</w:t>
            </w:r>
          </w:p>
        </w:tc>
        <w:tc>
          <w:tcPr>
            <w:tcW w:type="dxa" w:w="1425"/>
          </w:tcPr>
          <w:p>
            <w:pPr>
              <w:spacing w:after="0" w:line="240" w:lineRule="auto"/>
              <w:ind w:firstLine="0"/>
              <w:jc w:val="center"/>
            </w:pPr>
            <w:r>
              <w:rPr>
                <w:b w:val="0"/>
                <w:i w:val="0"/>
                <w:sz w:val="20"/>
              </w:rPr>
              <w:t>8 000</w:t>
            </w:r>
          </w:p>
        </w:tc>
        <w:tc>
          <w:tcPr>
            <w:tcW w:type="dxa" w:w="1425"/>
          </w:tcPr>
          <w:p>
            <w:pPr>
              <w:spacing w:after="0" w:line="240" w:lineRule="auto"/>
              <w:ind w:firstLine="0"/>
              <w:jc w:val="center"/>
            </w:pPr>
            <w:r>
              <w:rPr>
                <w:b w:val="0"/>
                <w:i w:val="0"/>
                <w:sz w:val="20"/>
              </w:rPr>
              <w:t>9 800</w:t>
            </w:r>
          </w:p>
        </w:tc>
        <w:tc>
          <w:tcPr>
            <w:tcW w:type="dxa" w:w="1425"/>
          </w:tcPr>
          <w:p>
            <w:pPr>
              <w:spacing w:after="0" w:line="240" w:lineRule="auto"/>
              <w:ind w:firstLine="0"/>
              <w:jc w:val="center"/>
            </w:pPr>
            <w:r>
              <w:rPr>
                <w:b w:val="0"/>
                <w:i w:val="0"/>
                <w:sz w:val="20"/>
              </w:rPr>
              <w:t>11 600</w:t>
            </w:r>
          </w:p>
        </w:tc>
        <w:tc>
          <w:tcPr>
            <w:tcW w:type="dxa" w:w="1425"/>
          </w:tcPr>
          <w:p>
            <w:pPr>
              <w:spacing w:after="0" w:line="240" w:lineRule="auto"/>
              <w:ind w:firstLine="0"/>
              <w:jc w:val="center"/>
            </w:pPr>
            <w:r>
              <w:rPr>
                <w:b w:val="0"/>
                <w:i w:val="0"/>
                <w:sz w:val="20"/>
              </w:rPr>
              <w:t>13 400</w:t>
            </w:r>
          </w:p>
        </w:tc>
      </w:tr>
      <w:tr>
        <w:tc>
          <w:tcPr>
            <w:tcW w:type="dxa" w:w="1425"/>
          </w:tcPr>
          <w:p>
            <w:pPr>
              <w:spacing w:after="0" w:line="240" w:lineRule="auto"/>
              <w:ind w:firstLine="0"/>
              <w:jc w:val="left"/>
            </w:pPr>
            <w:r>
              <w:rPr>
                <w:b/>
                <w:i w:val="0"/>
                <w:sz w:val="20"/>
              </w:rPr>
              <w:t>Всего</w:t>
            </w:r>
          </w:p>
        </w:tc>
        <w:tc>
          <w:tcPr>
            <w:tcW w:type="dxa" w:w="1425"/>
          </w:tcPr>
          <w:p>
            <w:pPr>
              <w:spacing w:after="0" w:line="240" w:lineRule="auto"/>
              <w:ind w:firstLine="0"/>
              <w:jc w:val="center"/>
            </w:pPr>
            <w:r>
              <w:rPr>
                <w:b/>
                <w:i w:val="0"/>
                <w:sz w:val="20"/>
              </w:rPr>
              <w:t>101 000</w:t>
            </w:r>
          </w:p>
        </w:tc>
        <w:tc>
          <w:tcPr>
            <w:tcW w:type="dxa" w:w="1425"/>
          </w:tcPr>
          <w:p>
            <w:pPr>
              <w:spacing w:after="0" w:line="240" w:lineRule="auto"/>
              <w:ind w:firstLine="0"/>
              <w:jc w:val="center"/>
            </w:pPr>
            <w:r>
              <w:rPr>
                <w:b/>
                <w:i w:val="0"/>
                <w:sz w:val="20"/>
              </w:rPr>
              <w:t>111 000</w:t>
            </w:r>
          </w:p>
        </w:tc>
        <w:tc>
          <w:tcPr>
            <w:tcW w:type="dxa" w:w="1425"/>
          </w:tcPr>
          <w:p>
            <w:pPr>
              <w:spacing w:after="0" w:line="240" w:lineRule="auto"/>
              <w:ind w:firstLine="0"/>
              <w:jc w:val="center"/>
            </w:pPr>
            <w:r>
              <w:rPr>
                <w:b/>
                <w:i w:val="0"/>
                <w:sz w:val="20"/>
              </w:rPr>
              <w:t>140 000</w:t>
            </w:r>
          </w:p>
        </w:tc>
        <w:tc>
          <w:tcPr>
            <w:tcW w:type="dxa" w:w="1425"/>
          </w:tcPr>
          <w:p>
            <w:pPr>
              <w:spacing w:after="0" w:line="240" w:lineRule="auto"/>
              <w:ind w:firstLine="0"/>
              <w:jc w:val="center"/>
            </w:pPr>
            <w:r>
              <w:rPr>
                <w:b/>
                <w:i w:val="0"/>
                <w:sz w:val="20"/>
              </w:rPr>
              <w:t>168 000</w:t>
            </w:r>
          </w:p>
        </w:tc>
        <w:tc>
          <w:tcPr>
            <w:tcW w:type="dxa" w:w="1425"/>
          </w:tcPr>
          <w:p>
            <w:pPr>
              <w:spacing w:after="0" w:line="240" w:lineRule="auto"/>
              <w:ind w:firstLine="0"/>
              <w:jc w:val="center"/>
            </w:pPr>
            <w:r>
              <w:rPr>
                <w:b/>
                <w:i w:val="0"/>
                <w:sz w:val="20"/>
              </w:rPr>
              <w:t>151 000</w:t>
            </w:r>
          </w:p>
        </w:tc>
        <w:tc>
          <w:tcPr>
            <w:tcW w:type="dxa" w:w="1425"/>
          </w:tcPr>
          <w:p>
            <w:pPr>
              <w:spacing w:after="0" w:line="240" w:lineRule="auto"/>
              <w:ind w:firstLine="0"/>
              <w:jc w:val="center"/>
            </w:pPr>
            <w:r>
              <w:rPr>
                <w:b/>
                <w:i w:val="0"/>
                <w:sz w:val="20"/>
              </w:rPr>
              <w:t>159 500</w:t>
            </w:r>
          </w:p>
        </w:tc>
      </w:tr>
    </w:tbl>
    <w:p>
      <w:pPr>
        <w:spacing w:after="180"/>
        <w:ind w:firstLine="0"/>
      </w:pPr>
      <w:r>
        <w:rPr>
          <w:i/>
          <w:sz w:val="20"/>
        </w:rPr>
        <w:t>Источник: Главное таможенное управление КНР; агрегирование по позициям 2530.90, 2612.20, 2846.90 (сырьевые формы); оценка аналитического центра</w:t>
      </w:r>
    </w:p>
    <w:p>
      <w:pPr>
        <w:keepNext/>
        <w:spacing w:before="160" w:after="60"/>
        <w:ind w:firstLine="0"/>
        <w:jc w:val="left"/>
      </w:pPr>
      <w:r>
        <w:rPr>
          <w:b/>
          <w:sz w:val="22"/>
        </w:rPr>
        <w:t>Рисунок 17. Импорт редкоземельного сырья в КНР по ключевым поставщикам, 2019–2024 гг., тыс. т</w:t>
      </w:r>
    </w:p>
    <w:p>
      <w:pPr>
        <w:ind w:firstLine="0"/>
        <w:jc w:val="center"/>
      </w:pPr>
      <w:r>
        <w:drawing>
          <wp:inline xmlns:a="http://schemas.openxmlformats.org/drawingml/2006/main" xmlns:pic="http://schemas.openxmlformats.org/drawingml/2006/picture">
            <wp:extent cx="5580000" cy="2735373"/>
            <wp:docPr id="17" name="Picture 17"/>
            <wp:cNvGraphicFramePr>
              <a:graphicFrameLocks noChangeAspect="1"/>
            </wp:cNvGraphicFramePr>
            <a:graphic>
              <a:graphicData uri="http://schemas.openxmlformats.org/drawingml/2006/picture">
                <pic:pic>
                  <pic:nvPicPr>
                    <pic:cNvPr id="0" name="fig17.png"/>
                    <pic:cNvPicPr/>
                  </pic:nvPicPr>
                  <pic:blipFill>
                    <a:blip r:embed="rId27"/>
                    <a:stretch>
                      <a:fillRect/>
                    </a:stretch>
                  </pic:blipFill>
                  <pic:spPr>
                    <a:xfrm>
                      <a:off x="0" y="0"/>
                      <a:ext cx="5580000" cy="2735373"/>
                    </a:xfrm>
                    <a:prstGeom prst="rect"/>
                  </pic:spPr>
                </pic:pic>
              </a:graphicData>
            </a:graphic>
          </wp:inline>
        </w:drawing>
      </w:r>
    </w:p>
    <w:p>
      <w:pPr>
        <w:spacing w:after="180"/>
        <w:ind w:firstLine="0"/>
      </w:pPr>
      <w:r>
        <w:rPr>
          <w:i/>
          <w:sz w:val="20"/>
        </w:rPr>
        <w:t>Источник: Главное таможенное управление КНР; оценка аналитического центра</w:t>
      </w:r>
    </w:p>
    <w:p>
      <w:r>
        <w:rPr>
          <w:b w:val="0"/>
          <w:i w:val="0"/>
        </w:rPr>
        <w:t>Из таблицы 22 и рисунка 17 следует важная закономерность: по мере сокращения поставок из США (переориентация MP Materials на собственную переработку) и нестабильности мьянманских поставок Китай последовательно замещает выпадающие объёмы сырьём из Юго-Восточной Азии и Африки. Наиболее показателен рост поставок из Нигерии — с 500 т в 2019 г. до 21 тыс. т в 2024 г., то есть более чем в 40 раз. Это свидетельствует о высокой адаптивности китайской системы снабжения и снижает эффективность попыток ограничить её доступ к сырью.</w:t>
      </w:r>
    </w:p>
    <w:p>
      <w:r>
        <w:br w:type="page"/>
      </w:r>
    </w:p>
    <w:p>
      <w:pPr>
        <w:pStyle w:val="Heading1"/>
      </w:pPr>
      <w:r>
        <w:rPr>
          <w:b w:val="0"/>
          <w:i w:val="0"/>
        </w:rPr>
        <w:t>4. Основные мировые производители редкоземельной продукции</w:t>
      </w:r>
    </w:p>
    <w:p>
      <w:pPr>
        <w:pStyle w:val="Heading2"/>
      </w:pPr>
      <w:r>
        <w:rPr>
          <w:b w:val="0"/>
          <w:i w:val="0"/>
        </w:rPr>
        <w:t>4.1. Структура отрасли и расстановка сил</w:t>
      </w:r>
    </w:p>
    <w:p>
      <w:r>
        <w:rPr>
          <w:b w:val="0"/>
          <w:i w:val="0"/>
        </w:rPr>
        <w:t>Мировая редкоземельная отрасль по состоянию на 2025 г. представлена тремя группами участников, различающимися не столько масштабом, сколько глубиной охвата технологической цепочки.</w:t>
      </w:r>
    </w:p>
    <w:p>
      <w:r>
        <w:rPr>
          <w:b/>
          <w:i w:val="0"/>
        </w:rPr>
        <w:t>Первая группа — китайские государственные вертикально интегрированные холдинги.</w:t>
      </w:r>
      <w:r>
        <w:rPr>
          <w:b w:val="0"/>
          <w:i w:val="0"/>
        </w:rPr>
        <w:t xml:space="preserve"> Обладают полной цепочкой от добычи до магнита, работают в режиме государственного квотирования, располагают наименьшей себестоимостью и определяют мировую ценовую конъюнктуру.</w:t>
      </w:r>
    </w:p>
    <w:p>
      <w:r>
        <w:rPr>
          <w:b/>
          <w:i w:val="0"/>
        </w:rPr>
        <w:t>Вторая группа — западные компании неполного цикла.</w:t>
      </w:r>
      <w:r>
        <w:rPr>
          <w:b w:val="0"/>
          <w:i w:val="0"/>
        </w:rPr>
        <w:t xml:space="preserve"> Lynas, MP Materials, Neo Performance Materials, Energy Fuels, Iluka. Каждая из них охватывает два-три передела и достраивает недостающие звенья при государственной поддержке. Ни одна по состоянию на 2025 г. не располагает полным циклом, хотя MP Materials и Lynas к нему приблизились.</w:t>
      </w:r>
    </w:p>
    <w:p>
      <w:r>
        <w:rPr>
          <w:b/>
          <w:i w:val="0"/>
        </w:rPr>
        <w:t>Третья группа — проектные компании (juniors).</w:t>
      </w:r>
      <w:r>
        <w:rPr>
          <w:b w:val="0"/>
          <w:i w:val="0"/>
        </w:rPr>
        <w:t xml:space="preserve"> Несколько десятков компаний с активами на стадии геологоразведки и ТЭО. Их совокупный вклад в производство пренебрежимо мал, однако они формируют опционный потенциал отрасли: при устойчиво высоких ценах и государственной поддержке часть из них способна выйти на производство в горизонте 5–8 лет.</w:t>
      </w:r>
    </w:p>
    <w:p>
      <w:pPr>
        <w:keepNext/>
        <w:spacing w:before="160" w:after="60"/>
        <w:ind w:firstLine="0"/>
        <w:jc w:val="left"/>
      </w:pPr>
      <w:r>
        <w:rPr>
          <w:b/>
          <w:sz w:val="22"/>
        </w:rPr>
        <w:t>Таблица 23. Крупнейшие мировые производители редкоземельной продукции, 2024 г.</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Компания</w:t>
            </w:r>
          </w:p>
        </w:tc>
        <w:tc>
          <w:tcPr>
            <w:tcW w:type="dxa" w:w="1995"/>
            <w:shd w:val="clear" w:fill="DCE6F1"/>
          </w:tcPr>
          <w:p>
            <w:pPr>
              <w:spacing w:after="0" w:line="240" w:lineRule="auto"/>
              <w:ind w:firstLine="0"/>
              <w:jc w:val="center"/>
            </w:pPr>
            <w:r>
              <w:rPr>
                <w:b/>
                <w:i w:val="0"/>
                <w:sz w:val="20"/>
              </w:rPr>
              <w:t>Страна</w:t>
            </w:r>
          </w:p>
        </w:tc>
        <w:tc>
          <w:tcPr>
            <w:tcW w:type="dxa" w:w="1995"/>
            <w:shd w:val="clear" w:fill="DCE6F1"/>
          </w:tcPr>
          <w:p>
            <w:pPr>
              <w:spacing w:after="0" w:line="240" w:lineRule="auto"/>
              <w:ind w:firstLine="0"/>
              <w:jc w:val="center"/>
            </w:pPr>
            <w:r>
              <w:rPr>
                <w:b/>
                <w:i w:val="0"/>
                <w:sz w:val="20"/>
              </w:rPr>
              <w:t>Производство, т TREO</w:t>
            </w:r>
          </w:p>
        </w:tc>
        <w:tc>
          <w:tcPr>
            <w:tcW w:type="dxa" w:w="1995"/>
            <w:shd w:val="clear" w:fill="DCE6F1"/>
          </w:tcPr>
          <w:p>
            <w:pPr>
              <w:spacing w:after="0" w:line="240" w:lineRule="auto"/>
              <w:ind w:firstLine="0"/>
              <w:jc w:val="center"/>
            </w:pPr>
            <w:r>
              <w:rPr>
                <w:b/>
                <w:i w:val="0"/>
                <w:sz w:val="20"/>
              </w:rPr>
              <w:t>Доля в мире, %</w:t>
            </w:r>
          </w:p>
        </w:tc>
        <w:tc>
          <w:tcPr>
            <w:tcW w:type="dxa" w:w="1995"/>
            <w:shd w:val="clear" w:fill="DCE6F1"/>
          </w:tcPr>
          <w:p>
            <w:pPr>
              <w:spacing w:after="0" w:line="240" w:lineRule="auto"/>
              <w:ind w:firstLine="0"/>
              <w:jc w:val="center"/>
            </w:pPr>
            <w:r>
              <w:rPr>
                <w:b/>
                <w:i w:val="0"/>
                <w:sz w:val="20"/>
              </w:rPr>
              <w:t>Охват цепочки</w:t>
            </w:r>
          </w:p>
        </w:tc>
      </w:tr>
      <w:tr>
        <w:tc>
          <w:tcPr>
            <w:tcW w:type="dxa" w:w="1995"/>
          </w:tcPr>
          <w:p>
            <w:pPr>
              <w:spacing w:after="0" w:line="240" w:lineRule="auto"/>
              <w:ind w:firstLine="0"/>
              <w:jc w:val="left"/>
            </w:pPr>
            <w:r>
              <w:rPr>
                <w:b w:val="0"/>
                <w:i w:val="0"/>
                <w:sz w:val="20"/>
              </w:rPr>
              <w:t>China Northern Rare Earth Group</w:t>
            </w:r>
          </w:p>
        </w:tc>
        <w:tc>
          <w:tcPr>
            <w:tcW w:type="dxa" w:w="1995"/>
          </w:tcPr>
          <w:p>
            <w:pPr>
              <w:spacing w:after="0" w:line="240" w:lineRule="auto"/>
              <w:ind w:firstLine="0"/>
              <w:jc w:val="center"/>
            </w:pPr>
            <w:r>
              <w:rPr>
                <w:b w:val="0"/>
                <w:i w:val="0"/>
                <w:sz w:val="20"/>
              </w:rPr>
              <w:t>КНР</w:t>
            </w:r>
          </w:p>
        </w:tc>
        <w:tc>
          <w:tcPr>
            <w:tcW w:type="dxa" w:w="1995"/>
          </w:tcPr>
          <w:p>
            <w:pPr>
              <w:spacing w:after="0" w:line="240" w:lineRule="auto"/>
              <w:ind w:firstLine="0"/>
              <w:jc w:val="center"/>
            </w:pPr>
            <w:r>
              <w:rPr>
                <w:b w:val="0"/>
                <w:i w:val="0"/>
                <w:sz w:val="20"/>
              </w:rPr>
              <w:t>130 000</w:t>
            </w:r>
          </w:p>
        </w:tc>
        <w:tc>
          <w:tcPr>
            <w:tcW w:type="dxa" w:w="1995"/>
          </w:tcPr>
          <w:p>
            <w:pPr>
              <w:spacing w:after="0" w:line="240" w:lineRule="auto"/>
              <w:ind w:firstLine="0"/>
              <w:jc w:val="center"/>
            </w:pPr>
            <w:r>
              <w:rPr>
                <w:b w:val="0"/>
                <w:i w:val="0"/>
                <w:sz w:val="20"/>
              </w:rPr>
              <w:t>33,3</w:t>
            </w:r>
          </w:p>
        </w:tc>
        <w:tc>
          <w:tcPr>
            <w:tcW w:type="dxa" w:w="1995"/>
          </w:tcPr>
          <w:p>
            <w:pPr>
              <w:spacing w:after="0" w:line="240" w:lineRule="auto"/>
              <w:ind w:firstLine="0"/>
              <w:jc w:val="center"/>
            </w:pPr>
            <w:r>
              <w:rPr>
                <w:b w:val="0"/>
                <w:i w:val="0"/>
                <w:sz w:val="20"/>
              </w:rPr>
              <w:t>добыча–магниты</w:t>
            </w:r>
          </w:p>
        </w:tc>
      </w:tr>
      <w:tr>
        <w:tc>
          <w:tcPr>
            <w:tcW w:type="dxa" w:w="1995"/>
          </w:tcPr>
          <w:p>
            <w:pPr>
              <w:spacing w:after="0" w:line="240" w:lineRule="auto"/>
              <w:ind w:firstLine="0"/>
              <w:jc w:val="left"/>
            </w:pPr>
            <w:r>
              <w:rPr>
                <w:b w:val="0"/>
                <w:i w:val="0"/>
                <w:sz w:val="20"/>
              </w:rPr>
              <w:t>China Rare Earth Group</w:t>
            </w:r>
          </w:p>
        </w:tc>
        <w:tc>
          <w:tcPr>
            <w:tcW w:type="dxa" w:w="1995"/>
          </w:tcPr>
          <w:p>
            <w:pPr>
              <w:spacing w:after="0" w:line="240" w:lineRule="auto"/>
              <w:ind w:firstLine="0"/>
              <w:jc w:val="center"/>
            </w:pPr>
            <w:r>
              <w:rPr>
                <w:b w:val="0"/>
                <w:i w:val="0"/>
                <w:sz w:val="20"/>
              </w:rPr>
              <w:t>КНР</w:t>
            </w:r>
          </w:p>
        </w:tc>
        <w:tc>
          <w:tcPr>
            <w:tcW w:type="dxa" w:w="1995"/>
          </w:tcPr>
          <w:p>
            <w:pPr>
              <w:spacing w:after="0" w:line="240" w:lineRule="auto"/>
              <w:ind w:firstLine="0"/>
              <w:jc w:val="center"/>
            </w:pPr>
            <w:r>
              <w:rPr>
                <w:b w:val="0"/>
                <w:i w:val="0"/>
                <w:sz w:val="20"/>
              </w:rPr>
              <w:t>78 000</w:t>
            </w:r>
          </w:p>
        </w:tc>
        <w:tc>
          <w:tcPr>
            <w:tcW w:type="dxa" w:w="1995"/>
          </w:tcPr>
          <w:p>
            <w:pPr>
              <w:spacing w:after="0" w:line="240" w:lineRule="auto"/>
              <w:ind w:firstLine="0"/>
              <w:jc w:val="center"/>
            </w:pPr>
            <w:r>
              <w:rPr>
                <w:b w:val="0"/>
                <w:i w:val="0"/>
                <w:sz w:val="20"/>
              </w:rPr>
              <w:t>20,0</w:t>
            </w:r>
          </w:p>
        </w:tc>
        <w:tc>
          <w:tcPr>
            <w:tcW w:type="dxa" w:w="1995"/>
          </w:tcPr>
          <w:p>
            <w:pPr>
              <w:spacing w:after="0" w:line="240" w:lineRule="auto"/>
              <w:ind w:firstLine="0"/>
              <w:jc w:val="center"/>
            </w:pPr>
            <w:r>
              <w:rPr>
                <w:b w:val="0"/>
                <w:i w:val="0"/>
                <w:sz w:val="20"/>
              </w:rPr>
              <w:t>добыча–магниты</w:t>
            </w:r>
          </w:p>
        </w:tc>
      </w:tr>
      <w:tr>
        <w:tc>
          <w:tcPr>
            <w:tcW w:type="dxa" w:w="1995"/>
          </w:tcPr>
          <w:p>
            <w:pPr>
              <w:spacing w:after="0" w:line="240" w:lineRule="auto"/>
              <w:ind w:firstLine="0"/>
              <w:jc w:val="left"/>
            </w:pPr>
            <w:r>
              <w:rPr>
                <w:b w:val="0"/>
                <w:i w:val="0"/>
                <w:sz w:val="20"/>
              </w:rPr>
              <w:t>Shenghe Resources</w:t>
            </w:r>
          </w:p>
        </w:tc>
        <w:tc>
          <w:tcPr>
            <w:tcW w:type="dxa" w:w="1995"/>
          </w:tcPr>
          <w:p>
            <w:pPr>
              <w:spacing w:after="0" w:line="240" w:lineRule="auto"/>
              <w:ind w:firstLine="0"/>
              <w:jc w:val="center"/>
            </w:pPr>
            <w:r>
              <w:rPr>
                <w:b w:val="0"/>
                <w:i w:val="0"/>
                <w:sz w:val="20"/>
              </w:rPr>
              <w:t>КНР</w:t>
            </w:r>
          </w:p>
        </w:tc>
        <w:tc>
          <w:tcPr>
            <w:tcW w:type="dxa" w:w="1995"/>
          </w:tcPr>
          <w:p>
            <w:pPr>
              <w:spacing w:after="0" w:line="240" w:lineRule="auto"/>
              <w:ind w:firstLine="0"/>
              <w:jc w:val="center"/>
            </w:pPr>
            <w:r>
              <w:rPr>
                <w:b w:val="0"/>
                <w:i w:val="0"/>
                <w:sz w:val="20"/>
              </w:rPr>
              <w:t>32 000</w:t>
            </w:r>
          </w:p>
        </w:tc>
        <w:tc>
          <w:tcPr>
            <w:tcW w:type="dxa" w:w="1995"/>
          </w:tcPr>
          <w:p>
            <w:pPr>
              <w:spacing w:after="0" w:line="240" w:lineRule="auto"/>
              <w:ind w:firstLine="0"/>
              <w:jc w:val="center"/>
            </w:pPr>
            <w:r>
              <w:rPr>
                <w:b w:val="0"/>
                <w:i w:val="0"/>
                <w:sz w:val="20"/>
              </w:rPr>
              <w:t>8,2</w:t>
            </w:r>
          </w:p>
        </w:tc>
        <w:tc>
          <w:tcPr>
            <w:tcW w:type="dxa" w:w="1995"/>
          </w:tcPr>
          <w:p>
            <w:pPr>
              <w:spacing w:after="0" w:line="240" w:lineRule="auto"/>
              <w:ind w:firstLine="0"/>
              <w:jc w:val="center"/>
            </w:pPr>
            <w:r>
              <w:rPr>
                <w:b w:val="0"/>
                <w:i w:val="0"/>
                <w:sz w:val="20"/>
              </w:rPr>
              <w:t>добыча–разделение</w:t>
            </w:r>
          </w:p>
        </w:tc>
      </w:tr>
      <w:tr>
        <w:tc>
          <w:tcPr>
            <w:tcW w:type="dxa" w:w="1995"/>
          </w:tcPr>
          <w:p>
            <w:pPr>
              <w:spacing w:after="0" w:line="240" w:lineRule="auto"/>
              <w:ind w:firstLine="0"/>
              <w:jc w:val="left"/>
            </w:pPr>
            <w:r>
              <w:rPr>
                <w:b w:val="0"/>
                <w:i w:val="0"/>
                <w:sz w:val="20"/>
              </w:rPr>
              <w:t>Guangdong Rare Earth Group</w:t>
            </w:r>
          </w:p>
        </w:tc>
        <w:tc>
          <w:tcPr>
            <w:tcW w:type="dxa" w:w="1995"/>
          </w:tcPr>
          <w:p>
            <w:pPr>
              <w:spacing w:after="0" w:line="240" w:lineRule="auto"/>
              <w:ind w:firstLine="0"/>
              <w:jc w:val="center"/>
            </w:pPr>
            <w:r>
              <w:rPr>
                <w:b w:val="0"/>
                <w:i w:val="0"/>
                <w:sz w:val="20"/>
              </w:rPr>
              <w:t>КНР</w:t>
            </w:r>
          </w:p>
        </w:tc>
        <w:tc>
          <w:tcPr>
            <w:tcW w:type="dxa" w:w="1995"/>
          </w:tcPr>
          <w:p>
            <w:pPr>
              <w:spacing w:after="0" w:line="240" w:lineRule="auto"/>
              <w:ind w:firstLine="0"/>
              <w:jc w:val="center"/>
            </w:pPr>
            <w:r>
              <w:rPr>
                <w:b w:val="0"/>
                <w:i w:val="0"/>
                <w:sz w:val="20"/>
              </w:rPr>
              <w:t>15 000</w:t>
            </w:r>
          </w:p>
        </w:tc>
        <w:tc>
          <w:tcPr>
            <w:tcW w:type="dxa" w:w="1995"/>
          </w:tcPr>
          <w:p>
            <w:pPr>
              <w:spacing w:after="0" w:line="240" w:lineRule="auto"/>
              <w:ind w:firstLine="0"/>
              <w:jc w:val="center"/>
            </w:pPr>
            <w:r>
              <w:rPr>
                <w:b w:val="0"/>
                <w:i w:val="0"/>
                <w:sz w:val="20"/>
              </w:rPr>
              <w:t>3,8</w:t>
            </w:r>
          </w:p>
        </w:tc>
        <w:tc>
          <w:tcPr>
            <w:tcW w:type="dxa" w:w="1995"/>
          </w:tcPr>
          <w:p>
            <w:pPr>
              <w:spacing w:after="0" w:line="240" w:lineRule="auto"/>
              <w:ind w:firstLine="0"/>
              <w:jc w:val="center"/>
            </w:pPr>
            <w:r>
              <w:rPr>
                <w:b w:val="0"/>
                <w:i w:val="0"/>
                <w:sz w:val="20"/>
              </w:rPr>
              <w:t>добыча–разделение</w:t>
            </w:r>
          </w:p>
        </w:tc>
      </w:tr>
      <w:tr>
        <w:tc>
          <w:tcPr>
            <w:tcW w:type="dxa" w:w="1995"/>
          </w:tcPr>
          <w:p>
            <w:pPr>
              <w:spacing w:after="0" w:line="240" w:lineRule="auto"/>
              <w:ind w:firstLine="0"/>
              <w:jc w:val="left"/>
            </w:pPr>
            <w:r>
              <w:rPr>
                <w:b w:val="0"/>
                <w:i w:val="0"/>
                <w:sz w:val="20"/>
              </w:rPr>
              <w:t>Xiamen Tungsten (Rare Earth)</w:t>
            </w:r>
          </w:p>
        </w:tc>
        <w:tc>
          <w:tcPr>
            <w:tcW w:type="dxa" w:w="1995"/>
          </w:tcPr>
          <w:p>
            <w:pPr>
              <w:spacing w:after="0" w:line="240" w:lineRule="auto"/>
              <w:ind w:firstLine="0"/>
              <w:jc w:val="center"/>
            </w:pPr>
            <w:r>
              <w:rPr>
                <w:b w:val="0"/>
                <w:i w:val="0"/>
                <w:sz w:val="20"/>
              </w:rPr>
              <w:t>КНР</w:t>
            </w:r>
          </w:p>
        </w:tc>
        <w:tc>
          <w:tcPr>
            <w:tcW w:type="dxa" w:w="1995"/>
          </w:tcPr>
          <w:p>
            <w:pPr>
              <w:spacing w:after="0" w:line="240" w:lineRule="auto"/>
              <w:ind w:firstLine="0"/>
              <w:jc w:val="center"/>
            </w:pPr>
            <w:r>
              <w:rPr>
                <w:b w:val="0"/>
                <w:i w:val="0"/>
                <w:sz w:val="20"/>
              </w:rPr>
              <w:t>14 000</w:t>
            </w:r>
          </w:p>
        </w:tc>
        <w:tc>
          <w:tcPr>
            <w:tcW w:type="dxa" w:w="1995"/>
          </w:tcPr>
          <w:p>
            <w:pPr>
              <w:spacing w:after="0" w:line="240" w:lineRule="auto"/>
              <w:ind w:firstLine="0"/>
              <w:jc w:val="center"/>
            </w:pPr>
            <w:r>
              <w:rPr>
                <w:b w:val="0"/>
                <w:i w:val="0"/>
                <w:sz w:val="20"/>
              </w:rPr>
              <w:t>3,6</w:t>
            </w:r>
          </w:p>
        </w:tc>
        <w:tc>
          <w:tcPr>
            <w:tcW w:type="dxa" w:w="1995"/>
          </w:tcPr>
          <w:p>
            <w:pPr>
              <w:spacing w:after="0" w:line="240" w:lineRule="auto"/>
              <w:ind w:firstLine="0"/>
              <w:jc w:val="center"/>
            </w:pPr>
            <w:r>
              <w:rPr>
                <w:b w:val="0"/>
                <w:i w:val="0"/>
                <w:sz w:val="20"/>
              </w:rPr>
              <w:t>разделение–магниты</w:t>
            </w:r>
          </w:p>
        </w:tc>
      </w:tr>
      <w:tr>
        <w:tc>
          <w:tcPr>
            <w:tcW w:type="dxa" w:w="1995"/>
          </w:tcPr>
          <w:p>
            <w:pPr>
              <w:spacing w:after="0" w:line="240" w:lineRule="auto"/>
              <w:ind w:firstLine="0"/>
              <w:jc w:val="left"/>
            </w:pPr>
            <w:r>
              <w:rPr>
                <w:b w:val="0"/>
                <w:i w:val="0"/>
                <w:sz w:val="20"/>
              </w:rPr>
              <w:t>MP Materials</w:t>
            </w:r>
          </w:p>
        </w:tc>
        <w:tc>
          <w:tcPr>
            <w:tcW w:type="dxa" w:w="1995"/>
          </w:tcPr>
          <w:p>
            <w:pPr>
              <w:spacing w:after="0" w:line="240" w:lineRule="auto"/>
              <w:ind w:firstLine="0"/>
              <w:jc w:val="center"/>
            </w:pPr>
            <w:r>
              <w:rPr>
                <w:b w:val="0"/>
                <w:i w:val="0"/>
                <w:sz w:val="20"/>
              </w:rPr>
              <w:t>США</w:t>
            </w:r>
          </w:p>
        </w:tc>
        <w:tc>
          <w:tcPr>
            <w:tcW w:type="dxa" w:w="1995"/>
          </w:tcPr>
          <w:p>
            <w:pPr>
              <w:spacing w:after="0" w:line="240" w:lineRule="auto"/>
              <w:ind w:firstLine="0"/>
              <w:jc w:val="center"/>
            </w:pPr>
            <w:r>
              <w:rPr>
                <w:b w:val="0"/>
                <w:i w:val="0"/>
                <w:sz w:val="20"/>
              </w:rPr>
              <w:t>45 000</w:t>
            </w:r>
          </w:p>
        </w:tc>
        <w:tc>
          <w:tcPr>
            <w:tcW w:type="dxa" w:w="1995"/>
          </w:tcPr>
          <w:p>
            <w:pPr>
              <w:spacing w:after="0" w:line="240" w:lineRule="auto"/>
              <w:ind w:firstLine="0"/>
              <w:jc w:val="center"/>
            </w:pPr>
            <w:r>
              <w:rPr>
                <w:b w:val="0"/>
                <w:i w:val="0"/>
                <w:sz w:val="20"/>
              </w:rPr>
              <w:t>11,5</w:t>
            </w:r>
          </w:p>
        </w:tc>
        <w:tc>
          <w:tcPr>
            <w:tcW w:type="dxa" w:w="1995"/>
          </w:tcPr>
          <w:p>
            <w:pPr>
              <w:spacing w:after="0" w:line="240" w:lineRule="auto"/>
              <w:ind w:firstLine="0"/>
              <w:jc w:val="center"/>
            </w:pPr>
            <w:r>
              <w:rPr>
                <w:b w:val="0"/>
                <w:i w:val="0"/>
                <w:sz w:val="20"/>
              </w:rPr>
              <w:t>добыча–металл–магниты</w:t>
            </w:r>
          </w:p>
        </w:tc>
      </w:tr>
      <w:tr>
        <w:tc>
          <w:tcPr>
            <w:tcW w:type="dxa" w:w="1995"/>
          </w:tcPr>
          <w:p>
            <w:pPr>
              <w:spacing w:after="0" w:line="240" w:lineRule="auto"/>
              <w:ind w:firstLine="0"/>
              <w:jc w:val="left"/>
            </w:pPr>
            <w:r>
              <w:rPr>
                <w:b w:val="0"/>
                <w:i w:val="0"/>
                <w:sz w:val="20"/>
              </w:rPr>
              <w:t>Lynas Rare Earths</w:t>
            </w:r>
          </w:p>
        </w:tc>
        <w:tc>
          <w:tcPr>
            <w:tcW w:type="dxa" w:w="1995"/>
          </w:tcPr>
          <w:p>
            <w:pPr>
              <w:spacing w:after="0" w:line="240" w:lineRule="auto"/>
              <w:ind w:firstLine="0"/>
              <w:jc w:val="center"/>
            </w:pPr>
            <w:r>
              <w:rPr>
                <w:b w:val="0"/>
                <w:i w:val="0"/>
                <w:sz w:val="20"/>
              </w:rPr>
              <w:t>Австралия</w:t>
            </w:r>
          </w:p>
        </w:tc>
        <w:tc>
          <w:tcPr>
            <w:tcW w:type="dxa" w:w="1995"/>
          </w:tcPr>
          <w:p>
            <w:pPr>
              <w:spacing w:after="0" w:line="240" w:lineRule="auto"/>
              <w:ind w:firstLine="0"/>
              <w:jc w:val="center"/>
            </w:pPr>
            <w:r>
              <w:rPr>
                <w:b w:val="0"/>
                <w:i w:val="0"/>
                <w:sz w:val="20"/>
              </w:rPr>
              <w:t>11 000</w:t>
            </w:r>
          </w:p>
        </w:tc>
        <w:tc>
          <w:tcPr>
            <w:tcW w:type="dxa" w:w="1995"/>
          </w:tcPr>
          <w:p>
            <w:pPr>
              <w:spacing w:after="0" w:line="240" w:lineRule="auto"/>
              <w:ind w:firstLine="0"/>
              <w:jc w:val="center"/>
            </w:pPr>
            <w:r>
              <w:rPr>
                <w:b w:val="0"/>
                <w:i w:val="0"/>
                <w:sz w:val="20"/>
              </w:rPr>
              <w:t>2,8</w:t>
            </w:r>
          </w:p>
        </w:tc>
        <w:tc>
          <w:tcPr>
            <w:tcW w:type="dxa" w:w="1995"/>
          </w:tcPr>
          <w:p>
            <w:pPr>
              <w:spacing w:after="0" w:line="240" w:lineRule="auto"/>
              <w:ind w:firstLine="0"/>
              <w:jc w:val="center"/>
            </w:pPr>
            <w:r>
              <w:rPr>
                <w:b w:val="0"/>
                <w:i w:val="0"/>
                <w:sz w:val="20"/>
              </w:rPr>
              <w:t>добыча–разделение</w:t>
            </w:r>
          </w:p>
        </w:tc>
      </w:tr>
      <w:tr>
        <w:tc>
          <w:tcPr>
            <w:tcW w:type="dxa" w:w="1995"/>
          </w:tcPr>
          <w:p>
            <w:pPr>
              <w:spacing w:after="0" w:line="240" w:lineRule="auto"/>
              <w:ind w:firstLine="0"/>
              <w:jc w:val="left"/>
            </w:pPr>
            <w:r>
              <w:rPr>
                <w:b w:val="0"/>
                <w:i w:val="0"/>
                <w:sz w:val="20"/>
              </w:rPr>
              <w:t>Прочие КНР</w:t>
            </w:r>
          </w:p>
        </w:tc>
        <w:tc>
          <w:tcPr>
            <w:tcW w:type="dxa" w:w="1995"/>
          </w:tcPr>
          <w:p>
            <w:pPr>
              <w:spacing w:after="0" w:line="240" w:lineRule="auto"/>
              <w:ind w:firstLine="0"/>
              <w:jc w:val="center"/>
            </w:pPr>
            <w:r>
              <w:rPr>
                <w:b w:val="0"/>
                <w:i w:val="0"/>
                <w:sz w:val="20"/>
              </w:rPr>
              <w:t>КНР</w:t>
            </w:r>
          </w:p>
        </w:tc>
        <w:tc>
          <w:tcPr>
            <w:tcW w:type="dxa" w:w="1995"/>
          </w:tcPr>
          <w:p>
            <w:pPr>
              <w:spacing w:after="0" w:line="240" w:lineRule="auto"/>
              <w:ind w:firstLine="0"/>
              <w:jc w:val="center"/>
            </w:pPr>
            <w:r>
              <w:rPr>
                <w:b w:val="0"/>
                <w:i w:val="0"/>
                <w:sz w:val="20"/>
              </w:rPr>
              <w:t>21 000</w:t>
            </w:r>
          </w:p>
        </w:tc>
        <w:tc>
          <w:tcPr>
            <w:tcW w:type="dxa" w:w="1995"/>
          </w:tcPr>
          <w:p>
            <w:pPr>
              <w:spacing w:after="0" w:line="240" w:lineRule="auto"/>
              <w:ind w:firstLine="0"/>
              <w:jc w:val="center"/>
            </w:pPr>
            <w:r>
              <w:rPr>
                <w:b w:val="0"/>
                <w:i w:val="0"/>
                <w:sz w:val="20"/>
              </w:rPr>
              <w:t>5,4</w:t>
            </w:r>
          </w:p>
        </w:tc>
        <w:tc>
          <w:tcPr>
            <w:tcW w:type="dxa" w:w="1995"/>
          </w:tcPr>
          <w:p>
            <w:pPr>
              <w:spacing w:after="0" w:line="240" w:lineRule="auto"/>
              <w:ind w:firstLine="0"/>
              <w:jc w:val="center"/>
            </w:pPr>
            <w:r>
              <w:rPr>
                <w:b w:val="0"/>
                <w:i w:val="0"/>
                <w:sz w:val="20"/>
              </w:rPr>
              <w:t>различный</w:t>
            </w:r>
          </w:p>
        </w:tc>
      </w:tr>
      <w:tr>
        <w:tc>
          <w:tcPr>
            <w:tcW w:type="dxa" w:w="1995"/>
          </w:tcPr>
          <w:p>
            <w:pPr>
              <w:spacing w:after="0" w:line="240" w:lineRule="auto"/>
              <w:ind w:firstLine="0"/>
              <w:jc w:val="left"/>
            </w:pPr>
            <w:r>
              <w:rPr>
                <w:b w:val="0"/>
                <w:i w:val="0"/>
                <w:sz w:val="20"/>
              </w:rPr>
              <w:t>IREL</w:t>
            </w:r>
          </w:p>
        </w:tc>
        <w:tc>
          <w:tcPr>
            <w:tcW w:type="dxa" w:w="1995"/>
          </w:tcPr>
          <w:p>
            <w:pPr>
              <w:spacing w:after="0" w:line="240" w:lineRule="auto"/>
              <w:ind w:firstLine="0"/>
              <w:jc w:val="center"/>
            </w:pPr>
            <w:r>
              <w:rPr>
                <w:b w:val="0"/>
                <w:i w:val="0"/>
                <w:sz w:val="20"/>
              </w:rPr>
              <w:t>Индия</w:t>
            </w:r>
          </w:p>
        </w:tc>
        <w:tc>
          <w:tcPr>
            <w:tcW w:type="dxa" w:w="1995"/>
          </w:tcPr>
          <w:p>
            <w:pPr>
              <w:spacing w:after="0" w:line="240" w:lineRule="auto"/>
              <w:ind w:firstLine="0"/>
              <w:jc w:val="center"/>
            </w:pPr>
            <w:r>
              <w:rPr>
                <w:b w:val="0"/>
                <w:i w:val="0"/>
                <w:sz w:val="20"/>
              </w:rPr>
              <w:t>2 900</w:t>
            </w:r>
          </w:p>
        </w:tc>
        <w:tc>
          <w:tcPr>
            <w:tcW w:type="dxa" w:w="1995"/>
          </w:tcPr>
          <w:p>
            <w:pPr>
              <w:spacing w:after="0" w:line="240" w:lineRule="auto"/>
              <w:ind w:firstLine="0"/>
              <w:jc w:val="center"/>
            </w:pPr>
            <w:r>
              <w:rPr>
                <w:b w:val="0"/>
                <w:i w:val="0"/>
                <w:sz w:val="20"/>
              </w:rPr>
              <w:t>0,7</w:t>
            </w:r>
          </w:p>
        </w:tc>
        <w:tc>
          <w:tcPr>
            <w:tcW w:type="dxa" w:w="1995"/>
          </w:tcPr>
          <w:p>
            <w:pPr>
              <w:spacing w:after="0" w:line="240" w:lineRule="auto"/>
              <w:ind w:firstLine="0"/>
              <w:jc w:val="center"/>
            </w:pPr>
            <w:r>
              <w:rPr>
                <w:b w:val="0"/>
                <w:i w:val="0"/>
                <w:sz w:val="20"/>
              </w:rPr>
              <w:t>добыча–разделение</w:t>
            </w:r>
          </w:p>
        </w:tc>
      </w:tr>
      <w:tr>
        <w:tc>
          <w:tcPr>
            <w:tcW w:type="dxa" w:w="1995"/>
          </w:tcPr>
          <w:p>
            <w:pPr>
              <w:spacing w:after="0" w:line="240" w:lineRule="auto"/>
              <w:ind w:firstLine="0"/>
              <w:jc w:val="left"/>
            </w:pPr>
            <w:r>
              <w:rPr>
                <w:b w:val="0"/>
                <w:i w:val="0"/>
                <w:sz w:val="20"/>
              </w:rPr>
              <w:t>Прочие (вкл. Мьянму, Россию)</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41 100</w:t>
            </w:r>
          </w:p>
        </w:tc>
        <w:tc>
          <w:tcPr>
            <w:tcW w:type="dxa" w:w="1995"/>
          </w:tcPr>
          <w:p>
            <w:pPr>
              <w:spacing w:after="0" w:line="240" w:lineRule="auto"/>
              <w:ind w:firstLine="0"/>
              <w:jc w:val="center"/>
            </w:pPr>
            <w:r>
              <w:rPr>
                <w:b w:val="0"/>
                <w:i w:val="0"/>
                <w:sz w:val="20"/>
              </w:rPr>
              <w:t>10,7</w:t>
            </w:r>
          </w:p>
        </w:tc>
        <w:tc>
          <w:tcPr>
            <w:tcW w:type="dxa" w:w="1995"/>
          </w:tcPr>
          <w:p>
            <w:pPr>
              <w:spacing w:after="0" w:line="240" w:lineRule="auto"/>
              <w:ind w:firstLine="0"/>
              <w:jc w:val="center"/>
            </w:pPr>
            <w:r>
              <w:rPr>
                <w:b w:val="0"/>
                <w:i w:val="0"/>
                <w:sz w:val="20"/>
              </w:rPr>
              <w:t>преимущ. добыча</w:t>
            </w:r>
          </w:p>
        </w:tc>
      </w:tr>
      <w:tr>
        <w:tc>
          <w:tcPr>
            <w:tcW w:type="dxa" w:w="1995"/>
          </w:tcPr>
          <w:p>
            <w:pPr>
              <w:spacing w:after="0" w:line="240" w:lineRule="auto"/>
              <w:ind w:firstLine="0"/>
              <w:jc w:val="left"/>
            </w:pPr>
            <w:r>
              <w:rPr>
                <w:b/>
                <w:i w:val="0"/>
                <w:sz w:val="20"/>
              </w:rPr>
              <w:t>Всего</w:t>
            </w:r>
          </w:p>
        </w:tc>
        <w:tc>
          <w:tcPr>
            <w:tcW w:type="dxa" w:w="1995"/>
          </w:tcPr>
          <w:p>
            <w:pPr>
              <w:spacing w:after="0" w:line="240" w:lineRule="auto"/>
              <w:ind w:firstLine="0"/>
              <w:jc w:val="center"/>
            </w:pPr>
          </w:p>
        </w:tc>
        <w:tc>
          <w:tcPr>
            <w:tcW w:type="dxa" w:w="1995"/>
          </w:tcPr>
          <w:p>
            <w:pPr>
              <w:spacing w:after="0" w:line="240" w:lineRule="auto"/>
              <w:ind w:firstLine="0"/>
              <w:jc w:val="center"/>
            </w:pPr>
            <w:r>
              <w:rPr>
                <w:b/>
                <w:i w:val="0"/>
                <w:sz w:val="20"/>
              </w:rPr>
              <w:t>390 000</w:t>
            </w:r>
          </w:p>
        </w:tc>
        <w:tc>
          <w:tcPr>
            <w:tcW w:type="dxa" w:w="1995"/>
          </w:tcPr>
          <w:p>
            <w:pPr>
              <w:spacing w:after="0" w:line="240" w:lineRule="auto"/>
              <w:ind w:firstLine="0"/>
              <w:jc w:val="center"/>
            </w:pPr>
            <w:r>
              <w:rPr>
                <w:b/>
                <w:i w:val="0"/>
                <w:sz w:val="20"/>
              </w:rPr>
              <w:t>100,0</w:t>
            </w:r>
          </w:p>
        </w:tc>
        <w:tc>
          <w:tcPr>
            <w:tcW w:type="dxa" w:w="1995"/>
          </w:tcPr>
          <w:p>
            <w:pPr>
              <w:spacing w:after="0" w:line="240" w:lineRule="auto"/>
              <w:ind w:firstLine="0"/>
              <w:jc w:val="center"/>
            </w:pPr>
          </w:p>
        </w:tc>
      </w:tr>
    </w:tbl>
    <w:p>
      <w:pPr>
        <w:spacing w:after="180"/>
        <w:ind w:firstLine="0"/>
      </w:pPr>
      <w:r>
        <w:rPr>
          <w:i/>
          <w:sz w:val="20"/>
        </w:rPr>
        <w:t>Источник: аналитический центр по данным корпоративных раскрытий и отраслевых публикаций</w:t>
      </w:r>
    </w:p>
    <w:p>
      <w:pPr>
        <w:pStyle w:val="Heading2"/>
      </w:pPr>
      <w:r>
        <w:rPr>
          <w:b w:val="0"/>
          <w:i w:val="0"/>
        </w:rPr>
        <w:t>4.2. Китайские производители</w:t>
      </w:r>
    </w:p>
    <w:p>
      <w:pPr>
        <w:pStyle w:val="Heading3"/>
      </w:pPr>
      <w:r>
        <w:rPr>
          <w:b w:val="0"/>
          <w:i w:val="0"/>
        </w:rPr>
        <w:t>4.2.1. Реформа отрасли и консолидация</w:t>
      </w:r>
    </w:p>
    <w:p>
      <w:r>
        <w:rPr>
          <w:b w:val="0"/>
          <w:i w:val="0"/>
        </w:rPr>
        <w:t>Современная структура китайской редкоземельной промышленности сформирована в результате последовательной государственной политики консолидации, проводившейся в три этапа.</w:t>
      </w:r>
    </w:p>
    <w:p>
      <w:r>
        <w:rPr>
          <w:b/>
          <w:i w:val="0"/>
        </w:rPr>
        <w:t>Первый этап (2011–2016 гг.).</w:t>
      </w:r>
      <w:r>
        <w:rPr>
          <w:b w:val="0"/>
          <w:i w:val="0"/>
        </w:rPr>
        <w:t xml:space="preserve"> Отрасль, насчитывавшая свыше 300 добывающих и переработывающих предприятий, была консолидирована в шесть государственных групп: China Minmetals Rare Earth, Chinalco Rare Earth, China Northern Rare Earth (Baotou Steel), Xiamen Tungsten, Guangdong Rare Earth и China Southern Rare Earth (Ganzhou). Введены обязательные квоты на добычу и разделение, распределяемые между группами, а также система прослеживаемости продукции.</w:t>
      </w:r>
    </w:p>
    <w:p>
      <w:r>
        <w:rPr>
          <w:b/>
          <w:i w:val="0"/>
        </w:rPr>
        <w:t>Второй этап (2021–2022 гг.).</w:t>
      </w:r>
      <w:r>
        <w:rPr>
          <w:b w:val="0"/>
          <w:i w:val="0"/>
        </w:rPr>
        <w:t xml:space="preserve"> Указом Госсовета КНР создана </w:t>
      </w:r>
      <w:r>
        <w:rPr>
          <w:b/>
          <w:i w:val="0"/>
        </w:rPr>
        <w:t>China Rare Earth Group</w:t>
      </w:r>
      <w:r>
        <w:rPr>
          <w:b w:val="0"/>
          <w:i w:val="0"/>
        </w:rPr>
        <w:t xml:space="preserve"> (中国稀土集团) путём объединения редкоземельных активов China Minmetals, Chinalco и Ganzhou Rare Earth Group с добавлением научно-исследовательских институтов. Число групп сокращено с шести до четырёх; новая корпорация получила контроль над основной частью ресурсов тяжёлой группы.</w:t>
      </w:r>
    </w:p>
    <w:p>
      <w:r>
        <w:rPr>
          <w:b/>
          <w:i w:val="0"/>
        </w:rPr>
        <w:t>Третий этап (2023–2025 гг.).</w:t>
      </w:r>
      <w:r>
        <w:rPr>
          <w:b w:val="0"/>
          <w:i w:val="0"/>
        </w:rPr>
        <w:t xml:space="preserve"> Завершено формирование двухполюсной структуры: </w:t>
      </w:r>
      <w:r>
        <w:rPr>
          <w:b/>
          <w:i w:val="0"/>
        </w:rPr>
        <w:t>China Northern Rare Earth Group</w:t>
      </w:r>
      <w:r>
        <w:rPr>
          <w:b w:val="0"/>
          <w:i w:val="0"/>
        </w:rPr>
        <w:t xml:space="preserve"> отвечает преимущественно за лёгкие земли на базе Bayan Obo, </w:t>
      </w:r>
      <w:r>
        <w:rPr>
          <w:b/>
          <w:i w:val="0"/>
        </w:rPr>
        <w:t>China Rare Earth Group</w:t>
      </w:r>
      <w:r>
        <w:rPr>
          <w:b w:val="0"/>
          <w:i w:val="0"/>
        </w:rPr>
        <w:t xml:space="preserve"> — за тяжёлые и средние на базе южных ионно-адсорбционных месторождений. Guangdong Rare Earth и Xiamen Tungsten сохраняют самостоятельность в ограниченном сегменте. В октябре 2024 г. вступили в силу «Правила управления редкоземельной отраслью» (Госсовет КНР, постановление № 785), закрепившие государственную собственность на редкоземельные ресурсы и введшие систему полной прослеживаемости от руды до изделия.</w:t>
      </w:r>
    </w:p>
    <w:p>
      <w:pPr>
        <w:keepNext/>
        <w:spacing w:before="160" w:after="60"/>
        <w:ind w:firstLine="0"/>
        <w:jc w:val="left"/>
      </w:pPr>
      <w:r>
        <w:rPr>
          <w:b/>
          <w:sz w:val="22"/>
        </w:rPr>
        <w:t>Таблица 24. Распределение квот КНР на добычу РЗМ между группами, 2021–2024 гг., т TREO</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Группа</w:t>
            </w:r>
          </w:p>
        </w:tc>
        <w:tc>
          <w:tcPr>
            <w:tcW w:type="dxa" w:w="1995"/>
            <w:shd w:val="clear" w:fill="DCE6F1"/>
          </w:tcPr>
          <w:p>
            <w:pPr>
              <w:spacing w:after="0" w:line="240" w:lineRule="auto"/>
              <w:ind w:firstLine="0"/>
              <w:jc w:val="center"/>
            </w:pPr>
            <w:r>
              <w:rPr>
                <w:b/>
                <w:i w:val="0"/>
                <w:sz w:val="20"/>
              </w:rPr>
              <w:t>2021</w:t>
            </w:r>
          </w:p>
        </w:tc>
        <w:tc>
          <w:tcPr>
            <w:tcW w:type="dxa" w:w="1995"/>
            <w:shd w:val="clear" w:fill="DCE6F1"/>
          </w:tcPr>
          <w:p>
            <w:pPr>
              <w:spacing w:after="0" w:line="240" w:lineRule="auto"/>
              <w:ind w:firstLine="0"/>
              <w:jc w:val="center"/>
            </w:pPr>
            <w:r>
              <w:rPr>
                <w:b/>
                <w:i w:val="0"/>
                <w:sz w:val="20"/>
              </w:rPr>
              <w:t>2022</w:t>
            </w:r>
          </w:p>
        </w:tc>
        <w:tc>
          <w:tcPr>
            <w:tcW w:type="dxa" w:w="1995"/>
            <w:shd w:val="clear" w:fill="DCE6F1"/>
          </w:tcPr>
          <w:p>
            <w:pPr>
              <w:spacing w:after="0" w:line="240" w:lineRule="auto"/>
              <w:ind w:firstLine="0"/>
              <w:jc w:val="center"/>
            </w:pPr>
            <w:r>
              <w:rPr>
                <w:b/>
                <w:i w:val="0"/>
                <w:sz w:val="20"/>
              </w:rPr>
              <w:t>2023</w:t>
            </w:r>
          </w:p>
        </w:tc>
        <w:tc>
          <w:tcPr>
            <w:tcW w:type="dxa" w:w="1995"/>
            <w:shd w:val="clear" w:fill="DCE6F1"/>
          </w:tcPr>
          <w:p>
            <w:pPr>
              <w:spacing w:after="0" w:line="240" w:lineRule="auto"/>
              <w:ind w:firstLine="0"/>
              <w:jc w:val="center"/>
            </w:pPr>
            <w:r>
              <w:rPr>
                <w:b/>
                <w:i w:val="0"/>
                <w:sz w:val="20"/>
              </w:rPr>
              <w:t>2024</w:t>
            </w:r>
          </w:p>
        </w:tc>
      </w:tr>
      <w:tr>
        <w:tc>
          <w:tcPr>
            <w:tcW w:type="dxa" w:w="1995"/>
          </w:tcPr>
          <w:p>
            <w:pPr>
              <w:spacing w:after="0" w:line="240" w:lineRule="auto"/>
              <w:ind w:firstLine="0"/>
              <w:jc w:val="left"/>
            </w:pPr>
            <w:r>
              <w:rPr>
                <w:b w:val="0"/>
                <w:i w:val="0"/>
                <w:sz w:val="20"/>
              </w:rPr>
              <w:t>China Northern Rare Earth Group</w:t>
            </w:r>
          </w:p>
        </w:tc>
        <w:tc>
          <w:tcPr>
            <w:tcW w:type="dxa" w:w="1995"/>
          </w:tcPr>
          <w:p>
            <w:pPr>
              <w:spacing w:after="0" w:line="240" w:lineRule="auto"/>
              <w:ind w:firstLine="0"/>
              <w:jc w:val="center"/>
            </w:pPr>
            <w:r>
              <w:rPr>
                <w:b w:val="0"/>
                <w:i w:val="0"/>
                <w:sz w:val="20"/>
              </w:rPr>
              <w:t>100 350</w:t>
            </w:r>
          </w:p>
        </w:tc>
        <w:tc>
          <w:tcPr>
            <w:tcW w:type="dxa" w:w="1995"/>
          </w:tcPr>
          <w:p>
            <w:pPr>
              <w:spacing w:after="0" w:line="240" w:lineRule="auto"/>
              <w:ind w:firstLine="0"/>
              <w:jc w:val="center"/>
            </w:pPr>
            <w:r>
              <w:rPr>
                <w:b w:val="0"/>
                <w:i w:val="0"/>
                <w:sz w:val="20"/>
              </w:rPr>
              <w:t>141 300</w:t>
            </w:r>
          </w:p>
        </w:tc>
        <w:tc>
          <w:tcPr>
            <w:tcW w:type="dxa" w:w="1995"/>
          </w:tcPr>
          <w:p>
            <w:pPr>
              <w:spacing w:after="0" w:line="240" w:lineRule="auto"/>
              <w:ind w:firstLine="0"/>
              <w:jc w:val="center"/>
            </w:pPr>
            <w:r>
              <w:rPr>
                <w:b w:val="0"/>
                <w:i w:val="0"/>
                <w:sz w:val="20"/>
              </w:rPr>
              <w:t>164 380</w:t>
            </w:r>
          </w:p>
        </w:tc>
        <w:tc>
          <w:tcPr>
            <w:tcW w:type="dxa" w:w="1995"/>
          </w:tcPr>
          <w:p>
            <w:pPr>
              <w:spacing w:after="0" w:line="240" w:lineRule="auto"/>
              <w:ind w:firstLine="0"/>
              <w:jc w:val="center"/>
            </w:pPr>
            <w:r>
              <w:rPr>
                <w:b w:val="0"/>
                <w:i w:val="0"/>
                <w:sz w:val="20"/>
              </w:rPr>
              <w:t>187 240</w:t>
            </w:r>
          </w:p>
        </w:tc>
      </w:tr>
      <w:tr>
        <w:tc>
          <w:tcPr>
            <w:tcW w:type="dxa" w:w="1995"/>
          </w:tcPr>
          <w:p>
            <w:pPr>
              <w:spacing w:after="0" w:line="240" w:lineRule="auto"/>
              <w:ind w:firstLine="0"/>
              <w:jc w:val="left"/>
            </w:pPr>
            <w:r>
              <w:rPr>
                <w:b w:val="0"/>
                <w:i w:val="0"/>
                <w:sz w:val="20"/>
              </w:rPr>
              <w:t>China Rare Earth Group</w:t>
            </w:r>
          </w:p>
        </w:tc>
        <w:tc>
          <w:tcPr>
            <w:tcW w:type="dxa" w:w="1995"/>
          </w:tcPr>
          <w:p>
            <w:pPr>
              <w:spacing w:after="0" w:line="240" w:lineRule="auto"/>
              <w:ind w:firstLine="0"/>
              <w:jc w:val="center"/>
            </w:pPr>
            <w:r>
              <w:rPr>
                <w:b w:val="0"/>
                <w:i w:val="0"/>
                <w:sz w:val="20"/>
              </w:rPr>
              <w:t>43 900</w:t>
            </w:r>
          </w:p>
        </w:tc>
        <w:tc>
          <w:tcPr>
            <w:tcW w:type="dxa" w:w="1995"/>
          </w:tcPr>
          <w:p>
            <w:pPr>
              <w:spacing w:after="0" w:line="240" w:lineRule="auto"/>
              <w:ind w:firstLine="0"/>
              <w:jc w:val="center"/>
            </w:pPr>
            <w:r>
              <w:rPr>
                <w:b w:val="0"/>
                <w:i w:val="0"/>
                <w:sz w:val="20"/>
              </w:rPr>
              <w:t>51 460</w:t>
            </w:r>
          </w:p>
        </w:tc>
        <w:tc>
          <w:tcPr>
            <w:tcW w:type="dxa" w:w="1995"/>
          </w:tcPr>
          <w:p>
            <w:pPr>
              <w:spacing w:after="0" w:line="240" w:lineRule="auto"/>
              <w:ind w:firstLine="0"/>
              <w:jc w:val="center"/>
            </w:pPr>
            <w:r>
              <w:rPr>
                <w:b w:val="0"/>
                <w:i w:val="0"/>
                <w:sz w:val="20"/>
              </w:rPr>
              <w:t>60 300</w:t>
            </w:r>
          </w:p>
        </w:tc>
        <w:tc>
          <w:tcPr>
            <w:tcW w:type="dxa" w:w="1995"/>
          </w:tcPr>
          <w:p>
            <w:pPr>
              <w:spacing w:after="0" w:line="240" w:lineRule="auto"/>
              <w:ind w:firstLine="0"/>
              <w:jc w:val="center"/>
            </w:pPr>
            <w:r>
              <w:rPr>
                <w:b w:val="0"/>
                <w:i w:val="0"/>
                <w:sz w:val="20"/>
              </w:rPr>
              <w:t>68 400</w:t>
            </w:r>
          </w:p>
        </w:tc>
      </w:tr>
      <w:tr>
        <w:tc>
          <w:tcPr>
            <w:tcW w:type="dxa" w:w="1995"/>
          </w:tcPr>
          <w:p>
            <w:pPr>
              <w:spacing w:after="0" w:line="240" w:lineRule="auto"/>
              <w:ind w:firstLine="0"/>
              <w:jc w:val="left"/>
            </w:pPr>
            <w:r>
              <w:rPr>
                <w:b w:val="0"/>
                <w:i w:val="0"/>
                <w:sz w:val="20"/>
              </w:rPr>
              <w:t>Guangdong Rare Earth Group</w:t>
            </w:r>
          </w:p>
        </w:tc>
        <w:tc>
          <w:tcPr>
            <w:tcW w:type="dxa" w:w="1995"/>
          </w:tcPr>
          <w:p>
            <w:pPr>
              <w:spacing w:after="0" w:line="240" w:lineRule="auto"/>
              <w:ind w:firstLine="0"/>
              <w:jc w:val="center"/>
            </w:pPr>
            <w:r>
              <w:rPr>
                <w:b w:val="0"/>
                <w:i w:val="0"/>
                <w:sz w:val="20"/>
              </w:rPr>
              <w:t>12 750</w:t>
            </w:r>
          </w:p>
        </w:tc>
        <w:tc>
          <w:tcPr>
            <w:tcW w:type="dxa" w:w="1995"/>
          </w:tcPr>
          <w:p>
            <w:pPr>
              <w:spacing w:after="0" w:line="240" w:lineRule="auto"/>
              <w:ind w:firstLine="0"/>
              <w:jc w:val="center"/>
            </w:pPr>
            <w:r>
              <w:rPr>
                <w:b w:val="0"/>
                <w:i w:val="0"/>
                <w:sz w:val="20"/>
              </w:rPr>
              <w:t>9 240</w:t>
            </w:r>
          </w:p>
        </w:tc>
        <w:tc>
          <w:tcPr>
            <w:tcW w:type="dxa" w:w="1995"/>
          </w:tcPr>
          <w:p>
            <w:pPr>
              <w:spacing w:after="0" w:line="240" w:lineRule="auto"/>
              <w:ind w:firstLine="0"/>
              <w:jc w:val="center"/>
            </w:pPr>
            <w:r>
              <w:rPr>
                <w:b w:val="0"/>
                <w:i w:val="0"/>
                <w:sz w:val="20"/>
              </w:rPr>
              <w:t>9 320</w:t>
            </w:r>
          </w:p>
        </w:tc>
        <w:tc>
          <w:tcPr>
            <w:tcW w:type="dxa" w:w="1995"/>
          </w:tcPr>
          <w:p>
            <w:pPr>
              <w:spacing w:after="0" w:line="240" w:lineRule="auto"/>
              <w:ind w:firstLine="0"/>
              <w:jc w:val="center"/>
            </w:pPr>
            <w:r>
              <w:rPr>
                <w:b w:val="0"/>
                <w:i w:val="0"/>
                <w:sz w:val="20"/>
              </w:rPr>
              <w:t>9 400</w:t>
            </w:r>
          </w:p>
        </w:tc>
      </w:tr>
      <w:tr>
        <w:tc>
          <w:tcPr>
            <w:tcW w:type="dxa" w:w="1995"/>
          </w:tcPr>
          <w:p>
            <w:pPr>
              <w:spacing w:after="0" w:line="240" w:lineRule="auto"/>
              <w:ind w:firstLine="0"/>
              <w:jc w:val="left"/>
            </w:pPr>
            <w:r>
              <w:rPr>
                <w:b w:val="0"/>
                <w:i w:val="0"/>
                <w:sz w:val="20"/>
              </w:rPr>
              <w:t>Xiamen Tungsten</w:t>
            </w:r>
          </w:p>
        </w:tc>
        <w:tc>
          <w:tcPr>
            <w:tcW w:type="dxa" w:w="1995"/>
          </w:tcPr>
          <w:p>
            <w:pPr>
              <w:spacing w:after="0" w:line="240" w:lineRule="auto"/>
              <w:ind w:firstLine="0"/>
              <w:jc w:val="center"/>
            </w:pPr>
            <w:r>
              <w:rPr>
                <w:b w:val="0"/>
                <w:i w:val="0"/>
                <w:sz w:val="20"/>
              </w:rPr>
              <w:t>11 000</w:t>
            </w:r>
          </w:p>
        </w:tc>
        <w:tc>
          <w:tcPr>
            <w:tcW w:type="dxa" w:w="1995"/>
          </w:tcPr>
          <w:p>
            <w:pPr>
              <w:spacing w:after="0" w:line="240" w:lineRule="auto"/>
              <w:ind w:firstLine="0"/>
              <w:jc w:val="center"/>
            </w:pPr>
            <w:r>
              <w:rPr>
                <w:b w:val="0"/>
                <w:i w:val="0"/>
                <w:sz w:val="20"/>
              </w:rPr>
              <w:t>8 000</w:t>
            </w:r>
          </w:p>
        </w:tc>
        <w:tc>
          <w:tcPr>
            <w:tcW w:type="dxa" w:w="1995"/>
          </w:tcPr>
          <w:p>
            <w:pPr>
              <w:spacing w:after="0" w:line="240" w:lineRule="auto"/>
              <w:ind w:firstLine="0"/>
              <w:jc w:val="center"/>
            </w:pPr>
            <w:r>
              <w:rPr>
                <w:b w:val="0"/>
                <w:i w:val="0"/>
                <w:sz w:val="20"/>
              </w:rPr>
              <w:t>6 000</w:t>
            </w:r>
          </w:p>
        </w:tc>
        <w:tc>
          <w:tcPr>
            <w:tcW w:type="dxa" w:w="1995"/>
          </w:tcPr>
          <w:p>
            <w:pPr>
              <w:spacing w:after="0" w:line="240" w:lineRule="auto"/>
              <w:ind w:firstLine="0"/>
              <w:jc w:val="center"/>
            </w:pPr>
            <w:r>
              <w:rPr>
                <w:b w:val="0"/>
                <w:i w:val="0"/>
                <w:sz w:val="20"/>
              </w:rPr>
              <w:t>4 960</w:t>
            </w:r>
          </w:p>
        </w:tc>
      </w:tr>
      <w:tr>
        <w:tc>
          <w:tcPr>
            <w:tcW w:type="dxa" w:w="1995"/>
          </w:tcPr>
          <w:p>
            <w:pPr>
              <w:spacing w:after="0" w:line="240" w:lineRule="auto"/>
              <w:ind w:firstLine="0"/>
              <w:jc w:val="left"/>
            </w:pPr>
            <w:r>
              <w:rPr>
                <w:b/>
                <w:i w:val="0"/>
                <w:sz w:val="20"/>
              </w:rPr>
              <w:t>Всего</w:t>
            </w:r>
          </w:p>
        </w:tc>
        <w:tc>
          <w:tcPr>
            <w:tcW w:type="dxa" w:w="1995"/>
          </w:tcPr>
          <w:p>
            <w:pPr>
              <w:spacing w:after="0" w:line="240" w:lineRule="auto"/>
              <w:ind w:firstLine="0"/>
              <w:jc w:val="center"/>
            </w:pPr>
            <w:r>
              <w:rPr>
                <w:b/>
                <w:i w:val="0"/>
                <w:sz w:val="20"/>
              </w:rPr>
              <w:t>168 000</w:t>
            </w:r>
          </w:p>
        </w:tc>
        <w:tc>
          <w:tcPr>
            <w:tcW w:type="dxa" w:w="1995"/>
          </w:tcPr>
          <w:p>
            <w:pPr>
              <w:spacing w:after="0" w:line="240" w:lineRule="auto"/>
              <w:ind w:firstLine="0"/>
              <w:jc w:val="center"/>
            </w:pPr>
            <w:r>
              <w:rPr>
                <w:b/>
                <w:i w:val="0"/>
                <w:sz w:val="20"/>
              </w:rPr>
              <w:t>210 000</w:t>
            </w:r>
          </w:p>
        </w:tc>
        <w:tc>
          <w:tcPr>
            <w:tcW w:type="dxa" w:w="1995"/>
          </w:tcPr>
          <w:p>
            <w:pPr>
              <w:spacing w:after="0" w:line="240" w:lineRule="auto"/>
              <w:ind w:firstLine="0"/>
              <w:jc w:val="center"/>
            </w:pPr>
            <w:r>
              <w:rPr>
                <w:b/>
                <w:i w:val="0"/>
                <w:sz w:val="20"/>
              </w:rPr>
              <w:t>240 000</w:t>
            </w:r>
          </w:p>
        </w:tc>
        <w:tc>
          <w:tcPr>
            <w:tcW w:type="dxa" w:w="1995"/>
          </w:tcPr>
          <w:p>
            <w:pPr>
              <w:spacing w:after="0" w:line="240" w:lineRule="auto"/>
              <w:ind w:firstLine="0"/>
              <w:jc w:val="center"/>
            </w:pPr>
            <w:r>
              <w:rPr>
                <w:b/>
                <w:i w:val="0"/>
                <w:sz w:val="20"/>
              </w:rPr>
              <w:t>270 000</w:t>
            </w:r>
          </w:p>
        </w:tc>
      </w:tr>
    </w:tbl>
    <w:p>
      <w:pPr>
        <w:spacing w:after="180"/>
        <w:ind w:firstLine="0"/>
      </w:pPr>
      <w:r>
        <w:rPr>
          <w:i/>
          <w:sz w:val="20"/>
        </w:rPr>
        <w:t>Источник: Министерство промышленности и информатизации КНР</w:t>
      </w:r>
    </w:p>
    <w:p>
      <w:pPr>
        <w:keepNext/>
        <w:spacing w:before="160" w:after="60"/>
        <w:ind w:firstLine="0"/>
        <w:jc w:val="left"/>
      </w:pPr>
      <w:r>
        <w:rPr>
          <w:b/>
          <w:sz w:val="22"/>
        </w:rPr>
        <w:t>Рисунок 18. Распределение квот КНР на добычу РЗМ между государственными группами, 2021–2024 гг., тыс. т TREO</w:t>
      </w:r>
    </w:p>
    <w:p>
      <w:pPr>
        <w:ind w:firstLine="0"/>
        <w:jc w:val="center"/>
      </w:pPr>
      <w:r>
        <w:drawing>
          <wp:inline xmlns:a="http://schemas.openxmlformats.org/drawingml/2006/main" xmlns:pic="http://schemas.openxmlformats.org/drawingml/2006/picture">
            <wp:extent cx="5580000" cy="2731327"/>
            <wp:docPr id="18" name="Picture 18"/>
            <wp:cNvGraphicFramePr>
              <a:graphicFrameLocks noChangeAspect="1"/>
            </wp:cNvGraphicFramePr>
            <a:graphic>
              <a:graphicData uri="http://schemas.openxmlformats.org/drawingml/2006/picture">
                <pic:pic>
                  <pic:nvPicPr>
                    <pic:cNvPr id="0" name="fig18.png"/>
                    <pic:cNvPicPr/>
                  </pic:nvPicPr>
                  <pic:blipFill>
                    <a:blip r:embed="rId28"/>
                    <a:stretch>
                      <a:fillRect/>
                    </a:stretch>
                  </pic:blipFill>
                  <pic:spPr>
                    <a:xfrm>
                      <a:off x="0" y="0"/>
                      <a:ext cx="5580000" cy="2731327"/>
                    </a:xfrm>
                    <a:prstGeom prst="rect"/>
                  </pic:spPr>
                </pic:pic>
              </a:graphicData>
            </a:graphic>
          </wp:inline>
        </w:drawing>
      </w:r>
    </w:p>
    <w:p>
      <w:pPr>
        <w:spacing w:after="180"/>
        <w:ind w:firstLine="0"/>
      </w:pPr>
      <w:r>
        <w:rPr>
          <w:i/>
          <w:sz w:val="20"/>
        </w:rPr>
        <w:t>Источник: Министерство промышленности и информатизации КНР</w:t>
      </w:r>
    </w:p>
    <w:p>
      <w:r>
        <w:rPr>
          <w:b w:val="0"/>
          <w:i w:val="0"/>
        </w:rPr>
        <w:t>Динамика, отражённая на рисунке 18, демонстрирует последовательное перераспределение квот в пользу Northern Rare Earth Group: её доля выросла с 59,7% в 2021 г. до 69,3% в 2024 г. Одновременно сокращаются квоты Xiamen Tungsten и Guangdong Rare Earth. Это отражает стратегический выбор в пользу наращивания добычи лёгких земель на Bayan Obo при сдерживании эксплуатации экологически уязвимых ионно-адсорбционных объектов юга страны.</w:t>
      </w:r>
    </w:p>
    <w:p>
      <w:pPr>
        <w:pStyle w:val="Heading3"/>
      </w:pPr>
      <w:r>
        <w:rPr>
          <w:b w:val="0"/>
          <w:i w:val="0"/>
        </w:rPr>
        <w:t>4.2.2. China Northern Rare Earth (Group) High-Tech Co., Ltd.</w:t>
      </w:r>
    </w:p>
    <w:p>
      <w:r>
        <w:rPr>
          <w:b w:val="0"/>
          <w:i w:val="0"/>
        </w:rPr>
        <w:t>Крупнейший в мире производитель редкоземельной продукции. Штаб-квартира — Баотоу, Внутренняя Монголия. Контролирующий акционер — Baotou Iron and Steel (Group) Co. (Baogang Group), государственная корпорация Автономного района Внутренняя Монголия. Акции котируются на Шанхайской фондовой бирже (600111.SS).</w:t>
      </w:r>
    </w:p>
    <w:p>
      <w:r>
        <w:rPr>
          <w:b w:val="0"/>
          <w:i w:val="0"/>
        </w:rPr>
        <w:t>Ресурсная база — месторождение Bayan Obo, разрабатываемое в комплексе с железорудным производством, что обеспечивает уникально низкие удельные издержки. Компания располагает полной технологической цепочкой: обогащение, разделение (мощность свыше 100 тыс. т TREO/год), металлургический передел, производство магнитных материалов, полировальных порошков, катализаторов, водородопоглощающих сплавов и люминофоров.</w:t>
      </w:r>
    </w:p>
    <w:p>
      <w:r>
        <w:rPr>
          <w:b w:val="0"/>
          <w:i w:val="0"/>
        </w:rPr>
        <w:t>Ключевые операционные и финансовые показатели демонстрируют высокую чувствительность к ценовому циклу: при относительно стабильных физических объёмах выручка и прибыль колеблются кратно.</w:t>
      </w:r>
    </w:p>
    <w:p>
      <w:pPr>
        <w:keepNext/>
        <w:spacing w:before="160" w:after="60"/>
        <w:ind w:firstLine="0"/>
        <w:jc w:val="left"/>
      </w:pPr>
      <w:r>
        <w:rPr>
          <w:b/>
          <w:sz w:val="22"/>
        </w:rPr>
        <w:t>Таблица 25. Основные показатели China Northern Rare Earth Group, 2019–2024 гг.</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Показатель</w:t>
            </w:r>
          </w:p>
        </w:tc>
        <w:tc>
          <w:tcPr>
            <w:tcW w:type="dxa" w:w="1425"/>
            <w:shd w:val="clear" w:fill="DCE6F1"/>
          </w:tcPr>
          <w:p>
            <w:pPr>
              <w:spacing w:after="0" w:line="240" w:lineRule="auto"/>
              <w:ind w:firstLine="0"/>
              <w:jc w:val="center"/>
            </w:pPr>
            <w:r>
              <w:rPr>
                <w:b/>
                <w:i w:val="0"/>
                <w:sz w:val="20"/>
              </w:rPr>
              <w:t>2019</w:t>
            </w:r>
          </w:p>
        </w:tc>
        <w:tc>
          <w:tcPr>
            <w:tcW w:type="dxa" w:w="1425"/>
            <w:shd w:val="clear" w:fill="DCE6F1"/>
          </w:tcPr>
          <w:p>
            <w:pPr>
              <w:spacing w:after="0" w:line="240" w:lineRule="auto"/>
              <w:ind w:firstLine="0"/>
              <w:jc w:val="center"/>
            </w:pPr>
            <w:r>
              <w:rPr>
                <w:b/>
                <w:i w:val="0"/>
                <w:sz w:val="20"/>
              </w:rPr>
              <w:t>2020</w:t>
            </w:r>
          </w:p>
        </w:tc>
        <w:tc>
          <w:tcPr>
            <w:tcW w:type="dxa" w:w="1425"/>
            <w:shd w:val="clear" w:fill="DCE6F1"/>
          </w:tcPr>
          <w:p>
            <w:pPr>
              <w:spacing w:after="0" w:line="240" w:lineRule="auto"/>
              <w:ind w:firstLine="0"/>
              <w:jc w:val="center"/>
            </w:pPr>
            <w:r>
              <w:rPr>
                <w:b/>
                <w:i w:val="0"/>
                <w:sz w:val="20"/>
              </w:rPr>
              <w:t>2021</w:t>
            </w:r>
          </w:p>
        </w:tc>
        <w:tc>
          <w:tcPr>
            <w:tcW w:type="dxa" w:w="1425"/>
            <w:shd w:val="clear" w:fill="DCE6F1"/>
          </w:tcPr>
          <w:p>
            <w:pPr>
              <w:spacing w:after="0" w:line="240" w:lineRule="auto"/>
              <w:ind w:firstLine="0"/>
              <w:jc w:val="center"/>
            </w:pPr>
            <w:r>
              <w:rPr>
                <w:b/>
                <w:i w:val="0"/>
                <w:sz w:val="20"/>
              </w:rPr>
              <w:t>2022</w:t>
            </w:r>
          </w:p>
        </w:tc>
        <w:tc>
          <w:tcPr>
            <w:tcW w:type="dxa" w:w="1425"/>
            <w:shd w:val="clear" w:fill="DCE6F1"/>
          </w:tcPr>
          <w:p>
            <w:pPr>
              <w:spacing w:after="0" w:line="240" w:lineRule="auto"/>
              <w:ind w:firstLine="0"/>
              <w:jc w:val="center"/>
            </w:pPr>
            <w:r>
              <w:rPr>
                <w:b/>
                <w:i w:val="0"/>
                <w:sz w:val="20"/>
              </w:rPr>
              <w:t>2023</w:t>
            </w:r>
          </w:p>
        </w:tc>
        <w:tc>
          <w:tcPr>
            <w:tcW w:type="dxa" w:w="1425"/>
            <w:shd w:val="clear" w:fill="DCE6F1"/>
          </w:tcPr>
          <w:p>
            <w:pPr>
              <w:spacing w:after="0" w:line="240" w:lineRule="auto"/>
              <w:ind w:firstLine="0"/>
              <w:jc w:val="center"/>
            </w:pPr>
            <w:r>
              <w:rPr>
                <w:b/>
                <w:i w:val="0"/>
                <w:sz w:val="20"/>
              </w:rPr>
              <w:t>2024</w:t>
            </w:r>
          </w:p>
        </w:tc>
      </w:tr>
      <w:tr>
        <w:tc>
          <w:tcPr>
            <w:tcW w:type="dxa" w:w="1425"/>
          </w:tcPr>
          <w:p>
            <w:pPr>
              <w:spacing w:after="0" w:line="240" w:lineRule="auto"/>
              <w:ind w:firstLine="0"/>
              <w:jc w:val="left"/>
            </w:pPr>
            <w:r>
              <w:rPr>
                <w:b w:val="0"/>
                <w:i w:val="0"/>
                <w:sz w:val="20"/>
              </w:rPr>
              <w:t>Выручка, млрд юаней</w:t>
            </w:r>
          </w:p>
        </w:tc>
        <w:tc>
          <w:tcPr>
            <w:tcW w:type="dxa" w:w="1425"/>
          </w:tcPr>
          <w:p>
            <w:pPr>
              <w:spacing w:after="0" w:line="240" w:lineRule="auto"/>
              <w:ind w:firstLine="0"/>
              <w:jc w:val="center"/>
            </w:pPr>
            <w:r>
              <w:rPr>
                <w:b w:val="0"/>
                <w:i w:val="0"/>
                <w:sz w:val="20"/>
              </w:rPr>
              <w:t>18,4</w:t>
            </w:r>
          </w:p>
        </w:tc>
        <w:tc>
          <w:tcPr>
            <w:tcW w:type="dxa" w:w="1425"/>
          </w:tcPr>
          <w:p>
            <w:pPr>
              <w:spacing w:after="0" w:line="240" w:lineRule="auto"/>
              <w:ind w:firstLine="0"/>
              <w:jc w:val="center"/>
            </w:pPr>
            <w:r>
              <w:rPr>
                <w:b w:val="0"/>
                <w:i w:val="0"/>
                <w:sz w:val="20"/>
              </w:rPr>
              <w:t>22,1</w:t>
            </w:r>
          </w:p>
        </w:tc>
        <w:tc>
          <w:tcPr>
            <w:tcW w:type="dxa" w:w="1425"/>
          </w:tcPr>
          <w:p>
            <w:pPr>
              <w:spacing w:after="0" w:line="240" w:lineRule="auto"/>
              <w:ind w:firstLine="0"/>
              <w:jc w:val="center"/>
            </w:pPr>
            <w:r>
              <w:rPr>
                <w:b w:val="0"/>
                <w:i w:val="0"/>
                <w:sz w:val="20"/>
              </w:rPr>
              <w:t>30,4</w:t>
            </w:r>
          </w:p>
        </w:tc>
        <w:tc>
          <w:tcPr>
            <w:tcW w:type="dxa" w:w="1425"/>
          </w:tcPr>
          <w:p>
            <w:pPr>
              <w:spacing w:after="0" w:line="240" w:lineRule="auto"/>
              <w:ind w:firstLine="0"/>
              <w:jc w:val="center"/>
            </w:pPr>
            <w:r>
              <w:rPr>
                <w:b w:val="0"/>
                <w:i w:val="0"/>
                <w:sz w:val="20"/>
              </w:rPr>
              <w:t>37,2</w:t>
            </w:r>
          </w:p>
        </w:tc>
        <w:tc>
          <w:tcPr>
            <w:tcW w:type="dxa" w:w="1425"/>
          </w:tcPr>
          <w:p>
            <w:pPr>
              <w:spacing w:after="0" w:line="240" w:lineRule="auto"/>
              <w:ind w:firstLine="0"/>
              <w:jc w:val="center"/>
            </w:pPr>
            <w:r>
              <w:rPr>
                <w:b w:val="0"/>
                <w:i w:val="0"/>
                <w:sz w:val="20"/>
              </w:rPr>
              <w:t>33,5</w:t>
            </w:r>
          </w:p>
        </w:tc>
        <w:tc>
          <w:tcPr>
            <w:tcW w:type="dxa" w:w="1425"/>
          </w:tcPr>
          <w:p>
            <w:pPr>
              <w:spacing w:after="0" w:line="240" w:lineRule="auto"/>
              <w:ind w:firstLine="0"/>
              <w:jc w:val="center"/>
            </w:pPr>
            <w:r>
              <w:rPr>
                <w:b w:val="0"/>
                <w:i w:val="0"/>
                <w:sz w:val="20"/>
              </w:rPr>
              <w:t>32,8</w:t>
            </w:r>
          </w:p>
        </w:tc>
      </w:tr>
      <w:tr>
        <w:tc>
          <w:tcPr>
            <w:tcW w:type="dxa" w:w="1425"/>
          </w:tcPr>
          <w:p>
            <w:pPr>
              <w:spacing w:after="0" w:line="240" w:lineRule="auto"/>
              <w:ind w:firstLine="0"/>
              <w:jc w:val="left"/>
            </w:pPr>
            <w:r>
              <w:rPr>
                <w:b w:val="0"/>
                <w:i w:val="0"/>
                <w:sz w:val="20"/>
              </w:rPr>
              <w:t>Чистая прибыль, млрд юаней</w:t>
            </w:r>
          </w:p>
        </w:tc>
        <w:tc>
          <w:tcPr>
            <w:tcW w:type="dxa" w:w="1425"/>
          </w:tcPr>
          <w:p>
            <w:pPr>
              <w:spacing w:after="0" w:line="240" w:lineRule="auto"/>
              <w:ind w:firstLine="0"/>
              <w:jc w:val="center"/>
            </w:pPr>
            <w:r>
              <w:rPr>
                <w:b w:val="0"/>
                <w:i w:val="0"/>
                <w:sz w:val="20"/>
              </w:rPr>
              <w:t>0,55</w:t>
            </w:r>
          </w:p>
        </w:tc>
        <w:tc>
          <w:tcPr>
            <w:tcW w:type="dxa" w:w="1425"/>
          </w:tcPr>
          <w:p>
            <w:pPr>
              <w:spacing w:after="0" w:line="240" w:lineRule="auto"/>
              <w:ind w:firstLine="0"/>
              <w:jc w:val="center"/>
            </w:pPr>
            <w:r>
              <w:rPr>
                <w:b w:val="0"/>
                <w:i w:val="0"/>
                <w:sz w:val="20"/>
              </w:rPr>
              <w:t>0,85</w:t>
            </w:r>
          </w:p>
        </w:tc>
        <w:tc>
          <w:tcPr>
            <w:tcW w:type="dxa" w:w="1425"/>
          </w:tcPr>
          <w:p>
            <w:pPr>
              <w:spacing w:after="0" w:line="240" w:lineRule="auto"/>
              <w:ind w:firstLine="0"/>
              <w:jc w:val="center"/>
            </w:pPr>
            <w:r>
              <w:rPr>
                <w:b w:val="0"/>
                <w:i w:val="0"/>
                <w:sz w:val="20"/>
              </w:rPr>
              <w:t>5,13</w:t>
            </w:r>
          </w:p>
        </w:tc>
        <w:tc>
          <w:tcPr>
            <w:tcW w:type="dxa" w:w="1425"/>
          </w:tcPr>
          <w:p>
            <w:pPr>
              <w:spacing w:after="0" w:line="240" w:lineRule="auto"/>
              <w:ind w:firstLine="0"/>
              <w:jc w:val="center"/>
            </w:pPr>
            <w:r>
              <w:rPr>
                <w:b w:val="0"/>
                <w:i w:val="0"/>
                <w:sz w:val="20"/>
              </w:rPr>
              <w:t>5,99</w:t>
            </w:r>
          </w:p>
        </w:tc>
        <w:tc>
          <w:tcPr>
            <w:tcW w:type="dxa" w:w="1425"/>
          </w:tcPr>
          <w:p>
            <w:pPr>
              <w:spacing w:after="0" w:line="240" w:lineRule="auto"/>
              <w:ind w:firstLine="0"/>
              <w:jc w:val="center"/>
            </w:pPr>
            <w:r>
              <w:rPr>
                <w:b w:val="0"/>
                <w:i w:val="0"/>
                <w:sz w:val="20"/>
              </w:rPr>
              <w:t>1,80</w:t>
            </w:r>
          </w:p>
        </w:tc>
        <w:tc>
          <w:tcPr>
            <w:tcW w:type="dxa" w:w="1425"/>
          </w:tcPr>
          <w:p>
            <w:pPr>
              <w:spacing w:after="0" w:line="240" w:lineRule="auto"/>
              <w:ind w:firstLine="0"/>
              <w:jc w:val="center"/>
            </w:pPr>
            <w:r>
              <w:rPr>
                <w:b w:val="0"/>
                <w:i w:val="0"/>
                <w:sz w:val="20"/>
              </w:rPr>
              <w:t>0,72</w:t>
            </w:r>
          </w:p>
        </w:tc>
      </w:tr>
      <w:tr>
        <w:tc>
          <w:tcPr>
            <w:tcW w:type="dxa" w:w="1425"/>
          </w:tcPr>
          <w:p>
            <w:pPr>
              <w:spacing w:after="0" w:line="240" w:lineRule="auto"/>
              <w:ind w:firstLine="0"/>
              <w:jc w:val="left"/>
            </w:pPr>
            <w:r>
              <w:rPr>
                <w:b w:val="0"/>
                <w:i w:val="0"/>
                <w:sz w:val="20"/>
              </w:rPr>
              <w:t>Рентабельность по чистой прибыли, %</w:t>
            </w:r>
          </w:p>
        </w:tc>
        <w:tc>
          <w:tcPr>
            <w:tcW w:type="dxa" w:w="1425"/>
          </w:tcPr>
          <w:p>
            <w:pPr>
              <w:spacing w:after="0" w:line="240" w:lineRule="auto"/>
              <w:ind w:firstLine="0"/>
              <w:jc w:val="center"/>
            </w:pPr>
            <w:r>
              <w:rPr>
                <w:b w:val="0"/>
                <w:i w:val="0"/>
                <w:sz w:val="20"/>
              </w:rPr>
              <w:t>3,0</w:t>
            </w:r>
          </w:p>
        </w:tc>
        <w:tc>
          <w:tcPr>
            <w:tcW w:type="dxa" w:w="1425"/>
          </w:tcPr>
          <w:p>
            <w:pPr>
              <w:spacing w:after="0" w:line="240" w:lineRule="auto"/>
              <w:ind w:firstLine="0"/>
              <w:jc w:val="center"/>
            </w:pPr>
            <w:r>
              <w:rPr>
                <w:b w:val="0"/>
                <w:i w:val="0"/>
                <w:sz w:val="20"/>
              </w:rPr>
              <w:t>3,8</w:t>
            </w:r>
          </w:p>
        </w:tc>
        <w:tc>
          <w:tcPr>
            <w:tcW w:type="dxa" w:w="1425"/>
          </w:tcPr>
          <w:p>
            <w:pPr>
              <w:spacing w:after="0" w:line="240" w:lineRule="auto"/>
              <w:ind w:firstLine="0"/>
              <w:jc w:val="center"/>
            </w:pPr>
            <w:r>
              <w:rPr>
                <w:b w:val="0"/>
                <w:i w:val="0"/>
                <w:sz w:val="20"/>
              </w:rPr>
              <w:t>16,9</w:t>
            </w:r>
          </w:p>
        </w:tc>
        <w:tc>
          <w:tcPr>
            <w:tcW w:type="dxa" w:w="1425"/>
          </w:tcPr>
          <w:p>
            <w:pPr>
              <w:spacing w:after="0" w:line="240" w:lineRule="auto"/>
              <w:ind w:firstLine="0"/>
              <w:jc w:val="center"/>
            </w:pPr>
            <w:r>
              <w:rPr>
                <w:b w:val="0"/>
                <w:i w:val="0"/>
                <w:sz w:val="20"/>
              </w:rPr>
              <w:t>16,1</w:t>
            </w:r>
          </w:p>
        </w:tc>
        <w:tc>
          <w:tcPr>
            <w:tcW w:type="dxa" w:w="1425"/>
          </w:tcPr>
          <w:p>
            <w:pPr>
              <w:spacing w:after="0" w:line="240" w:lineRule="auto"/>
              <w:ind w:firstLine="0"/>
              <w:jc w:val="center"/>
            </w:pPr>
            <w:r>
              <w:rPr>
                <w:b w:val="0"/>
                <w:i w:val="0"/>
                <w:sz w:val="20"/>
              </w:rPr>
              <w:t>5,4</w:t>
            </w:r>
          </w:p>
        </w:tc>
        <w:tc>
          <w:tcPr>
            <w:tcW w:type="dxa" w:w="1425"/>
          </w:tcPr>
          <w:p>
            <w:pPr>
              <w:spacing w:after="0" w:line="240" w:lineRule="auto"/>
              <w:ind w:firstLine="0"/>
              <w:jc w:val="center"/>
            </w:pPr>
            <w:r>
              <w:rPr>
                <w:b w:val="0"/>
                <w:i w:val="0"/>
                <w:sz w:val="20"/>
              </w:rPr>
              <w:t>2,2</w:t>
            </w:r>
          </w:p>
        </w:tc>
      </w:tr>
      <w:tr>
        <w:tc>
          <w:tcPr>
            <w:tcW w:type="dxa" w:w="1425"/>
          </w:tcPr>
          <w:p>
            <w:pPr>
              <w:spacing w:after="0" w:line="240" w:lineRule="auto"/>
              <w:ind w:firstLine="0"/>
              <w:jc w:val="left"/>
            </w:pPr>
            <w:r>
              <w:rPr>
                <w:b w:val="0"/>
                <w:i w:val="0"/>
                <w:sz w:val="20"/>
              </w:rPr>
              <w:t>Производство концентрата, тыс. т</w:t>
            </w:r>
          </w:p>
        </w:tc>
        <w:tc>
          <w:tcPr>
            <w:tcW w:type="dxa" w:w="1425"/>
          </w:tcPr>
          <w:p>
            <w:pPr>
              <w:spacing w:after="0" w:line="240" w:lineRule="auto"/>
              <w:ind w:firstLine="0"/>
              <w:jc w:val="center"/>
            </w:pPr>
            <w:r>
              <w:rPr>
                <w:b w:val="0"/>
                <w:i w:val="0"/>
                <w:sz w:val="20"/>
              </w:rPr>
              <w:t>н/д</w:t>
            </w:r>
          </w:p>
        </w:tc>
        <w:tc>
          <w:tcPr>
            <w:tcW w:type="dxa" w:w="1425"/>
          </w:tcPr>
          <w:p>
            <w:pPr>
              <w:spacing w:after="0" w:line="240" w:lineRule="auto"/>
              <w:ind w:firstLine="0"/>
              <w:jc w:val="center"/>
            </w:pPr>
            <w:r>
              <w:rPr>
                <w:b w:val="0"/>
                <w:i w:val="0"/>
                <w:sz w:val="20"/>
              </w:rPr>
              <w:t>н/д</w:t>
            </w:r>
          </w:p>
        </w:tc>
        <w:tc>
          <w:tcPr>
            <w:tcW w:type="dxa" w:w="1425"/>
          </w:tcPr>
          <w:p>
            <w:pPr>
              <w:spacing w:after="0" w:line="240" w:lineRule="auto"/>
              <w:ind w:firstLine="0"/>
              <w:jc w:val="center"/>
            </w:pPr>
            <w:r>
              <w:rPr>
                <w:b w:val="0"/>
                <w:i w:val="0"/>
                <w:sz w:val="20"/>
              </w:rPr>
              <w:t>н/д</w:t>
            </w:r>
          </w:p>
        </w:tc>
        <w:tc>
          <w:tcPr>
            <w:tcW w:type="dxa" w:w="1425"/>
          </w:tcPr>
          <w:p>
            <w:pPr>
              <w:spacing w:after="0" w:line="240" w:lineRule="auto"/>
              <w:ind w:firstLine="0"/>
              <w:jc w:val="center"/>
            </w:pPr>
            <w:r>
              <w:rPr>
                <w:b w:val="0"/>
                <w:i w:val="0"/>
                <w:sz w:val="20"/>
              </w:rPr>
              <w:t>н/д</w:t>
            </w:r>
          </w:p>
        </w:tc>
        <w:tc>
          <w:tcPr>
            <w:tcW w:type="dxa" w:w="1425"/>
          </w:tcPr>
          <w:p>
            <w:pPr>
              <w:spacing w:after="0" w:line="240" w:lineRule="auto"/>
              <w:ind w:firstLine="0"/>
              <w:jc w:val="center"/>
            </w:pPr>
            <w:r>
              <w:rPr>
                <w:b w:val="0"/>
                <w:i w:val="0"/>
                <w:sz w:val="20"/>
              </w:rPr>
              <w:t>н/д</w:t>
            </w:r>
          </w:p>
        </w:tc>
        <w:tc>
          <w:tcPr>
            <w:tcW w:type="dxa" w:w="1425"/>
          </w:tcPr>
          <w:p>
            <w:pPr>
              <w:spacing w:after="0" w:line="240" w:lineRule="auto"/>
              <w:ind w:firstLine="0"/>
              <w:jc w:val="center"/>
            </w:pPr>
            <w:r>
              <w:rPr>
                <w:b w:val="0"/>
                <w:i w:val="0"/>
                <w:sz w:val="20"/>
              </w:rPr>
              <w:t>н/д</w:t>
            </w:r>
          </w:p>
        </w:tc>
      </w:tr>
      <w:tr>
        <w:tc>
          <w:tcPr>
            <w:tcW w:type="dxa" w:w="1425"/>
          </w:tcPr>
          <w:p>
            <w:pPr>
              <w:spacing w:after="0" w:line="240" w:lineRule="auto"/>
              <w:ind w:firstLine="0"/>
              <w:jc w:val="left"/>
            </w:pPr>
            <w:r>
              <w:rPr>
                <w:b w:val="0"/>
                <w:i w:val="0"/>
                <w:sz w:val="20"/>
              </w:rPr>
              <w:t>Квота на добычу, тыс. т TREO</w:t>
            </w:r>
          </w:p>
        </w:tc>
        <w:tc>
          <w:tcPr>
            <w:tcW w:type="dxa" w:w="1425"/>
          </w:tcPr>
          <w:p>
            <w:pPr>
              <w:spacing w:after="0" w:line="240" w:lineRule="auto"/>
              <w:ind w:firstLine="0"/>
              <w:jc w:val="center"/>
            </w:pPr>
            <w:r>
              <w:rPr>
                <w:b w:val="0"/>
                <w:i w:val="0"/>
                <w:sz w:val="20"/>
              </w:rPr>
              <w:t>70,0</w:t>
            </w:r>
          </w:p>
        </w:tc>
        <w:tc>
          <w:tcPr>
            <w:tcW w:type="dxa" w:w="1425"/>
          </w:tcPr>
          <w:p>
            <w:pPr>
              <w:spacing w:after="0" w:line="240" w:lineRule="auto"/>
              <w:ind w:firstLine="0"/>
              <w:jc w:val="center"/>
            </w:pPr>
            <w:r>
              <w:rPr>
                <w:b w:val="0"/>
                <w:i w:val="0"/>
                <w:sz w:val="20"/>
              </w:rPr>
              <w:t>73,5</w:t>
            </w:r>
          </w:p>
        </w:tc>
        <w:tc>
          <w:tcPr>
            <w:tcW w:type="dxa" w:w="1425"/>
          </w:tcPr>
          <w:p>
            <w:pPr>
              <w:spacing w:after="0" w:line="240" w:lineRule="auto"/>
              <w:ind w:firstLine="0"/>
              <w:jc w:val="center"/>
            </w:pPr>
            <w:r>
              <w:rPr>
                <w:b w:val="0"/>
                <w:i w:val="0"/>
                <w:sz w:val="20"/>
              </w:rPr>
              <w:t>100,4</w:t>
            </w:r>
          </w:p>
        </w:tc>
        <w:tc>
          <w:tcPr>
            <w:tcW w:type="dxa" w:w="1425"/>
          </w:tcPr>
          <w:p>
            <w:pPr>
              <w:spacing w:after="0" w:line="240" w:lineRule="auto"/>
              <w:ind w:firstLine="0"/>
              <w:jc w:val="center"/>
            </w:pPr>
            <w:r>
              <w:rPr>
                <w:b w:val="0"/>
                <w:i w:val="0"/>
                <w:sz w:val="20"/>
              </w:rPr>
              <w:t>141,3</w:t>
            </w:r>
          </w:p>
        </w:tc>
        <w:tc>
          <w:tcPr>
            <w:tcW w:type="dxa" w:w="1425"/>
          </w:tcPr>
          <w:p>
            <w:pPr>
              <w:spacing w:after="0" w:line="240" w:lineRule="auto"/>
              <w:ind w:firstLine="0"/>
              <w:jc w:val="center"/>
            </w:pPr>
            <w:r>
              <w:rPr>
                <w:b w:val="0"/>
                <w:i w:val="0"/>
                <w:sz w:val="20"/>
              </w:rPr>
              <w:t>164,4</w:t>
            </w:r>
          </w:p>
        </w:tc>
        <w:tc>
          <w:tcPr>
            <w:tcW w:type="dxa" w:w="1425"/>
          </w:tcPr>
          <w:p>
            <w:pPr>
              <w:spacing w:after="0" w:line="240" w:lineRule="auto"/>
              <w:ind w:firstLine="0"/>
              <w:jc w:val="center"/>
            </w:pPr>
            <w:r>
              <w:rPr>
                <w:b w:val="0"/>
                <w:i w:val="0"/>
                <w:sz w:val="20"/>
              </w:rPr>
              <w:t>187,2</w:t>
            </w:r>
          </w:p>
        </w:tc>
      </w:tr>
      <w:tr>
        <w:tc>
          <w:tcPr>
            <w:tcW w:type="dxa" w:w="1425"/>
          </w:tcPr>
          <w:p>
            <w:pPr>
              <w:spacing w:after="0" w:line="240" w:lineRule="auto"/>
              <w:ind w:firstLine="0"/>
              <w:jc w:val="left"/>
            </w:pPr>
            <w:r>
              <w:rPr>
                <w:b w:val="0"/>
                <w:i w:val="0"/>
                <w:sz w:val="20"/>
              </w:rPr>
              <w:t>Квота на разделение, тыс. т TREO</w:t>
            </w:r>
          </w:p>
        </w:tc>
        <w:tc>
          <w:tcPr>
            <w:tcW w:type="dxa" w:w="1425"/>
          </w:tcPr>
          <w:p>
            <w:pPr>
              <w:spacing w:after="0" w:line="240" w:lineRule="auto"/>
              <w:ind w:firstLine="0"/>
              <w:jc w:val="center"/>
            </w:pPr>
            <w:r>
              <w:rPr>
                <w:b w:val="0"/>
                <w:i w:val="0"/>
                <w:sz w:val="20"/>
              </w:rPr>
              <w:t>67,2</w:t>
            </w:r>
          </w:p>
        </w:tc>
        <w:tc>
          <w:tcPr>
            <w:tcW w:type="dxa" w:w="1425"/>
          </w:tcPr>
          <w:p>
            <w:pPr>
              <w:spacing w:after="0" w:line="240" w:lineRule="auto"/>
              <w:ind w:firstLine="0"/>
              <w:jc w:val="center"/>
            </w:pPr>
            <w:r>
              <w:rPr>
                <w:b w:val="0"/>
                <w:i w:val="0"/>
                <w:sz w:val="20"/>
              </w:rPr>
              <w:t>70,5</w:t>
            </w:r>
          </w:p>
        </w:tc>
        <w:tc>
          <w:tcPr>
            <w:tcW w:type="dxa" w:w="1425"/>
          </w:tcPr>
          <w:p>
            <w:pPr>
              <w:spacing w:after="0" w:line="240" w:lineRule="auto"/>
              <w:ind w:firstLine="0"/>
              <w:jc w:val="center"/>
            </w:pPr>
            <w:r>
              <w:rPr>
                <w:b w:val="0"/>
                <w:i w:val="0"/>
                <w:sz w:val="20"/>
              </w:rPr>
              <w:t>96,7</w:t>
            </w:r>
          </w:p>
        </w:tc>
        <w:tc>
          <w:tcPr>
            <w:tcW w:type="dxa" w:w="1425"/>
          </w:tcPr>
          <w:p>
            <w:pPr>
              <w:spacing w:after="0" w:line="240" w:lineRule="auto"/>
              <w:ind w:firstLine="0"/>
              <w:jc w:val="center"/>
            </w:pPr>
            <w:r>
              <w:rPr>
                <w:b w:val="0"/>
                <w:i w:val="0"/>
                <w:sz w:val="20"/>
              </w:rPr>
              <w:t>135,7</w:t>
            </w:r>
          </w:p>
        </w:tc>
        <w:tc>
          <w:tcPr>
            <w:tcW w:type="dxa" w:w="1425"/>
          </w:tcPr>
          <w:p>
            <w:pPr>
              <w:spacing w:after="0" w:line="240" w:lineRule="auto"/>
              <w:ind w:firstLine="0"/>
              <w:jc w:val="center"/>
            </w:pPr>
            <w:r>
              <w:rPr>
                <w:b w:val="0"/>
                <w:i w:val="0"/>
                <w:sz w:val="20"/>
              </w:rPr>
              <w:t>157,7</w:t>
            </w:r>
          </w:p>
        </w:tc>
        <w:tc>
          <w:tcPr>
            <w:tcW w:type="dxa" w:w="1425"/>
          </w:tcPr>
          <w:p>
            <w:pPr>
              <w:spacing w:after="0" w:line="240" w:lineRule="auto"/>
              <w:ind w:firstLine="0"/>
              <w:jc w:val="center"/>
            </w:pPr>
            <w:r>
              <w:rPr>
                <w:b w:val="0"/>
                <w:i w:val="0"/>
                <w:sz w:val="20"/>
              </w:rPr>
              <w:t>176,2</w:t>
            </w:r>
          </w:p>
        </w:tc>
      </w:tr>
    </w:tbl>
    <w:p>
      <w:pPr>
        <w:spacing w:after="180"/>
        <w:ind w:firstLine="0"/>
      </w:pPr>
      <w:r>
        <w:rPr>
          <w:i/>
          <w:sz w:val="20"/>
        </w:rPr>
        <w:t>Источник: годовые отчёты компании (600111.SS); пересчёт в долл. США по среднегодовому курсу</w:t>
      </w:r>
    </w:p>
    <w:p>
      <w:r>
        <w:rPr>
          <w:b w:val="0"/>
          <w:i w:val="0"/>
        </w:rPr>
        <w:t>Данные таблицы 25 иллюстрируют важный для понимания отрасли эффект: при почти трёхкратном росте квоты на добычу в 2019–2024 гг. чистая прибыль компании в 2024 г. оказалась ниже уровня 2020 г. Наращивание физических объёмов при падении цен не создаёт стоимости. Это обстоятельство служит косвенным подтверждением того, что квотная политика КНР подчинена не коммерческой логике отдельных компаний, а стратегическим задачам — удержанию доли рынка и вытеснению конкурентов, для которых такой уровень цен нерентабелен.</w:t>
      </w:r>
    </w:p>
    <w:p>
      <w:pPr>
        <w:pStyle w:val="Heading3"/>
      </w:pPr>
      <w:r>
        <w:rPr>
          <w:b w:val="0"/>
          <w:i w:val="0"/>
        </w:rPr>
        <w:t>4.2.3. China Rare Earth Group Co., Ltd.</w:t>
      </w:r>
    </w:p>
    <w:p>
      <w:r>
        <w:rPr>
          <w:b w:val="0"/>
          <w:i w:val="0"/>
        </w:rPr>
        <w:t>Создана в декабре 2021 г. Штаб-квартира — Ганьчжоу, провинция Цзянси. Прямой контроль — Комитет по контролю и управлению государственным имуществом Госсовета КНР (SASAC). Объединяет активы бывших China Minmetals Rare Earth, Chinalco Rare Earth, Ganzhou Rare Earth Group, а также ряд НИИ (в том числе Ganzhou Rare Earth Research Institute).</w:t>
      </w:r>
    </w:p>
    <w:p>
      <w:r>
        <w:rPr>
          <w:b w:val="0"/>
          <w:i w:val="0"/>
        </w:rPr>
        <w:t>Стратегическое значение компании определяется контролем над ресурсами тяжёлой группы. По оценкам, на предприятия группы приходится свыше 60% мирового производства диспрозия и тербия из первичного сырья, включая переработку импортных концентратов из Мьянмы и Лаоса. Компания также контролирует значительную часть мощностей по производству высокотемпературных магнитов с зернограничной диффузией.</w:t>
      </w:r>
    </w:p>
    <w:p>
      <w:pPr>
        <w:pStyle w:val="Heading3"/>
      </w:pPr>
      <w:r>
        <w:rPr>
          <w:b w:val="0"/>
          <w:i w:val="0"/>
        </w:rPr>
        <w:t>4.2.4. Shenghe Resources Holding Co., Ltd.</w:t>
      </w:r>
    </w:p>
    <w:p>
      <w:r>
        <w:rPr>
          <w:b w:val="0"/>
          <w:i w:val="0"/>
        </w:rPr>
        <w:t>Компания с частно-государственной структурой собственности (крупнейший акционер — Институт многоцелевого использования минеральных ресурсов Китайской академии геологических наук). Акции котируются на Шанхайской бирже (600392.SS).</w:t>
      </w:r>
    </w:p>
    <w:p>
      <w:r>
        <w:rPr>
          <w:b w:val="0"/>
          <w:i w:val="0"/>
        </w:rPr>
        <w:t>Специфика Shenghe — активная международная экспансия. Компания являлась ключевым партнёром MP Materials (владела до 8% акций и выступала эксклюзивным трейдером концентрата Mountain Pass до 2024 г.), участвует в проектах в Гренландии (Greenland Minerals), Австралии (Peak Rare Earths — с 2024 г. контрольный пакет), США (Round Top). Такая модель обеспечивает КНР доступ к зарубежным ресурсам без прямого участия государственных корпораций.</w:t>
      </w:r>
    </w:p>
    <w:p>
      <w:pPr>
        <w:pStyle w:val="Heading3"/>
      </w:pPr>
      <w:r>
        <w:rPr>
          <w:b w:val="0"/>
          <w:i w:val="0"/>
        </w:rPr>
        <w:t>4.2.5. Производители магнитов КНР</w:t>
      </w:r>
    </w:p>
    <w:p>
      <w:r>
        <w:rPr>
          <w:b w:val="0"/>
          <w:i w:val="0"/>
        </w:rPr>
        <w:t>Магнитный сегмент КНР менее консолидирован, чем сырьевой: насчитывается свыше 200 производителей, из которых около 20 обладают значимым масштабом.</w:t>
      </w:r>
    </w:p>
    <w:p>
      <w:pPr>
        <w:keepNext/>
        <w:spacing w:before="160" w:after="60"/>
        <w:ind w:firstLine="0"/>
        <w:jc w:val="left"/>
      </w:pPr>
      <w:r>
        <w:rPr>
          <w:b/>
          <w:sz w:val="22"/>
        </w:rPr>
        <w:t>Таблица 26. Крупнейшие производители спечённых магнитов NdFeB в КНР, 2024 г.</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Компания</w:t>
            </w:r>
          </w:p>
        </w:tc>
        <w:tc>
          <w:tcPr>
            <w:tcW w:type="dxa" w:w="2493"/>
            <w:shd w:val="clear" w:fill="DCE6F1"/>
          </w:tcPr>
          <w:p>
            <w:pPr>
              <w:spacing w:after="0" w:line="240" w:lineRule="auto"/>
              <w:ind w:firstLine="0"/>
              <w:jc w:val="center"/>
            </w:pPr>
            <w:r>
              <w:rPr>
                <w:b/>
                <w:i w:val="0"/>
                <w:sz w:val="20"/>
              </w:rPr>
              <w:t>Мощность, тыс. т/год</w:t>
            </w:r>
          </w:p>
        </w:tc>
        <w:tc>
          <w:tcPr>
            <w:tcW w:type="dxa" w:w="2493"/>
            <w:shd w:val="clear" w:fill="DCE6F1"/>
          </w:tcPr>
          <w:p>
            <w:pPr>
              <w:spacing w:after="0" w:line="240" w:lineRule="auto"/>
              <w:ind w:firstLine="0"/>
              <w:jc w:val="center"/>
            </w:pPr>
            <w:r>
              <w:rPr>
                <w:b/>
                <w:i w:val="0"/>
                <w:sz w:val="20"/>
              </w:rPr>
              <w:t>Выпуск 2024, тыс. т</w:t>
            </w:r>
          </w:p>
        </w:tc>
        <w:tc>
          <w:tcPr>
            <w:tcW w:type="dxa" w:w="2493"/>
            <w:shd w:val="clear" w:fill="DCE6F1"/>
          </w:tcPr>
          <w:p>
            <w:pPr>
              <w:spacing w:after="0" w:line="240" w:lineRule="auto"/>
              <w:ind w:firstLine="0"/>
              <w:jc w:val="center"/>
            </w:pPr>
            <w:r>
              <w:rPr>
                <w:b/>
                <w:i w:val="0"/>
                <w:sz w:val="20"/>
              </w:rPr>
              <w:t>Ключевые рынки сбыта</w:t>
            </w:r>
          </w:p>
        </w:tc>
      </w:tr>
      <w:tr>
        <w:tc>
          <w:tcPr>
            <w:tcW w:type="dxa" w:w="2493"/>
          </w:tcPr>
          <w:p>
            <w:pPr>
              <w:spacing w:after="0" w:line="240" w:lineRule="auto"/>
              <w:ind w:firstLine="0"/>
              <w:jc w:val="left"/>
            </w:pPr>
            <w:r>
              <w:rPr>
                <w:b w:val="0"/>
                <w:i w:val="0"/>
                <w:sz w:val="20"/>
              </w:rPr>
              <w:t>JL MAG Rare-Earth</w:t>
            </w:r>
          </w:p>
        </w:tc>
        <w:tc>
          <w:tcPr>
            <w:tcW w:type="dxa" w:w="2493"/>
          </w:tcPr>
          <w:p>
            <w:pPr>
              <w:spacing w:after="0" w:line="240" w:lineRule="auto"/>
              <w:ind w:firstLine="0"/>
              <w:jc w:val="center"/>
            </w:pPr>
            <w:r>
              <w:rPr>
                <w:b w:val="0"/>
                <w:i w:val="0"/>
                <w:sz w:val="20"/>
              </w:rPr>
              <w:t>38,0</w:t>
            </w:r>
          </w:p>
        </w:tc>
        <w:tc>
          <w:tcPr>
            <w:tcW w:type="dxa" w:w="2493"/>
          </w:tcPr>
          <w:p>
            <w:pPr>
              <w:spacing w:after="0" w:line="240" w:lineRule="auto"/>
              <w:ind w:firstLine="0"/>
              <w:jc w:val="center"/>
            </w:pPr>
            <w:r>
              <w:rPr>
                <w:b w:val="0"/>
                <w:i w:val="0"/>
                <w:sz w:val="20"/>
              </w:rPr>
              <w:t>25,0</w:t>
            </w:r>
          </w:p>
        </w:tc>
        <w:tc>
          <w:tcPr>
            <w:tcW w:type="dxa" w:w="2493"/>
          </w:tcPr>
          <w:p>
            <w:pPr>
              <w:spacing w:after="0" w:line="240" w:lineRule="auto"/>
              <w:ind w:firstLine="0"/>
              <w:jc w:val="center"/>
            </w:pPr>
            <w:r>
              <w:rPr>
                <w:b w:val="0"/>
                <w:i w:val="0"/>
                <w:sz w:val="20"/>
              </w:rPr>
              <w:t>EV, ветроэнергетика, бытовая техника</w:t>
            </w:r>
          </w:p>
        </w:tc>
      </w:tr>
      <w:tr>
        <w:tc>
          <w:tcPr>
            <w:tcW w:type="dxa" w:w="2493"/>
          </w:tcPr>
          <w:p>
            <w:pPr>
              <w:spacing w:after="0" w:line="240" w:lineRule="auto"/>
              <w:ind w:firstLine="0"/>
              <w:jc w:val="left"/>
            </w:pPr>
            <w:r>
              <w:rPr>
                <w:b w:val="0"/>
                <w:i w:val="0"/>
                <w:sz w:val="20"/>
              </w:rPr>
              <w:t>Ningbo Yunsheng</w:t>
            </w:r>
          </w:p>
        </w:tc>
        <w:tc>
          <w:tcPr>
            <w:tcW w:type="dxa" w:w="2493"/>
          </w:tcPr>
          <w:p>
            <w:pPr>
              <w:spacing w:after="0" w:line="240" w:lineRule="auto"/>
              <w:ind w:firstLine="0"/>
              <w:jc w:val="center"/>
            </w:pPr>
            <w:r>
              <w:rPr>
                <w:b w:val="0"/>
                <w:i w:val="0"/>
                <w:sz w:val="20"/>
              </w:rPr>
              <w:t>18,0</w:t>
            </w:r>
          </w:p>
        </w:tc>
        <w:tc>
          <w:tcPr>
            <w:tcW w:type="dxa" w:w="2493"/>
          </w:tcPr>
          <w:p>
            <w:pPr>
              <w:spacing w:after="0" w:line="240" w:lineRule="auto"/>
              <w:ind w:firstLine="0"/>
              <w:jc w:val="center"/>
            </w:pPr>
            <w:r>
              <w:rPr>
                <w:b w:val="0"/>
                <w:i w:val="0"/>
                <w:sz w:val="20"/>
              </w:rPr>
              <w:t>12,0</w:t>
            </w:r>
          </w:p>
        </w:tc>
        <w:tc>
          <w:tcPr>
            <w:tcW w:type="dxa" w:w="2493"/>
          </w:tcPr>
          <w:p>
            <w:pPr>
              <w:spacing w:after="0" w:line="240" w:lineRule="auto"/>
              <w:ind w:firstLine="0"/>
              <w:jc w:val="center"/>
            </w:pPr>
            <w:r>
              <w:rPr>
                <w:b w:val="0"/>
                <w:i w:val="0"/>
                <w:sz w:val="20"/>
              </w:rPr>
              <w:t>EV, промышленные приводы</w:t>
            </w:r>
          </w:p>
        </w:tc>
      </w:tr>
      <w:tr>
        <w:tc>
          <w:tcPr>
            <w:tcW w:type="dxa" w:w="2493"/>
          </w:tcPr>
          <w:p>
            <w:pPr>
              <w:spacing w:after="0" w:line="240" w:lineRule="auto"/>
              <w:ind w:firstLine="0"/>
              <w:jc w:val="left"/>
            </w:pPr>
            <w:r>
              <w:rPr>
                <w:b w:val="0"/>
                <w:i w:val="0"/>
                <w:sz w:val="20"/>
              </w:rPr>
              <w:t>Zhongke Sanhuan</w:t>
            </w:r>
          </w:p>
        </w:tc>
        <w:tc>
          <w:tcPr>
            <w:tcW w:type="dxa" w:w="2493"/>
          </w:tcPr>
          <w:p>
            <w:pPr>
              <w:spacing w:after="0" w:line="240" w:lineRule="auto"/>
              <w:ind w:firstLine="0"/>
              <w:jc w:val="center"/>
            </w:pPr>
            <w:r>
              <w:rPr>
                <w:b w:val="0"/>
                <w:i w:val="0"/>
                <w:sz w:val="20"/>
              </w:rPr>
              <w:t>20,0</w:t>
            </w:r>
          </w:p>
        </w:tc>
        <w:tc>
          <w:tcPr>
            <w:tcW w:type="dxa" w:w="2493"/>
          </w:tcPr>
          <w:p>
            <w:pPr>
              <w:spacing w:after="0" w:line="240" w:lineRule="auto"/>
              <w:ind w:firstLine="0"/>
              <w:jc w:val="center"/>
            </w:pPr>
            <w:r>
              <w:rPr>
                <w:b w:val="0"/>
                <w:i w:val="0"/>
                <w:sz w:val="20"/>
              </w:rPr>
              <w:t>13,5</w:t>
            </w:r>
          </w:p>
        </w:tc>
        <w:tc>
          <w:tcPr>
            <w:tcW w:type="dxa" w:w="2493"/>
          </w:tcPr>
          <w:p>
            <w:pPr>
              <w:spacing w:after="0" w:line="240" w:lineRule="auto"/>
              <w:ind w:firstLine="0"/>
              <w:jc w:val="center"/>
            </w:pPr>
            <w:r>
              <w:rPr>
                <w:b w:val="0"/>
                <w:i w:val="0"/>
                <w:sz w:val="20"/>
              </w:rPr>
              <w:t>EV, электроника, HDD</w:t>
            </w:r>
          </w:p>
        </w:tc>
      </w:tr>
      <w:tr>
        <w:tc>
          <w:tcPr>
            <w:tcW w:type="dxa" w:w="2493"/>
          </w:tcPr>
          <w:p>
            <w:pPr>
              <w:spacing w:after="0" w:line="240" w:lineRule="auto"/>
              <w:ind w:firstLine="0"/>
              <w:jc w:val="left"/>
            </w:pPr>
            <w:r>
              <w:rPr>
                <w:b w:val="0"/>
                <w:i w:val="0"/>
                <w:sz w:val="20"/>
              </w:rPr>
              <w:t>Yantai Zhenghai</w:t>
            </w:r>
          </w:p>
        </w:tc>
        <w:tc>
          <w:tcPr>
            <w:tcW w:type="dxa" w:w="2493"/>
          </w:tcPr>
          <w:p>
            <w:pPr>
              <w:spacing w:after="0" w:line="240" w:lineRule="auto"/>
              <w:ind w:firstLine="0"/>
              <w:jc w:val="center"/>
            </w:pPr>
            <w:r>
              <w:rPr>
                <w:b w:val="0"/>
                <w:i w:val="0"/>
                <w:sz w:val="20"/>
              </w:rPr>
              <w:t>16,0</w:t>
            </w:r>
          </w:p>
        </w:tc>
        <w:tc>
          <w:tcPr>
            <w:tcW w:type="dxa" w:w="2493"/>
          </w:tcPr>
          <w:p>
            <w:pPr>
              <w:spacing w:after="0" w:line="240" w:lineRule="auto"/>
              <w:ind w:firstLine="0"/>
              <w:jc w:val="center"/>
            </w:pPr>
            <w:r>
              <w:rPr>
                <w:b w:val="0"/>
                <w:i w:val="0"/>
                <w:sz w:val="20"/>
              </w:rPr>
              <w:t>10,0</w:t>
            </w:r>
          </w:p>
        </w:tc>
        <w:tc>
          <w:tcPr>
            <w:tcW w:type="dxa" w:w="2493"/>
          </w:tcPr>
          <w:p>
            <w:pPr>
              <w:spacing w:after="0" w:line="240" w:lineRule="auto"/>
              <w:ind w:firstLine="0"/>
              <w:jc w:val="center"/>
            </w:pPr>
            <w:r>
              <w:rPr>
                <w:b w:val="0"/>
                <w:i w:val="0"/>
                <w:sz w:val="20"/>
              </w:rPr>
              <w:t>EV, ветроэнергетика</w:t>
            </w:r>
          </w:p>
        </w:tc>
      </w:tr>
      <w:tr>
        <w:tc>
          <w:tcPr>
            <w:tcW w:type="dxa" w:w="2493"/>
          </w:tcPr>
          <w:p>
            <w:pPr>
              <w:spacing w:after="0" w:line="240" w:lineRule="auto"/>
              <w:ind w:firstLine="0"/>
              <w:jc w:val="left"/>
            </w:pPr>
            <w:r>
              <w:rPr>
                <w:b w:val="0"/>
                <w:i w:val="0"/>
                <w:sz w:val="20"/>
              </w:rPr>
              <w:t>Earth-Panda</w:t>
            </w:r>
          </w:p>
        </w:tc>
        <w:tc>
          <w:tcPr>
            <w:tcW w:type="dxa" w:w="2493"/>
          </w:tcPr>
          <w:p>
            <w:pPr>
              <w:spacing w:after="0" w:line="240" w:lineRule="auto"/>
              <w:ind w:firstLine="0"/>
              <w:jc w:val="center"/>
            </w:pPr>
            <w:r>
              <w:rPr>
                <w:b w:val="0"/>
                <w:i w:val="0"/>
                <w:sz w:val="20"/>
              </w:rPr>
              <w:t>12,0</w:t>
            </w:r>
          </w:p>
        </w:tc>
        <w:tc>
          <w:tcPr>
            <w:tcW w:type="dxa" w:w="2493"/>
          </w:tcPr>
          <w:p>
            <w:pPr>
              <w:spacing w:after="0" w:line="240" w:lineRule="auto"/>
              <w:ind w:firstLine="0"/>
              <w:jc w:val="center"/>
            </w:pPr>
            <w:r>
              <w:rPr>
                <w:b w:val="0"/>
                <w:i w:val="0"/>
                <w:sz w:val="20"/>
              </w:rPr>
              <w:t>7,5</w:t>
            </w:r>
          </w:p>
        </w:tc>
        <w:tc>
          <w:tcPr>
            <w:tcW w:type="dxa" w:w="2493"/>
          </w:tcPr>
          <w:p>
            <w:pPr>
              <w:spacing w:after="0" w:line="240" w:lineRule="auto"/>
              <w:ind w:firstLine="0"/>
              <w:jc w:val="center"/>
            </w:pPr>
            <w:r>
              <w:rPr>
                <w:b w:val="0"/>
                <w:i w:val="0"/>
                <w:sz w:val="20"/>
              </w:rPr>
              <w:t>бытовая техника, приводы</w:t>
            </w:r>
          </w:p>
        </w:tc>
      </w:tr>
      <w:tr>
        <w:tc>
          <w:tcPr>
            <w:tcW w:type="dxa" w:w="2493"/>
          </w:tcPr>
          <w:p>
            <w:pPr>
              <w:spacing w:after="0" w:line="240" w:lineRule="auto"/>
              <w:ind w:firstLine="0"/>
              <w:jc w:val="left"/>
            </w:pPr>
            <w:r>
              <w:rPr>
                <w:b w:val="0"/>
                <w:i w:val="0"/>
                <w:sz w:val="20"/>
              </w:rPr>
              <w:t>Innuovo Magnetics</w:t>
            </w:r>
          </w:p>
        </w:tc>
        <w:tc>
          <w:tcPr>
            <w:tcW w:type="dxa" w:w="2493"/>
          </w:tcPr>
          <w:p>
            <w:pPr>
              <w:spacing w:after="0" w:line="240" w:lineRule="auto"/>
              <w:ind w:firstLine="0"/>
              <w:jc w:val="center"/>
            </w:pPr>
            <w:r>
              <w:rPr>
                <w:b w:val="0"/>
                <w:i w:val="0"/>
                <w:sz w:val="20"/>
              </w:rPr>
              <w:t>10,0</w:t>
            </w:r>
          </w:p>
        </w:tc>
        <w:tc>
          <w:tcPr>
            <w:tcW w:type="dxa" w:w="2493"/>
          </w:tcPr>
          <w:p>
            <w:pPr>
              <w:spacing w:after="0" w:line="240" w:lineRule="auto"/>
              <w:ind w:firstLine="0"/>
              <w:jc w:val="center"/>
            </w:pPr>
            <w:r>
              <w:rPr>
                <w:b w:val="0"/>
                <w:i w:val="0"/>
                <w:sz w:val="20"/>
              </w:rPr>
              <w:t>6,0</w:t>
            </w:r>
          </w:p>
        </w:tc>
        <w:tc>
          <w:tcPr>
            <w:tcW w:type="dxa" w:w="2493"/>
          </w:tcPr>
          <w:p>
            <w:pPr>
              <w:spacing w:after="0" w:line="240" w:lineRule="auto"/>
              <w:ind w:firstLine="0"/>
              <w:jc w:val="center"/>
            </w:pPr>
            <w:r>
              <w:rPr>
                <w:b w:val="0"/>
                <w:i w:val="0"/>
                <w:sz w:val="20"/>
              </w:rPr>
              <w:t>компрессоры, приводы</w:t>
            </w:r>
          </w:p>
        </w:tc>
      </w:tr>
      <w:tr>
        <w:tc>
          <w:tcPr>
            <w:tcW w:type="dxa" w:w="2493"/>
          </w:tcPr>
          <w:p>
            <w:pPr>
              <w:spacing w:after="0" w:line="240" w:lineRule="auto"/>
              <w:ind w:firstLine="0"/>
              <w:jc w:val="left"/>
            </w:pPr>
            <w:r>
              <w:rPr>
                <w:b w:val="0"/>
                <w:i w:val="0"/>
                <w:sz w:val="20"/>
              </w:rPr>
              <w:t>Baotou Tianhe</w:t>
            </w:r>
          </w:p>
        </w:tc>
        <w:tc>
          <w:tcPr>
            <w:tcW w:type="dxa" w:w="2493"/>
          </w:tcPr>
          <w:p>
            <w:pPr>
              <w:spacing w:after="0" w:line="240" w:lineRule="auto"/>
              <w:ind w:firstLine="0"/>
              <w:jc w:val="center"/>
            </w:pPr>
            <w:r>
              <w:rPr>
                <w:b w:val="0"/>
                <w:i w:val="0"/>
                <w:sz w:val="20"/>
              </w:rPr>
              <w:t>9,0</w:t>
            </w:r>
          </w:p>
        </w:tc>
        <w:tc>
          <w:tcPr>
            <w:tcW w:type="dxa" w:w="2493"/>
          </w:tcPr>
          <w:p>
            <w:pPr>
              <w:spacing w:after="0" w:line="240" w:lineRule="auto"/>
              <w:ind w:firstLine="0"/>
              <w:jc w:val="center"/>
            </w:pPr>
            <w:r>
              <w:rPr>
                <w:b w:val="0"/>
                <w:i w:val="0"/>
                <w:sz w:val="20"/>
              </w:rPr>
              <w:t>5,5</w:t>
            </w:r>
          </w:p>
        </w:tc>
        <w:tc>
          <w:tcPr>
            <w:tcW w:type="dxa" w:w="2493"/>
          </w:tcPr>
          <w:p>
            <w:pPr>
              <w:spacing w:after="0" w:line="240" w:lineRule="auto"/>
              <w:ind w:firstLine="0"/>
              <w:jc w:val="center"/>
            </w:pPr>
            <w:r>
              <w:rPr>
                <w:b w:val="0"/>
                <w:i w:val="0"/>
                <w:sz w:val="20"/>
              </w:rPr>
              <w:t>ветроэнергетика</w:t>
            </w:r>
          </w:p>
        </w:tc>
      </w:tr>
      <w:tr>
        <w:tc>
          <w:tcPr>
            <w:tcW w:type="dxa" w:w="2493"/>
          </w:tcPr>
          <w:p>
            <w:pPr>
              <w:spacing w:after="0" w:line="240" w:lineRule="auto"/>
              <w:ind w:firstLine="0"/>
              <w:jc w:val="left"/>
            </w:pPr>
            <w:r>
              <w:rPr>
                <w:b w:val="0"/>
                <w:i w:val="0"/>
                <w:sz w:val="20"/>
              </w:rPr>
              <w:t>Прочие (свыше 190 компаний)</w:t>
            </w:r>
          </w:p>
        </w:tc>
        <w:tc>
          <w:tcPr>
            <w:tcW w:type="dxa" w:w="2493"/>
          </w:tcPr>
          <w:p>
            <w:pPr>
              <w:spacing w:after="0" w:line="240" w:lineRule="auto"/>
              <w:ind w:firstLine="0"/>
              <w:jc w:val="center"/>
            </w:pPr>
            <w:r>
              <w:rPr>
                <w:b w:val="0"/>
                <w:i w:val="0"/>
                <w:sz w:val="20"/>
              </w:rPr>
              <w:t>130,0</w:t>
            </w:r>
          </w:p>
        </w:tc>
        <w:tc>
          <w:tcPr>
            <w:tcW w:type="dxa" w:w="2493"/>
          </w:tcPr>
          <w:p>
            <w:pPr>
              <w:spacing w:after="0" w:line="240" w:lineRule="auto"/>
              <w:ind w:firstLine="0"/>
              <w:jc w:val="center"/>
            </w:pPr>
            <w:r>
              <w:rPr>
                <w:b w:val="0"/>
                <w:i w:val="0"/>
                <w:sz w:val="20"/>
              </w:rPr>
              <w:t>152,5</w:t>
            </w:r>
          </w:p>
        </w:tc>
        <w:tc>
          <w:tcPr>
            <w:tcW w:type="dxa" w:w="2493"/>
          </w:tcPr>
          <w:p>
            <w:pPr>
              <w:spacing w:after="0" w:line="240" w:lineRule="auto"/>
              <w:ind w:firstLine="0"/>
              <w:jc w:val="center"/>
            </w:pPr>
            <w:r>
              <w:rPr>
                <w:b w:val="0"/>
                <w:i w:val="0"/>
                <w:sz w:val="20"/>
              </w:rPr>
              <w:t>различные</w:t>
            </w:r>
          </w:p>
        </w:tc>
      </w:tr>
      <w:tr>
        <w:tc>
          <w:tcPr>
            <w:tcW w:type="dxa" w:w="2493"/>
          </w:tcPr>
          <w:p>
            <w:pPr>
              <w:spacing w:after="0" w:line="240" w:lineRule="auto"/>
              <w:ind w:firstLine="0"/>
              <w:jc w:val="left"/>
            </w:pPr>
            <w:r>
              <w:rPr>
                <w:b/>
                <w:i w:val="0"/>
                <w:sz w:val="20"/>
              </w:rPr>
              <w:t>Всего</w:t>
            </w:r>
          </w:p>
        </w:tc>
        <w:tc>
          <w:tcPr>
            <w:tcW w:type="dxa" w:w="2493"/>
          </w:tcPr>
          <w:p>
            <w:pPr>
              <w:spacing w:after="0" w:line="240" w:lineRule="auto"/>
              <w:ind w:firstLine="0"/>
              <w:jc w:val="center"/>
            </w:pPr>
            <w:r>
              <w:rPr>
                <w:b/>
                <w:i w:val="0"/>
                <w:sz w:val="20"/>
              </w:rPr>
              <w:t>253,0</w:t>
            </w:r>
          </w:p>
        </w:tc>
        <w:tc>
          <w:tcPr>
            <w:tcW w:type="dxa" w:w="2493"/>
          </w:tcPr>
          <w:p>
            <w:pPr>
              <w:spacing w:after="0" w:line="240" w:lineRule="auto"/>
              <w:ind w:firstLine="0"/>
              <w:jc w:val="center"/>
            </w:pPr>
            <w:r>
              <w:rPr>
                <w:b/>
                <w:i w:val="0"/>
                <w:sz w:val="20"/>
              </w:rPr>
              <w:t>232,0</w:t>
            </w:r>
          </w:p>
        </w:tc>
        <w:tc>
          <w:tcPr>
            <w:tcW w:type="dxa" w:w="2493"/>
          </w:tcPr>
          <w:p>
            <w:pPr>
              <w:spacing w:after="0" w:line="240" w:lineRule="auto"/>
              <w:ind w:firstLine="0"/>
              <w:jc w:val="center"/>
            </w:pPr>
          </w:p>
        </w:tc>
      </w:tr>
    </w:tbl>
    <w:p>
      <w:pPr>
        <w:spacing w:after="180"/>
        <w:ind w:firstLine="0"/>
      </w:pPr>
      <w:r>
        <w:rPr>
          <w:i/>
          <w:sz w:val="20"/>
        </w:rPr>
        <w:t>Источник: аналитический центр по данным корпоративных раскрытий и отраслевых ассоциаций</w:t>
      </w:r>
    </w:p>
    <w:p>
      <w:pPr>
        <w:pStyle w:val="Heading2"/>
      </w:pPr>
      <w:r>
        <w:rPr>
          <w:b w:val="0"/>
          <w:i w:val="0"/>
        </w:rPr>
        <w:t>4.3. Lynas Rare Earths Ltd. (Австралия)</w:t>
      </w:r>
    </w:p>
    <w:p>
      <w:r>
        <w:rPr>
          <w:b w:val="0"/>
          <w:i w:val="0"/>
        </w:rPr>
        <w:t>Крупнейший производитель разделённой редкоземельной продукции за пределами КНР и единственная не-китайская компания, обеспечивающая промышленные объёмы разделения на протяжении более десяти лет.</w:t>
      </w:r>
    </w:p>
    <w:p>
      <w:r>
        <w:rPr>
          <w:b/>
          <w:i w:val="0"/>
        </w:rPr>
        <w:t>Структура операций.</w:t>
      </w:r>
      <w:r>
        <w:rPr>
          <w:b w:val="0"/>
          <w:i w:val="0"/>
        </w:rPr>
        <w:t xml:space="preserve"> Добыча и обогащение — рудник Mount Weld (Западная Австралия), концентрат вывозится на завод Lynas Advanced Materials Plant (LAMP) в Гебенге (Куантан, Малайзия), где осуществляется вскрытие серной кислотой и разделение. В 2023–2025 гг. введён в эксплуатацию завод в Калгурли (Западная Австралия), выполняющий стадию вскрытия и производства смешанного карбоната, что снижает объём радиоактивных отходов, вывозимых в Малайзию, — ключевой политически чувствительный вопрос для правительства Малайзии.</w:t>
      </w:r>
    </w:p>
    <w:p>
      <w:r>
        <w:rPr>
          <w:b/>
          <w:i w:val="0"/>
        </w:rPr>
        <w:t>Продуктовая линейка:</w:t>
      </w:r>
      <w:r>
        <w:rPr>
          <w:b w:val="0"/>
          <w:i w:val="0"/>
        </w:rPr>
        <w:t xml:space="preserve"> оксид NdPr (основной продукт по выручке), оксиды лантана и церия, смешанный концентрат средних и тяжёлых элементов (SEG). В мае 2025 г. компания сообщила о начале производства разделённых оксидов диспрозия и тербия в Малайзии — первом за пределами КНР промышленном производстве этих элементов.</w:t>
      </w:r>
    </w:p>
    <w:p>
      <w:r>
        <w:rPr>
          <w:b/>
          <w:i w:val="0"/>
        </w:rPr>
        <w:t>Государственная поддержка.</w:t>
      </w:r>
      <w:r>
        <w:rPr>
          <w:b w:val="0"/>
          <w:i w:val="0"/>
        </w:rPr>
        <w:t xml:space="preserve"> Компания является получателем средств по программам Министерства обороны США (контракт на строительство разделительного завода в Сибруке, Техас — объём поддержки свыше 250 млн долл.), а также поддержки правительства Австралии (кредит Export Finance Australia).</w:t>
      </w:r>
    </w:p>
    <w:p>
      <w:pPr>
        <w:keepNext/>
        <w:spacing w:before="160" w:after="60"/>
        <w:ind w:firstLine="0"/>
        <w:jc w:val="left"/>
      </w:pPr>
      <w:r>
        <w:rPr>
          <w:b/>
          <w:sz w:val="22"/>
        </w:rPr>
        <w:t>Таблица 27. Основные операционные и финансовые показатели Lynas Rare Earths, 2019–2025 фин. гг.</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Показатель</w:t>
            </w:r>
          </w:p>
        </w:tc>
        <w:tc>
          <w:tcPr>
            <w:tcW w:type="dxa" w:w="1425"/>
            <w:shd w:val="clear" w:fill="DCE6F1"/>
          </w:tcPr>
          <w:p>
            <w:pPr>
              <w:spacing w:after="0" w:line="240" w:lineRule="auto"/>
              <w:ind w:firstLine="0"/>
              <w:jc w:val="center"/>
            </w:pPr>
            <w:r>
              <w:rPr>
                <w:b/>
                <w:i w:val="0"/>
                <w:sz w:val="20"/>
              </w:rPr>
              <w:t>ФГ2020</w:t>
            </w:r>
          </w:p>
        </w:tc>
        <w:tc>
          <w:tcPr>
            <w:tcW w:type="dxa" w:w="1425"/>
            <w:shd w:val="clear" w:fill="DCE6F1"/>
          </w:tcPr>
          <w:p>
            <w:pPr>
              <w:spacing w:after="0" w:line="240" w:lineRule="auto"/>
              <w:ind w:firstLine="0"/>
              <w:jc w:val="center"/>
            </w:pPr>
            <w:r>
              <w:rPr>
                <w:b/>
                <w:i w:val="0"/>
                <w:sz w:val="20"/>
              </w:rPr>
              <w:t>ФГ2021</w:t>
            </w:r>
          </w:p>
        </w:tc>
        <w:tc>
          <w:tcPr>
            <w:tcW w:type="dxa" w:w="1425"/>
            <w:shd w:val="clear" w:fill="DCE6F1"/>
          </w:tcPr>
          <w:p>
            <w:pPr>
              <w:spacing w:after="0" w:line="240" w:lineRule="auto"/>
              <w:ind w:firstLine="0"/>
              <w:jc w:val="center"/>
            </w:pPr>
            <w:r>
              <w:rPr>
                <w:b/>
                <w:i w:val="0"/>
                <w:sz w:val="20"/>
              </w:rPr>
              <w:t>ФГ2022</w:t>
            </w:r>
          </w:p>
        </w:tc>
        <w:tc>
          <w:tcPr>
            <w:tcW w:type="dxa" w:w="1425"/>
            <w:shd w:val="clear" w:fill="DCE6F1"/>
          </w:tcPr>
          <w:p>
            <w:pPr>
              <w:spacing w:after="0" w:line="240" w:lineRule="auto"/>
              <w:ind w:firstLine="0"/>
              <w:jc w:val="center"/>
            </w:pPr>
            <w:r>
              <w:rPr>
                <w:b/>
                <w:i w:val="0"/>
                <w:sz w:val="20"/>
              </w:rPr>
              <w:t>ФГ2023</w:t>
            </w:r>
          </w:p>
        </w:tc>
        <w:tc>
          <w:tcPr>
            <w:tcW w:type="dxa" w:w="1425"/>
            <w:shd w:val="clear" w:fill="DCE6F1"/>
          </w:tcPr>
          <w:p>
            <w:pPr>
              <w:spacing w:after="0" w:line="240" w:lineRule="auto"/>
              <w:ind w:firstLine="0"/>
              <w:jc w:val="center"/>
            </w:pPr>
            <w:r>
              <w:rPr>
                <w:b/>
                <w:i w:val="0"/>
                <w:sz w:val="20"/>
              </w:rPr>
              <w:t>ФГ2024</w:t>
            </w:r>
          </w:p>
        </w:tc>
        <w:tc>
          <w:tcPr>
            <w:tcW w:type="dxa" w:w="1425"/>
            <w:shd w:val="clear" w:fill="DCE6F1"/>
          </w:tcPr>
          <w:p>
            <w:pPr>
              <w:spacing w:after="0" w:line="240" w:lineRule="auto"/>
              <w:ind w:firstLine="0"/>
              <w:jc w:val="center"/>
            </w:pPr>
            <w:r>
              <w:rPr>
                <w:b/>
                <w:i w:val="0"/>
                <w:sz w:val="20"/>
              </w:rPr>
              <w:t>ФГ2025</w:t>
            </w:r>
          </w:p>
        </w:tc>
      </w:tr>
      <w:tr>
        <w:tc>
          <w:tcPr>
            <w:tcW w:type="dxa" w:w="1425"/>
          </w:tcPr>
          <w:p>
            <w:pPr>
              <w:spacing w:after="0" w:line="240" w:lineRule="auto"/>
              <w:ind w:firstLine="0"/>
              <w:jc w:val="left"/>
            </w:pPr>
            <w:r>
              <w:rPr>
                <w:b w:val="0"/>
                <w:i w:val="0"/>
                <w:sz w:val="20"/>
              </w:rPr>
              <w:t>Производство TREO, т</w:t>
            </w:r>
          </w:p>
        </w:tc>
        <w:tc>
          <w:tcPr>
            <w:tcW w:type="dxa" w:w="1425"/>
          </w:tcPr>
          <w:p>
            <w:pPr>
              <w:spacing w:after="0" w:line="240" w:lineRule="auto"/>
              <w:ind w:firstLine="0"/>
              <w:jc w:val="center"/>
            </w:pPr>
            <w:r>
              <w:rPr>
                <w:b w:val="0"/>
                <w:i w:val="0"/>
                <w:sz w:val="20"/>
              </w:rPr>
              <w:t>13 733</w:t>
            </w:r>
          </w:p>
        </w:tc>
        <w:tc>
          <w:tcPr>
            <w:tcW w:type="dxa" w:w="1425"/>
          </w:tcPr>
          <w:p>
            <w:pPr>
              <w:spacing w:after="0" w:line="240" w:lineRule="auto"/>
              <w:ind w:firstLine="0"/>
              <w:jc w:val="center"/>
            </w:pPr>
            <w:r>
              <w:rPr>
                <w:b w:val="0"/>
                <w:i w:val="0"/>
                <w:sz w:val="20"/>
              </w:rPr>
              <w:t>15 761</w:t>
            </w:r>
          </w:p>
        </w:tc>
        <w:tc>
          <w:tcPr>
            <w:tcW w:type="dxa" w:w="1425"/>
          </w:tcPr>
          <w:p>
            <w:pPr>
              <w:spacing w:after="0" w:line="240" w:lineRule="auto"/>
              <w:ind w:firstLine="0"/>
              <w:jc w:val="center"/>
            </w:pPr>
            <w:r>
              <w:rPr>
                <w:b w:val="0"/>
                <w:i w:val="0"/>
                <w:sz w:val="20"/>
              </w:rPr>
              <w:t>17 738</w:t>
            </w:r>
          </w:p>
        </w:tc>
        <w:tc>
          <w:tcPr>
            <w:tcW w:type="dxa" w:w="1425"/>
          </w:tcPr>
          <w:p>
            <w:pPr>
              <w:spacing w:after="0" w:line="240" w:lineRule="auto"/>
              <w:ind w:firstLine="0"/>
              <w:jc w:val="center"/>
            </w:pPr>
            <w:r>
              <w:rPr>
                <w:b w:val="0"/>
                <w:i w:val="0"/>
                <w:sz w:val="20"/>
              </w:rPr>
              <w:t>16 336</w:t>
            </w:r>
          </w:p>
        </w:tc>
        <w:tc>
          <w:tcPr>
            <w:tcW w:type="dxa" w:w="1425"/>
          </w:tcPr>
          <w:p>
            <w:pPr>
              <w:spacing w:after="0" w:line="240" w:lineRule="auto"/>
              <w:ind w:firstLine="0"/>
              <w:jc w:val="center"/>
            </w:pPr>
            <w:r>
              <w:rPr>
                <w:b w:val="0"/>
                <w:i w:val="0"/>
                <w:sz w:val="20"/>
              </w:rPr>
              <w:t>10 508</w:t>
            </w:r>
          </w:p>
        </w:tc>
        <w:tc>
          <w:tcPr>
            <w:tcW w:type="dxa" w:w="1425"/>
          </w:tcPr>
          <w:p>
            <w:pPr>
              <w:spacing w:after="0" w:line="240" w:lineRule="auto"/>
              <w:ind w:firstLine="0"/>
              <w:jc w:val="center"/>
            </w:pPr>
            <w:r>
              <w:rPr>
                <w:b w:val="0"/>
                <w:i w:val="0"/>
                <w:sz w:val="20"/>
              </w:rPr>
              <w:t>12 500</w:t>
            </w:r>
          </w:p>
        </w:tc>
      </w:tr>
      <w:tr>
        <w:tc>
          <w:tcPr>
            <w:tcW w:type="dxa" w:w="1425"/>
          </w:tcPr>
          <w:p>
            <w:pPr>
              <w:spacing w:after="0" w:line="240" w:lineRule="auto"/>
              <w:ind w:firstLine="0"/>
              <w:jc w:val="left"/>
            </w:pPr>
            <w:r>
              <w:rPr>
                <w:b w:val="0"/>
                <w:i w:val="0"/>
                <w:sz w:val="20"/>
              </w:rPr>
              <w:t>Производство NdPr, т</w:t>
            </w:r>
          </w:p>
        </w:tc>
        <w:tc>
          <w:tcPr>
            <w:tcW w:type="dxa" w:w="1425"/>
          </w:tcPr>
          <w:p>
            <w:pPr>
              <w:spacing w:after="0" w:line="240" w:lineRule="auto"/>
              <w:ind w:firstLine="0"/>
              <w:jc w:val="center"/>
            </w:pPr>
            <w:r>
              <w:rPr>
                <w:b w:val="0"/>
                <w:i w:val="0"/>
                <w:sz w:val="20"/>
              </w:rPr>
              <w:t>4 465</w:t>
            </w:r>
          </w:p>
        </w:tc>
        <w:tc>
          <w:tcPr>
            <w:tcW w:type="dxa" w:w="1425"/>
          </w:tcPr>
          <w:p>
            <w:pPr>
              <w:spacing w:after="0" w:line="240" w:lineRule="auto"/>
              <w:ind w:firstLine="0"/>
              <w:jc w:val="center"/>
            </w:pPr>
            <w:r>
              <w:rPr>
                <w:b w:val="0"/>
                <w:i w:val="0"/>
                <w:sz w:val="20"/>
              </w:rPr>
              <w:t>5 461</w:t>
            </w:r>
          </w:p>
        </w:tc>
        <w:tc>
          <w:tcPr>
            <w:tcW w:type="dxa" w:w="1425"/>
          </w:tcPr>
          <w:p>
            <w:pPr>
              <w:spacing w:after="0" w:line="240" w:lineRule="auto"/>
              <w:ind w:firstLine="0"/>
              <w:jc w:val="center"/>
            </w:pPr>
            <w:r>
              <w:rPr>
                <w:b w:val="0"/>
                <w:i w:val="0"/>
                <w:sz w:val="20"/>
              </w:rPr>
              <w:t>5 957</w:t>
            </w:r>
          </w:p>
        </w:tc>
        <w:tc>
          <w:tcPr>
            <w:tcW w:type="dxa" w:w="1425"/>
          </w:tcPr>
          <w:p>
            <w:pPr>
              <w:spacing w:after="0" w:line="240" w:lineRule="auto"/>
              <w:ind w:firstLine="0"/>
              <w:jc w:val="center"/>
            </w:pPr>
            <w:r>
              <w:rPr>
                <w:b w:val="0"/>
                <w:i w:val="0"/>
                <w:sz w:val="20"/>
              </w:rPr>
              <w:t>6 142</w:t>
            </w:r>
          </w:p>
        </w:tc>
        <w:tc>
          <w:tcPr>
            <w:tcW w:type="dxa" w:w="1425"/>
          </w:tcPr>
          <w:p>
            <w:pPr>
              <w:spacing w:after="0" w:line="240" w:lineRule="auto"/>
              <w:ind w:firstLine="0"/>
              <w:jc w:val="center"/>
            </w:pPr>
            <w:r>
              <w:rPr>
                <w:b w:val="0"/>
                <w:i w:val="0"/>
                <w:sz w:val="20"/>
              </w:rPr>
              <w:t>4 274</w:t>
            </w:r>
          </w:p>
        </w:tc>
        <w:tc>
          <w:tcPr>
            <w:tcW w:type="dxa" w:w="1425"/>
          </w:tcPr>
          <w:p>
            <w:pPr>
              <w:spacing w:after="0" w:line="240" w:lineRule="auto"/>
              <w:ind w:firstLine="0"/>
              <w:jc w:val="center"/>
            </w:pPr>
            <w:r>
              <w:rPr>
                <w:b w:val="0"/>
                <w:i w:val="0"/>
                <w:sz w:val="20"/>
              </w:rPr>
              <w:t>5 400</w:t>
            </w:r>
          </w:p>
        </w:tc>
      </w:tr>
      <w:tr>
        <w:tc>
          <w:tcPr>
            <w:tcW w:type="dxa" w:w="1425"/>
          </w:tcPr>
          <w:p>
            <w:pPr>
              <w:spacing w:after="0" w:line="240" w:lineRule="auto"/>
              <w:ind w:firstLine="0"/>
              <w:jc w:val="left"/>
            </w:pPr>
            <w:r>
              <w:rPr>
                <w:b w:val="0"/>
                <w:i w:val="0"/>
                <w:sz w:val="20"/>
              </w:rPr>
              <w:t>Выручка, млн австрал. долл.</w:t>
            </w:r>
          </w:p>
        </w:tc>
        <w:tc>
          <w:tcPr>
            <w:tcW w:type="dxa" w:w="1425"/>
          </w:tcPr>
          <w:p>
            <w:pPr>
              <w:spacing w:after="0" w:line="240" w:lineRule="auto"/>
              <w:ind w:firstLine="0"/>
              <w:jc w:val="center"/>
            </w:pPr>
            <w:r>
              <w:rPr>
                <w:b w:val="0"/>
                <w:i w:val="0"/>
                <w:sz w:val="20"/>
              </w:rPr>
              <w:t>305</w:t>
            </w:r>
          </w:p>
        </w:tc>
        <w:tc>
          <w:tcPr>
            <w:tcW w:type="dxa" w:w="1425"/>
          </w:tcPr>
          <w:p>
            <w:pPr>
              <w:spacing w:after="0" w:line="240" w:lineRule="auto"/>
              <w:ind w:firstLine="0"/>
              <w:jc w:val="center"/>
            </w:pPr>
            <w:r>
              <w:rPr>
                <w:b w:val="0"/>
                <w:i w:val="0"/>
                <w:sz w:val="20"/>
              </w:rPr>
              <w:t>490</w:t>
            </w:r>
          </w:p>
        </w:tc>
        <w:tc>
          <w:tcPr>
            <w:tcW w:type="dxa" w:w="1425"/>
          </w:tcPr>
          <w:p>
            <w:pPr>
              <w:spacing w:after="0" w:line="240" w:lineRule="auto"/>
              <w:ind w:firstLine="0"/>
              <w:jc w:val="center"/>
            </w:pPr>
            <w:r>
              <w:rPr>
                <w:b w:val="0"/>
                <w:i w:val="0"/>
                <w:sz w:val="20"/>
              </w:rPr>
              <w:t>920</w:t>
            </w:r>
          </w:p>
        </w:tc>
        <w:tc>
          <w:tcPr>
            <w:tcW w:type="dxa" w:w="1425"/>
          </w:tcPr>
          <w:p>
            <w:pPr>
              <w:spacing w:after="0" w:line="240" w:lineRule="auto"/>
              <w:ind w:firstLine="0"/>
              <w:jc w:val="center"/>
            </w:pPr>
            <w:r>
              <w:rPr>
                <w:b w:val="0"/>
                <w:i w:val="0"/>
                <w:sz w:val="20"/>
              </w:rPr>
              <w:t>739</w:t>
            </w:r>
          </w:p>
        </w:tc>
        <w:tc>
          <w:tcPr>
            <w:tcW w:type="dxa" w:w="1425"/>
          </w:tcPr>
          <w:p>
            <w:pPr>
              <w:spacing w:after="0" w:line="240" w:lineRule="auto"/>
              <w:ind w:firstLine="0"/>
              <w:jc w:val="center"/>
            </w:pPr>
            <w:r>
              <w:rPr>
                <w:b w:val="0"/>
                <w:i w:val="0"/>
                <w:sz w:val="20"/>
              </w:rPr>
              <w:t>463</w:t>
            </w:r>
          </w:p>
        </w:tc>
        <w:tc>
          <w:tcPr>
            <w:tcW w:type="dxa" w:w="1425"/>
          </w:tcPr>
          <w:p>
            <w:pPr>
              <w:spacing w:after="0" w:line="240" w:lineRule="auto"/>
              <w:ind w:firstLine="0"/>
              <w:jc w:val="center"/>
            </w:pPr>
            <w:r>
              <w:rPr>
                <w:b w:val="0"/>
                <w:i w:val="0"/>
                <w:sz w:val="20"/>
              </w:rPr>
              <w:t>585</w:t>
            </w:r>
          </w:p>
        </w:tc>
      </w:tr>
      <w:tr>
        <w:tc>
          <w:tcPr>
            <w:tcW w:type="dxa" w:w="1425"/>
          </w:tcPr>
          <w:p>
            <w:pPr>
              <w:spacing w:after="0" w:line="240" w:lineRule="auto"/>
              <w:ind w:firstLine="0"/>
              <w:jc w:val="left"/>
            </w:pPr>
            <w:r>
              <w:rPr>
                <w:b w:val="0"/>
                <w:i w:val="0"/>
                <w:sz w:val="20"/>
              </w:rPr>
              <w:t>EBITDA, млн австрал. долл.</w:t>
            </w:r>
          </w:p>
        </w:tc>
        <w:tc>
          <w:tcPr>
            <w:tcW w:type="dxa" w:w="1425"/>
          </w:tcPr>
          <w:p>
            <w:pPr>
              <w:spacing w:after="0" w:line="240" w:lineRule="auto"/>
              <w:ind w:firstLine="0"/>
              <w:jc w:val="center"/>
            </w:pPr>
            <w:r>
              <w:rPr>
                <w:b w:val="0"/>
                <w:i w:val="0"/>
                <w:sz w:val="20"/>
              </w:rPr>
              <w:t>33</w:t>
            </w:r>
          </w:p>
        </w:tc>
        <w:tc>
          <w:tcPr>
            <w:tcW w:type="dxa" w:w="1425"/>
          </w:tcPr>
          <w:p>
            <w:pPr>
              <w:spacing w:after="0" w:line="240" w:lineRule="auto"/>
              <w:ind w:firstLine="0"/>
              <w:jc w:val="center"/>
            </w:pPr>
            <w:r>
              <w:rPr>
                <w:b w:val="0"/>
                <w:i w:val="0"/>
                <w:sz w:val="20"/>
              </w:rPr>
              <w:t>143</w:t>
            </w:r>
          </w:p>
        </w:tc>
        <w:tc>
          <w:tcPr>
            <w:tcW w:type="dxa" w:w="1425"/>
          </w:tcPr>
          <w:p>
            <w:pPr>
              <w:spacing w:after="0" w:line="240" w:lineRule="auto"/>
              <w:ind w:firstLine="0"/>
              <w:jc w:val="center"/>
            </w:pPr>
            <w:r>
              <w:rPr>
                <w:b w:val="0"/>
                <w:i w:val="0"/>
                <w:sz w:val="20"/>
              </w:rPr>
              <w:t>476</w:t>
            </w:r>
          </w:p>
        </w:tc>
        <w:tc>
          <w:tcPr>
            <w:tcW w:type="dxa" w:w="1425"/>
          </w:tcPr>
          <w:p>
            <w:pPr>
              <w:spacing w:after="0" w:line="240" w:lineRule="auto"/>
              <w:ind w:firstLine="0"/>
              <w:jc w:val="center"/>
            </w:pPr>
            <w:r>
              <w:rPr>
                <w:b w:val="0"/>
                <w:i w:val="0"/>
                <w:sz w:val="20"/>
              </w:rPr>
              <w:t>335</w:t>
            </w:r>
          </w:p>
        </w:tc>
        <w:tc>
          <w:tcPr>
            <w:tcW w:type="dxa" w:w="1425"/>
          </w:tcPr>
          <w:p>
            <w:pPr>
              <w:spacing w:after="0" w:line="240" w:lineRule="auto"/>
              <w:ind w:firstLine="0"/>
              <w:jc w:val="center"/>
            </w:pPr>
            <w:r>
              <w:rPr>
                <w:b w:val="0"/>
                <w:i w:val="0"/>
                <w:sz w:val="20"/>
              </w:rPr>
              <w:t>82</w:t>
            </w:r>
          </w:p>
        </w:tc>
        <w:tc>
          <w:tcPr>
            <w:tcW w:type="dxa" w:w="1425"/>
          </w:tcPr>
          <w:p>
            <w:pPr>
              <w:spacing w:after="0" w:line="240" w:lineRule="auto"/>
              <w:ind w:firstLine="0"/>
              <w:jc w:val="center"/>
            </w:pPr>
            <w:r>
              <w:rPr>
                <w:b w:val="0"/>
                <w:i w:val="0"/>
                <w:sz w:val="20"/>
              </w:rPr>
              <w:t>145</w:t>
            </w:r>
          </w:p>
        </w:tc>
      </w:tr>
      <w:tr>
        <w:tc>
          <w:tcPr>
            <w:tcW w:type="dxa" w:w="1425"/>
          </w:tcPr>
          <w:p>
            <w:pPr>
              <w:spacing w:after="0" w:line="240" w:lineRule="auto"/>
              <w:ind w:firstLine="0"/>
              <w:jc w:val="left"/>
            </w:pPr>
            <w:r>
              <w:rPr>
                <w:b w:val="0"/>
                <w:i w:val="0"/>
                <w:sz w:val="20"/>
              </w:rPr>
              <w:t>Чистая прибыль, млн австрал. долл.</w:t>
            </w:r>
          </w:p>
        </w:tc>
        <w:tc>
          <w:tcPr>
            <w:tcW w:type="dxa" w:w="1425"/>
          </w:tcPr>
          <w:p>
            <w:pPr>
              <w:spacing w:after="0" w:line="240" w:lineRule="auto"/>
              <w:ind w:firstLine="0"/>
              <w:jc w:val="center"/>
            </w:pPr>
            <w:r>
              <w:rPr>
                <w:b w:val="0"/>
                <w:i w:val="0"/>
                <w:sz w:val="20"/>
              </w:rPr>
              <w:t>−19,4</w:t>
            </w:r>
          </w:p>
        </w:tc>
        <w:tc>
          <w:tcPr>
            <w:tcW w:type="dxa" w:w="1425"/>
          </w:tcPr>
          <w:p>
            <w:pPr>
              <w:spacing w:after="0" w:line="240" w:lineRule="auto"/>
              <w:ind w:firstLine="0"/>
              <w:jc w:val="center"/>
            </w:pPr>
            <w:r>
              <w:rPr>
                <w:b w:val="0"/>
                <w:i w:val="0"/>
                <w:sz w:val="20"/>
              </w:rPr>
              <w:t>157,0</w:t>
            </w:r>
          </w:p>
        </w:tc>
        <w:tc>
          <w:tcPr>
            <w:tcW w:type="dxa" w:w="1425"/>
          </w:tcPr>
          <w:p>
            <w:pPr>
              <w:spacing w:after="0" w:line="240" w:lineRule="auto"/>
              <w:ind w:firstLine="0"/>
              <w:jc w:val="center"/>
            </w:pPr>
            <w:r>
              <w:rPr>
                <w:b w:val="0"/>
                <w:i w:val="0"/>
                <w:sz w:val="20"/>
              </w:rPr>
              <w:t>540,8</w:t>
            </w:r>
          </w:p>
        </w:tc>
        <w:tc>
          <w:tcPr>
            <w:tcW w:type="dxa" w:w="1425"/>
          </w:tcPr>
          <w:p>
            <w:pPr>
              <w:spacing w:after="0" w:line="240" w:lineRule="auto"/>
              <w:ind w:firstLine="0"/>
              <w:jc w:val="center"/>
            </w:pPr>
            <w:r>
              <w:rPr>
                <w:b w:val="0"/>
                <w:i w:val="0"/>
                <w:sz w:val="20"/>
              </w:rPr>
              <w:t>310,7</w:t>
            </w:r>
          </w:p>
        </w:tc>
        <w:tc>
          <w:tcPr>
            <w:tcW w:type="dxa" w:w="1425"/>
          </w:tcPr>
          <w:p>
            <w:pPr>
              <w:spacing w:after="0" w:line="240" w:lineRule="auto"/>
              <w:ind w:firstLine="0"/>
              <w:jc w:val="center"/>
            </w:pPr>
            <w:r>
              <w:rPr>
                <w:b w:val="0"/>
                <w:i w:val="0"/>
                <w:sz w:val="20"/>
              </w:rPr>
              <w:t>84,5</w:t>
            </w:r>
          </w:p>
        </w:tc>
        <w:tc>
          <w:tcPr>
            <w:tcW w:type="dxa" w:w="1425"/>
          </w:tcPr>
          <w:p>
            <w:pPr>
              <w:spacing w:after="0" w:line="240" w:lineRule="auto"/>
              <w:ind w:firstLine="0"/>
              <w:jc w:val="center"/>
            </w:pPr>
            <w:r>
              <w:rPr>
                <w:b w:val="0"/>
                <w:i w:val="0"/>
                <w:sz w:val="20"/>
              </w:rPr>
              <w:t>96,0</w:t>
            </w:r>
          </w:p>
        </w:tc>
      </w:tr>
      <w:tr>
        <w:tc>
          <w:tcPr>
            <w:tcW w:type="dxa" w:w="1425"/>
          </w:tcPr>
          <w:p>
            <w:pPr>
              <w:spacing w:after="0" w:line="240" w:lineRule="auto"/>
              <w:ind w:firstLine="0"/>
              <w:jc w:val="left"/>
            </w:pPr>
            <w:r>
              <w:rPr>
                <w:b w:val="0"/>
                <w:i w:val="0"/>
                <w:sz w:val="20"/>
              </w:rPr>
              <w:t>Средняя цена реализации NdPr, $/кг</w:t>
            </w:r>
          </w:p>
        </w:tc>
        <w:tc>
          <w:tcPr>
            <w:tcW w:type="dxa" w:w="1425"/>
          </w:tcPr>
          <w:p>
            <w:pPr>
              <w:spacing w:after="0" w:line="240" w:lineRule="auto"/>
              <w:ind w:firstLine="0"/>
              <w:jc w:val="center"/>
            </w:pPr>
            <w:r>
              <w:rPr>
                <w:b w:val="0"/>
                <w:i w:val="0"/>
                <w:sz w:val="20"/>
              </w:rPr>
              <w:t>41</w:t>
            </w:r>
          </w:p>
        </w:tc>
        <w:tc>
          <w:tcPr>
            <w:tcW w:type="dxa" w:w="1425"/>
          </w:tcPr>
          <w:p>
            <w:pPr>
              <w:spacing w:after="0" w:line="240" w:lineRule="auto"/>
              <w:ind w:firstLine="0"/>
              <w:jc w:val="center"/>
            </w:pPr>
            <w:r>
              <w:rPr>
                <w:b w:val="0"/>
                <w:i w:val="0"/>
                <w:sz w:val="20"/>
              </w:rPr>
              <w:t>62</w:t>
            </w:r>
          </w:p>
        </w:tc>
        <w:tc>
          <w:tcPr>
            <w:tcW w:type="dxa" w:w="1425"/>
          </w:tcPr>
          <w:p>
            <w:pPr>
              <w:spacing w:after="0" w:line="240" w:lineRule="auto"/>
              <w:ind w:firstLine="0"/>
              <w:jc w:val="center"/>
            </w:pPr>
            <w:r>
              <w:rPr>
                <w:b w:val="0"/>
                <w:i w:val="0"/>
                <w:sz w:val="20"/>
              </w:rPr>
              <w:t>128</w:t>
            </w:r>
          </w:p>
        </w:tc>
        <w:tc>
          <w:tcPr>
            <w:tcW w:type="dxa" w:w="1425"/>
          </w:tcPr>
          <w:p>
            <w:pPr>
              <w:spacing w:after="0" w:line="240" w:lineRule="auto"/>
              <w:ind w:firstLine="0"/>
              <w:jc w:val="center"/>
            </w:pPr>
            <w:r>
              <w:rPr>
                <w:b w:val="0"/>
                <w:i w:val="0"/>
                <w:sz w:val="20"/>
              </w:rPr>
              <w:t>82</w:t>
            </w:r>
          </w:p>
        </w:tc>
        <w:tc>
          <w:tcPr>
            <w:tcW w:type="dxa" w:w="1425"/>
          </w:tcPr>
          <w:p>
            <w:pPr>
              <w:spacing w:after="0" w:line="240" w:lineRule="auto"/>
              <w:ind w:firstLine="0"/>
              <w:jc w:val="center"/>
            </w:pPr>
            <w:r>
              <w:rPr>
                <w:b w:val="0"/>
                <w:i w:val="0"/>
                <w:sz w:val="20"/>
              </w:rPr>
              <w:t>52</w:t>
            </w:r>
          </w:p>
        </w:tc>
        <w:tc>
          <w:tcPr>
            <w:tcW w:type="dxa" w:w="1425"/>
          </w:tcPr>
          <w:p>
            <w:pPr>
              <w:spacing w:after="0" w:line="240" w:lineRule="auto"/>
              <w:ind w:firstLine="0"/>
              <w:jc w:val="center"/>
            </w:pPr>
            <w:r>
              <w:rPr>
                <w:b w:val="0"/>
                <w:i w:val="0"/>
                <w:sz w:val="20"/>
              </w:rPr>
              <w:t>61</w:t>
            </w:r>
          </w:p>
        </w:tc>
      </w:tr>
    </w:tbl>
    <w:p>
      <w:pPr>
        <w:spacing w:after="180"/>
        <w:ind w:firstLine="0"/>
      </w:pPr>
      <w:r>
        <w:rPr>
          <w:i/>
          <w:sz w:val="20"/>
        </w:rPr>
        <w:t>Источник: годовые и полугодовые отчёты Lynas Rare Earths Ltd (финансовый год завершается 30 июня)</w:t>
      </w:r>
    </w:p>
    <w:p>
      <w:pPr>
        <w:keepNext/>
        <w:spacing w:before="160" w:after="60"/>
        <w:ind w:firstLine="0"/>
        <w:jc w:val="left"/>
      </w:pPr>
      <w:r>
        <w:rPr>
          <w:b/>
          <w:sz w:val="22"/>
        </w:rPr>
        <w:t>Рисунок 19. Производство NdPr и средняя цена реализации Lynas Rare Earths, ФГ2020–ФГ2025</w:t>
      </w:r>
    </w:p>
    <w:p>
      <w:pPr>
        <w:ind w:firstLine="0"/>
        <w:jc w:val="center"/>
      </w:pPr>
      <w:r>
        <w:drawing>
          <wp:inline xmlns:a="http://schemas.openxmlformats.org/drawingml/2006/main" xmlns:pic="http://schemas.openxmlformats.org/drawingml/2006/picture">
            <wp:extent cx="5580000" cy="2721261"/>
            <wp:docPr id="19" name="Picture 19"/>
            <wp:cNvGraphicFramePr>
              <a:graphicFrameLocks noChangeAspect="1"/>
            </wp:cNvGraphicFramePr>
            <a:graphic>
              <a:graphicData uri="http://schemas.openxmlformats.org/drawingml/2006/picture">
                <pic:pic>
                  <pic:nvPicPr>
                    <pic:cNvPr id="0" name="fig19.png"/>
                    <pic:cNvPicPr/>
                  </pic:nvPicPr>
                  <pic:blipFill>
                    <a:blip r:embed="rId29"/>
                    <a:stretch>
                      <a:fillRect/>
                    </a:stretch>
                  </pic:blipFill>
                  <pic:spPr>
                    <a:xfrm>
                      <a:off x="0" y="0"/>
                      <a:ext cx="5580000" cy="2721261"/>
                    </a:xfrm>
                    <a:prstGeom prst="rect"/>
                  </pic:spPr>
                </pic:pic>
              </a:graphicData>
            </a:graphic>
          </wp:inline>
        </w:drawing>
      </w:r>
    </w:p>
    <w:p>
      <w:pPr>
        <w:spacing w:after="180"/>
        <w:ind w:firstLine="0"/>
      </w:pPr>
      <w:r>
        <w:rPr>
          <w:i/>
          <w:sz w:val="20"/>
        </w:rPr>
        <w:t>Источник: отчётность Lynas Rare Earths Ltd</w:t>
      </w:r>
    </w:p>
    <w:p>
      <w:r>
        <w:rPr>
          <w:b w:val="0"/>
          <w:i w:val="0"/>
        </w:rPr>
        <w:t>Показатели Lynas демонстрируют характерную для отрасли зависимость: при снижении цены NdPr с 128 до 52 долл./кг между ФГ2022 и ФГ2024 EBITDA компании сократилась в 5,8 раза при падении физического производства лишь на 28%. Операционный рычаг в редкоземельной отрасли исключительно высок, что делает проекты уязвимыми к ценовым циклам и обосновывает применяемые в США механизмы ценового пола.</w:t>
      </w:r>
    </w:p>
    <w:p>
      <w:pPr>
        <w:pStyle w:val="Heading2"/>
      </w:pPr>
      <w:r>
        <w:rPr>
          <w:b w:val="0"/>
          <w:i w:val="0"/>
        </w:rPr>
        <w:t>4.4. MP Materials Corp. (США)</w:t>
      </w:r>
    </w:p>
    <w:p>
      <w:r>
        <w:rPr>
          <w:b w:val="0"/>
          <w:i w:val="0"/>
        </w:rPr>
        <w:t>Компания, созданная в 2017 г. на активах обанкротившейся Molycorp консорциумом инвесторов с участием китайской Shenghe Resources. С 2020 г. — публичная компания (NYSE: MP).</w:t>
      </w:r>
    </w:p>
    <w:p>
      <w:r>
        <w:rPr>
          <w:b/>
          <w:i w:val="0"/>
        </w:rPr>
        <w:t>Эволюция бизнес-модели.</w:t>
      </w:r>
      <w:r>
        <w:rPr>
          <w:b w:val="0"/>
          <w:i w:val="0"/>
        </w:rPr>
        <w:t xml:space="preserve"> Первоначально MP Materials представляла собой чисто добывающее предприятие: концентрат Mountain Pass в полном объёме вывозился в КНР для переработки Shenghe. Начиная с 2022 г. компания последовательно реализует стратегию Stage II (собственное разделение) и Stage III (металлургия и производство магнитов):</w:t>
      </w:r>
    </w:p>
    <w:p>
      <w:pPr>
        <w:pStyle w:val="ListBullet"/>
        <w:spacing w:after="20"/>
        <w:ind w:firstLine="0"/>
      </w:pPr>
      <w:r>
        <w:rPr>
          <w:b/>
          <w:i w:val="0"/>
        </w:rPr>
        <w:t>Stage I</w:t>
      </w:r>
      <w:r>
        <w:rPr>
          <w:b w:val="0"/>
          <w:i w:val="0"/>
        </w:rPr>
        <w:t xml:space="preserve"> — добыча и обогащение, выход на 40–45 тыс. т TREO концентрата в год (достигнут в 2021–2022 гг.);</w:t>
      </w:r>
    </w:p>
    <w:p>
      <w:pPr>
        <w:pStyle w:val="ListBullet"/>
        <w:spacing w:after="20"/>
        <w:ind w:firstLine="0"/>
      </w:pPr>
      <w:r>
        <w:rPr>
          <w:b/>
          <w:i w:val="0"/>
        </w:rPr>
        <w:t>Stage II</w:t>
      </w:r>
      <w:r>
        <w:rPr>
          <w:b w:val="0"/>
          <w:i w:val="0"/>
        </w:rPr>
        <w:t xml:space="preserve"> — восстановление разделительного производства на Mountain Pass; первое коммерческое производство оксида NdPr — конец 2023 г.; выход на проектные показатели — 2025–2026 гг.;</w:t>
      </w:r>
    </w:p>
    <w:p>
      <w:pPr>
        <w:pStyle w:val="ListBullet"/>
        <w:spacing w:after="20"/>
        <w:ind w:firstLine="0"/>
      </w:pPr>
      <w:r>
        <w:rPr>
          <w:b/>
          <w:i w:val="0"/>
        </w:rPr>
        <w:t>Stage III</w:t>
      </w:r>
      <w:r>
        <w:rPr>
          <w:b w:val="0"/>
          <w:i w:val="0"/>
        </w:rPr>
        <w:t xml:space="preserve"> — строительство завода металлизации и производства магнитов в Форт-Уэрте (Техас), поставки автомобильного сегмента (соглашение с General Motors).</w:t>
      </w:r>
    </w:p>
    <w:p>
      <w:r>
        <w:rPr>
          <w:b/>
          <w:i w:val="0"/>
        </w:rPr>
        <w:t>Соглашение с Министерством обороны США (июль 2025 г.)</w:t>
      </w:r>
      <w:r>
        <w:rPr>
          <w:b w:val="0"/>
          <w:i w:val="0"/>
        </w:rPr>
        <w:t xml:space="preserve"> стало прецедентом отраслевого значения. Его ключевые элементы: приобретение Министерством обороны конвертируемых привилегированных акций на 400 млн долл. (после конвертации — крупнейший акционер компании), гарантированный ценовой пол на оксид NdPr на уровне 110 долл./кг сроком на 10 лет с механизмом раздела сверхприбыли, обязательство по строительству магнитного завода мощностью 10 тыс. т в год («10X Facility») и десятилетнее соглашение о закупке всей его продукции.</w:t>
      </w:r>
    </w:p>
    <w:p>
      <w:r>
        <w:rPr>
          <w:b w:val="0"/>
          <w:i w:val="0"/>
        </w:rPr>
        <w:t>Механизм ценового пола заслуживает отдельного внимания как ответ на структурную проблему отрасли, описанную в разделе 4.3: он устраняет ценовой риск, делая проект финансируемым, и одновременно нейтрализует возможность вытеснения производителя за счёт демпинга.</w:t>
      </w:r>
    </w:p>
    <w:p>
      <w:pPr>
        <w:keepNext/>
        <w:spacing w:before="160" w:after="60"/>
        <w:ind w:firstLine="0"/>
        <w:jc w:val="left"/>
      </w:pPr>
      <w:r>
        <w:rPr>
          <w:b/>
          <w:sz w:val="22"/>
        </w:rPr>
        <w:t>Таблица 28. Основные показатели MP Materials Corp., 2020–2025 гг.</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Показатель</w:t>
            </w:r>
          </w:p>
        </w:tc>
        <w:tc>
          <w:tcPr>
            <w:tcW w:type="dxa" w:w="1425"/>
            <w:shd w:val="clear" w:fill="DCE6F1"/>
          </w:tcPr>
          <w:p>
            <w:pPr>
              <w:spacing w:after="0" w:line="240" w:lineRule="auto"/>
              <w:ind w:firstLine="0"/>
              <w:jc w:val="center"/>
            </w:pPr>
            <w:r>
              <w:rPr>
                <w:b/>
                <w:i w:val="0"/>
                <w:sz w:val="20"/>
              </w:rPr>
              <w:t>2020</w:t>
            </w:r>
          </w:p>
        </w:tc>
        <w:tc>
          <w:tcPr>
            <w:tcW w:type="dxa" w:w="1425"/>
            <w:shd w:val="clear" w:fill="DCE6F1"/>
          </w:tcPr>
          <w:p>
            <w:pPr>
              <w:spacing w:after="0" w:line="240" w:lineRule="auto"/>
              <w:ind w:firstLine="0"/>
              <w:jc w:val="center"/>
            </w:pPr>
            <w:r>
              <w:rPr>
                <w:b/>
                <w:i w:val="0"/>
                <w:sz w:val="20"/>
              </w:rPr>
              <w:t>2021</w:t>
            </w:r>
          </w:p>
        </w:tc>
        <w:tc>
          <w:tcPr>
            <w:tcW w:type="dxa" w:w="1425"/>
            <w:shd w:val="clear" w:fill="DCE6F1"/>
          </w:tcPr>
          <w:p>
            <w:pPr>
              <w:spacing w:after="0" w:line="240" w:lineRule="auto"/>
              <w:ind w:firstLine="0"/>
              <w:jc w:val="center"/>
            </w:pPr>
            <w:r>
              <w:rPr>
                <w:b/>
                <w:i w:val="0"/>
                <w:sz w:val="20"/>
              </w:rPr>
              <w:t>2022</w:t>
            </w:r>
          </w:p>
        </w:tc>
        <w:tc>
          <w:tcPr>
            <w:tcW w:type="dxa" w:w="1425"/>
            <w:shd w:val="clear" w:fill="DCE6F1"/>
          </w:tcPr>
          <w:p>
            <w:pPr>
              <w:spacing w:after="0" w:line="240" w:lineRule="auto"/>
              <w:ind w:firstLine="0"/>
              <w:jc w:val="center"/>
            </w:pPr>
            <w:r>
              <w:rPr>
                <w:b/>
                <w:i w:val="0"/>
                <w:sz w:val="20"/>
              </w:rPr>
              <w:t>2023</w:t>
            </w:r>
          </w:p>
        </w:tc>
        <w:tc>
          <w:tcPr>
            <w:tcW w:type="dxa" w:w="1425"/>
            <w:shd w:val="clear" w:fill="DCE6F1"/>
          </w:tcPr>
          <w:p>
            <w:pPr>
              <w:spacing w:after="0" w:line="240" w:lineRule="auto"/>
              <w:ind w:firstLine="0"/>
              <w:jc w:val="center"/>
            </w:pPr>
            <w:r>
              <w:rPr>
                <w:b/>
                <w:i w:val="0"/>
                <w:sz w:val="20"/>
              </w:rPr>
              <w:t>2024</w:t>
            </w:r>
          </w:p>
        </w:tc>
        <w:tc>
          <w:tcPr>
            <w:tcW w:type="dxa" w:w="1425"/>
            <w:shd w:val="clear" w:fill="DCE6F1"/>
          </w:tcPr>
          <w:p>
            <w:pPr>
              <w:spacing w:after="0" w:line="240" w:lineRule="auto"/>
              <w:ind w:firstLine="0"/>
              <w:jc w:val="center"/>
            </w:pPr>
            <w:r>
              <w:rPr>
                <w:b/>
                <w:i w:val="0"/>
                <w:sz w:val="20"/>
              </w:rPr>
              <w:t>2025 (оц.)</w:t>
            </w:r>
          </w:p>
        </w:tc>
      </w:tr>
      <w:tr>
        <w:tc>
          <w:tcPr>
            <w:tcW w:type="dxa" w:w="1425"/>
          </w:tcPr>
          <w:p>
            <w:pPr>
              <w:spacing w:after="0" w:line="240" w:lineRule="auto"/>
              <w:ind w:firstLine="0"/>
              <w:jc w:val="left"/>
            </w:pPr>
            <w:r>
              <w:rPr>
                <w:b w:val="0"/>
                <w:i w:val="0"/>
                <w:sz w:val="20"/>
              </w:rPr>
              <w:t>Производство REO в концентрате, т</w:t>
            </w:r>
          </w:p>
        </w:tc>
        <w:tc>
          <w:tcPr>
            <w:tcW w:type="dxa" w:w="1425"/>
          </w:tcPr>
          <w:p>
            <w:pPr>
              <w:spacing w:after="0" w:line="240" w:lineRule="auto"/>
              <w:ind w:firstLine="0"/>
              <w:jc w:val="center"/>
            </w:pPr>
            <w:r>
              <w:rPr>
                <w:b w:val="0"/>
                <w:i w:val="0"/>
                <w:sz w:val="20"/>
              </w:rPr>
              <w:t>38 503</w:t>
            </w:r>
          </w:p>
        </w:tc>
        <w:tc>
          <w:tcPr>
            <w:tcW w:type="dxa" w:w="1425"/>
          </w:tcPr>
          <w:p>
            <w:pPr>
              <w:spacing w:after="0" w:line="240" w:lineRule="auto"/>
              <w:ind w:firstLine="0"/>
              <w:jc w:val="center"/>
            </w:pPr>
            <w:r>
              <w:rPr>
                <w:b w:val="0"/>
                <w:i w:val="0"/>
                <w:sz w:val="20"/>
              </w:rPr>
              <w:t>42 413</w:t>
            </w:r>
          </w:p>
        </w:tc>
        <w:tc>
          <w:tcPr>
            <w:tcW w:type="dxa" w:w="1425"/>
          </w:tcPr>
          <w:p>
            <w:pPr>
              <w:spacing w:after="0" w:line="240" w:lineRule="auto"/>
              <w:ind w:firstLine="0"/>
              <w:jc w:val="center"/>
            </w:pPr>
            <w:r>
              <w:rPr>
                <w:b w:val="0"/>
                <w:i w:val="0"/>
                <w:sz w:val="20"/>
              </w:rPr>
              <w:t>42 500</w:t>
            </w:r>
          </w:p>
        </w:tc>
        <w:tc>
          <w:tcPr>
            <w:tcW w:type="dxa" w:w="1425"/>
          </w:tcPr>
          <w:p>
            <w:pPr>
              <w:spacing w:after="0" w:line="240" w:lineRule="auto"/>
              <w:ind w:firstLine="0"/>
              <w:jc w:val="center"/>
            </w:pPr>
            <w:r>
              <w:rPr>
                <w:b w:val="0"/>
                <w:i w:val="0"/>
                <w:sz w:val="20"/>
              </w:rPr>
              <w:t>41 557</w:t>
            </w:r>
          </w:p>
        </w:tc>
        <w:tc>
          <w:tcPr>
            <w:tcW w:type="dxa" w:w="1425"/>
          </w:tcPr>
          <w:p>
            <w:pPr>
              <w:spacing w:after="0" w:line="240" w:lineRule="auto"/>
              <w:ind w:firstLine="0"/>
              <w:jc w:val="center"/>
            </w:pPr>
            <w:r>
              <w:rPr>
                <w:b w:val="0"/>
                <w:i w:val="0"/>
                <w:sz w:val="20"/>
              </w:rPr>
              <w:t>45 455</w:t>
            </w:r>
          </w:p>
        </w:tc>
        <w:tc>
          <w:tcPr>
            <w:tcW w:type="dxa" w:w="1425"/>
          </w:tcPr>
          <w:p>
            <w:pPr>
              <w:spacing w:after="0" w:line="240" w:lineRule="auto"/>
              <w:ind w:firstLine="0"/>
              <w:jc w:val="center"/>
            </w:pPr>
            <w:r>
              <w:rPr>
                <w:b w:val="0"/>
                <w:i w:val="0"/>
                <w:sz w:val="20"/>
              </w:rPr>
              <w:t>47 000</w:t>
            </w:r>
          </w:p>
        </w:tc>
      </w:tr>
      <w:tr>
        <w:tc>
          <w:tcPr>
            <w:tcW w:type="dxa" w:w="1425"/>
          </w:tcPr>
          <w:p>
            <w:pPr>
              <w:spacing w:after="0" w:line="240" w:lineRule="auto"/>
              <w:ind w:firstLine="0"/>
              <w:jc w:val="left"/>
            </w:pPr>
            <w:r>
              <w:rPr>
                <w:b w:val="0"/>
                <w:i w:val="0"/>
                <w:sz w:val="20"/>
              </w:rPr>
              <w:t>Производство NdPr, т</w:t>
            </w:r>
          </w:p>
        </w:tc>
        <w:tc>
          <w:tcPr>
            <w:tcW w:type="dxa" w:w="1425"/>
          </w:tcPr>
          <w:p>
            <w:pPr>
              <w:spacing w:after="0" w:line="240" w:lineRule="auto"/>
              <w:ind w:firstLine="0"/>
              <w:jc w:val="center"/>
            </w:pPr>
            <w:r>
              <w:rPr>
                <w:b w:val="0"/>
                <w:i w:val="0"/>
                <w:sz w:val="20"/>
              </w:rPr>
              <w:t>—</w:t>
            </w:r>
          </w:p>
        </w:tc>
        <w:tc>
          <w:tcPr>
            <w:tcW w:type="dxa" w:w="1425"/>
          </w:tcPr>
          <w:p>
            <w:pPr>
              <w:spacing w:after="0" w:line="240" w:lineRule="auto"/>
              <w:ind w:firstLine="0"/>
              <w:jc w:val="center"/>
            </w:pPr>
            <w:r>
              <w:rPr>
                <w:b w:val="0"/>
                <w:i w:val="0"/>
                <w:sz w:val="20"/>
              </w:rPr>
              <w:t>—</w:t>
            </w:r>
          </w:p>
        </w:tc>
        <w:tc>
          <w:tcPr>
            <w:tcW w:type="dxa" w:w="1425"/>
          </w:tcPr>
          <w:p>
            <w:pPr>
              <w:spacing w:after="0" w:line="240" w:lineRule="auto"/>
              <w:ind w:firstLine="0"/>
              <w:jc w:val="center"/>
            </w:pPr>
            <w:r>
              <w:rPr>
                <w:b w:val="0"/>
                <w:i w:val="0"/>
                <w:sz w:val="20"/>
              </w:rPr>
              <w:t>—</w:t>
            </w:r>
          </w:p>
        </w:tc>
        <w:tc>
          <w:tcPr>
            <w:tcW w:type="dxa" w:w="1425"/>
          </w:tcPr>
          <w:p>
            <w:pPr>
              <w:spacing w:after="0" w:line="240" w:lineRule="auto"/>
              <w:ind w:firstLine="0"/>
              <w:jc w:val="center"/>
            </w:pPr>
            <w:r>
              <w:rPr>
                <w:b w:val="0"/>
                <w:i w:val="0"/>
                <w:sz w:val="20"/>
              </w:rPr>
              <w:t>200</w:t>
            </w:r>
          </w:p>
        </w:tc>
        <w:tc>
          <w:tcPr>
            <w:tcW w:type="dxa" w:w="1425"/>
          </w:tcPr>
          <w:p>
            <w:pPr>
              <w:spacing w:after="0" w:line="240" w:lineRule="auto"/>
              <w:ind w:firstLine="0"/>
              <w:jc w:val="center"/>
            </w:pPr>
            <w:r>
              <w:rPr>
                <w:b w:val="0"/>
                <w:i w:val="0"/>
                <w:sz w:val="20"/>
              </w:rPr>
              <w:t>1 294</w:t>
            </w:r>
          </w:p>
        </w:tc>
        <w:tc>
          <w:tcPr>
            <w:tcW w:type="dxa" w:w="1425"/>
          </w:tcPr>
          <w:p>
            <w:pPr>
              <w:spacing w:after="0" w:line="240" w:lineRule="auto"/>
              <w:ind w:firstLine="0"/>
              <w:jc w:val="center"/>
            </w:pPr>
            <w:r>
              <w:rPr>
                <w:b w:val="0"/>
                <w:i w:val="0"/>
                <w:sz w:val="20"/>
              </w:rPr>
              <w:t>2 300</w:t>
            </w:r>
          </w:p>
        </w:tc>
      </w:tr>
      <w:tr>
        <w:tc>
          <w:tcPr>
            <w:tcW w:type="dxa" w:w="1425"/>
          </w:tcPr>
          <w:p>
            <w:pPr>
              <w:spacing w:after="0" w:line="240" w:lineRule="auto"/>
              <w:ind w:firstLine="0"/>
              <w:jc w:val="left"/>
            </w:pPr>
            <w:r>
              <w:rPr>
                <w:b w:val="0"/>
                <w:i w:val="0"/>
                <w:sz w:val="20"/>
              </w:rPr>
              <w:t>Выручка, млн $</w:t>
            </w:r>
          </w:p>
        </w:tc>
        <w:tc>
          <w:tcPr>
            <w:tcW w:type="dxa" w:w="1425"/>
          </w:tcPr>
          <w:p>
            <w:pPr>
              <w:spacing w:after="0" w:line="240" w:lineRule="auto"/>
              <w:ind w:firstLine="0"/>
              <w:jc w:val="center"/>
            </w:pPr>
            <w:r>
              <w:rPr>
                <w:b w:val="0"/>
                <w:i w:val="0"/>
                <w:sz w:val="20"/>
              </w:rPr>
              <w:t>134</w:t>
            </w:r>
          </w:p>
        </w:tc>
        <w:tc>
          <w:tcPr>
            <w:tcW w:type="dxa" w:w="1425"/>
          </w:tcPr>
          <w:p>
            <w:pPr>
              <w:spacing w:after="0" w:line="240" w:lineRule="auto"/>
              <w:ind w:firstLine="0"/>
              <w:jc w:val="center"/>
            </w:pPr>
            <w:r>
              <w:rPr>
                <w:b w:val="0"/>
                <w:i w:val="0"/>
                <w:sz w:val="20"/>
              </w:rPr>
              <w:t>332</w:t>
            </w:r>
          </w:p>
        </w:tc>
        <w:tc>
          <w:tcPr>
            <w:tcW w:type="dxa" w:w="1425"/>
          </w:tcPr>
          <w:p>
            <w:pPr>
              <w:spacing w:after="0" w:line="240" w:lineRule="auto"/>
              <w:ind w:firstLine="0"/>
              <w:jc w:val="center"/>
            </w:pPr>
            <w:r>
              <w:rPr>
                <w:b w:val="0"/>
                <w:i w:val="0"/>
                <w:sz w:val="20"/>
              </w:rPr>
              <w:t>527</w:t>
            </w:r>
          </w:p>
        </w:tc>
        <w:tc>
          <w:tcPr>
            <w:tcW w:type="dxa" w:w="1425"/>
          </w:tcPr>
          <w:p>
            <w:pPr>
              <w:spacing w:after="0" w:line="240" w:lineRule="auto"/>
              <w:ind w:firstLine="0"/>
              <w:jc w:val="center"/>
            </w:pPr>
            <w:r>
              <w:rPr>
                <w:b w:val="0"/>
                <w:i w:val="0"/>
                <w:sz w:val="20"/>
              </w:rPr>
              <w:t>253</w:t>
            </w:r>
          </w:p>
        </w:tc>
        <w:tc>
          <w:tcPr>
            <w:tcW w:type="dxa" w:w="1425"/>
          </w:tcPr>
          <w:p>
            <w:pPr>
              <w:spacing w:after="0" w:line="240" w:lineRule="auto"/>
              <w:ind w:firstLine="0"/>
              <w:jc w:val="center"/>
            </w:pPr>
            <w:r>
              <w:rPr>
                <w:b w:val="0"/>
                <w:i w:val="0"/>
                <w:sz w:val="20"/>
              </w:rPr>
              <w:t>204</w:t>
            </w:r>
          </w:p>
        </w:tc>
        <w:tc>
          <w:tcPr>
            <w:tcW w:type="dxa" w:w="1425"/>
          </w:tcPr>
          <w:p>
            <w:pPr>
              <w:spacing w:after="0" w:line="240" w:lineRule="auto"/>
              <w:ind w:firstLine="0"/>
              <w:jc w:val="center"/>
            </w:pPr>
            <w:r>
              <w:rPr>
                <w:b w:val="0"/>
                <w:i w:val="0"/>
                <w:sz w:val="20"/>
              </w:rPr>
              <w:t>340</w:t>
            </w:r>
          </w:p>
        </w:tc>
      </w:tr>
      <w:tr>
        <w:tc>
          <w:tcPr>
            <w:tcW w:type="dxa" w:w="1425"/>
          </w:tcPr>
          <w:p>
            <w:pPr>
              <w:spacing w:after="0" w:line="240" w:lineRule="auto"/>
              <w:ind w:firstLine="0"/>
              <w:jc w:val="left"/>
            </w:pPr>
            <w:r>
              <w:rPr>
                <w:b w:val="0"/>
                <w:i w:val="0"/>
                <w:sz w:val="20"/>
              </w:rPr>
              <w:t>Скорр. EBITDA, млн $</w:t>
            </w:r>
          </w:p>
        </w:tc>
        <w:tc>
          <w:tcPr>
            <w:tcW w:type="dxa" w:w="1425"/>
          </w:tcPr>
          <w:p>
            <w:pPr>
              <w:spacing w:after="0" w:line="240" w:lineRule="auto"/>
              <w:ind w:firstLine="0"/>
              <w:jc w:val="center"/>
            </w:pPr>
            <w:r>
              <w:rPr>
                <w:b w:val="0"/>
                <w:i w:val="0"/>
                <w:sz w:val="20"/>
              </w:rPr>
              <w:t>45</w:t>
            </w:r>
          </w:p>
        </w:tc>
        <w:tc>
          <w:tcPr>
            <w:tcW w:type="dxa" w:w="1425"/>
          </w:tcPr>
          <w:p>
            <w:pPr>
              <w:spacing w:after="0" w:line="240" w:lineRule="auto"/>
              <w:ind w:firstLine="0"/>
              <w:jc w:val="center"/>
            </w:pPr>
            <w:r>
              <w:rPr>
                <w:b w:val="0"/>
                <w:i w:val="0"/>
                <w:sz w:val="20"/>
              </w:rPr>
              <w:t>219</w:t>
            </w:r>
          </w:p>
        </w:tc>
        <w:tc>
          <w:tcPr>
            <w:tcW w:type="dxa" w:w="1425"/>
          </w:tcPr>
          <w:p>
            <w:pPr>
              <w:spacing w:after="0" w:line="240" w:lineRule="auto"/>
              <w:ind w:firstLine="0"/>
              <w:jc w:val="center"/>
            </w:pPr>
            <w:r>
              <w:rPr>
                <w:b w:val="0"/>
                <w:i w:val="0"/>
                <w:sz w:val="20"/>
              </w:rPr>
              <w:t>372</w:t>
            </w:r>
          </w:p>
        </w:tc>
        <w:tc>
          <w:tcPr>
            <w:tcW w:type="dxa" w:w="1425"/>
          </w:tcPr>
          <w:p>
            <w:pPr>
              <w:spacing w:after="0" w:line="240" w:lineRule="auto"/>
              <w:ind w:firstLine="0"/>
              <w:jc w:val="center"/>
            </w:pPr>
            <w:r>
              <w:rPr>
                <w:b w:val="0"/>
                <w:i w:val="0"/>
                <w:sz w:val="20"/>
              </w:rPr>
              <w:t>66</w:t>
            </w:r>
          </w:p>
        </w:tc>
        <w:tc>
          <w:tcPr>
            <w:tcW w:type="dxa" w:w="1425"/>
          </w:tcPr>
          <w:p>
            <w:pPr>
              <w:spacing w:after="0" w:line="240" w:lineRule="auto"/>
              <w:ind w:firstLine="0"/>
              <w:jc w:val="center"/>
            </w:pPr>
            <w:r>
              <w:rPr>
                <w:b w:val="0"/>
                <w:i w:val="0"/>
                <w:sz w:val="20"/>
              </w:rPr>
              <w:t>−29</w:t>
            </w:r>
          </w:p>
        </w:tc>
        <w:tc>
          <w:tcPr>
            <w:tcW w:type="dxa" w:w="1425"/>
          </w:tcPr>
          <w:p>
            <w:pPr>
              <w:spacing w:after="0" w:line="240" w:lineRule="auto"/>
              <w:ind w:firstLine="0"/>
              <w:jc w:val="center"/>
            </w:pPr>
            <w:r>
              <w:rPr>
                <w:b w:val="0"/>
                <w:i w:val="0"/>
                <w:sz w:val="20"/>
              </w:rPr>
              <w:t>55</w:t>
            </w:r>
          </w:p>
        </w:tc>
      </w:tr>
      <w:tr>
        <w:tc>
          <w:tcPr>
            <w:tcW w:type="dxa" w:w="1425"/>
          </w:tcPr>
          <w:p>
            <w:pPr>
              <w:spacing w:after="0" w:line="240" w:lineRule="auto"/>
              <w:ind w:firstLine="0"/>
              <w:jc w:val="left"/>
            </w:pPr>
            <w:r>
              <w:rPr>
                <w:b w:val="0"/>
                <w:i w:val="0"/>
                <w:sz w:val="20"/>
              </w:rPr>
              <w:t>Чистая прибыль, млн $</w:t>
            </w:r>
          </w:p>
        </w:tc>
        <w:tc>
          <w:tcPr>
            <w:tcW w:type="dxa" w:w="1425"/>
          </w:tcPr>
          <w:p>
            <w:pPr>
              <w:spacing w:after="0" w:line="240" w:lineRule="auto"/>
              <w:ind w:firstLine="0"/>
              <w:jc w:val="center"/>
            </w:pPr>
            <w:r>
              <w:rPr>
                <w:b w:val="0"/>
                <w:i w:val="0"/>
                <w:sz w:val="20"/>
              </w:rPr>
              <w:t>22</w:t>
            </w:r>
          </w:p>
        </w:tc>
        <w:tc>
          <w:tcPr>
            <w:tcW w:type="dxa" w:w="1425"/>
          </w:tcPr>
          <w:p>
            <w:pPr>
              <w:spacing w:after="0" w:line="240" w:lineRule="auto"/>
              <w:ind w:firstLine="0"/>
              <w:jc w:val="center"/>
            </w:pPr>
            <w:r>
              <w:rPr>
                <w:b w:val="0"/>
                <w:i w:val="0"/>
                <w:sz w:val="20"/>
              </w:rPr>
              <w:t>135</w:t>
            </w:r>
          </w:p>
        </w:tc>
        <w:tc>
          <w:tcPr>
            <w:tcW w:type="dxa" w:w="1425"/>
          </w:tcPr>
          <w:p>
            <w:pPr>
              <w:spacing w:after="0" w:line="240" w:lineRule="auto"/>
              <w:ind w:firstLine="0"/>
              <w:jc w:val="center"/>
            </w:pPr>
            <w:r>
              <w:rPr>
                <w:b w:val="0"/>
                <w:i w:val="0"/>
                <w:sz w:val="20"/>
              </w:rPr>
              <w:t>289</w:t>
            </w:r>
          </w:p>
        </w:tc>
        <w:tc>
          <w:tcPr>
            <w:tcW w:type="dxa" w:w="1425"/>
          </w:tcPr>
          <w:p>
            <w:pPr>
              <w:spacing w:after="0" w:line="240" w:lineRule="auto"/>
              <w:ind w:firstLine="0"/>
              <w:jc w:val="center"/>
            </w:pPr>
            <w:r>
              <w:rPr>
                <w:b w:val="0"/>
                <w:i w:val="0"/>
                <w:sz w:val="20"/>
              </w:rPr>
              <w:t>24</w:t>
            </w:r>
          </w:p>
        </w:tc>
        <w:tc>
          <w:tcPr>
            <w:tcW w:type="dxa" w:w="1425"/>
          </w:tcPr>
          <w:p>
            <w:pPr>
              <w:spacing w:after="0" w:line="240" w:lineRule="auto"/>
              <w:ind w:firstLine="0"/>
              <w:jc w:val="center"/>
            </w:pPr>
            <w:r>
              <w:rPr>
                <w:b w:val="0"/>
                <w:i w:val="0"/>
                <w:sz w:val="20"/>
              </w:rPr>
              <w:t>−65</w:t>
            </w:r>
          </w:p>
        </w:tc>
        <w:tc>
          <w:tcPr>
            <w:tcW w:type="dxa" w:w="1425"/>
          </w:tcPr>
          <w:p>
            <w:pPr>
              <w:spacing w:after="0" w:line="240" w:lineRule="auto"/>
              <w:ind w:firstLine="0"/>
              <w:jc w:val="center"/>
            </w:pPr>
            <w:r>
              <w:rPr>
                <w:b w:val="0"/>
                <w:i w:val="0"/>
                <w:sz w:val="20"/>
              </w:rPr>
              <w:t>15</w:t>
            </w:r>
          </w:p>
        </w:tc>
      </w:tr>
      <w:tr>
        <w:tc>
          <w:tcPr>
            <w:tcW w:type="dxa" w:w="1425"/>
          </w:tcPr>
          <w:p>
            <w:pPr>
              <w:spacing w:after="0" w:line="240" w:lineRule="auto"/>
              <w:ind w:firstLine="0"/>
              <w:jc w:val="left"/>
            </w:pPr>
            <w:r>
              <w:rPr>
                <w:b w:val="0"/>
                <w:i w:val="0"/>
                <w:sz w:val="20"/>
              </w:rPr>
              <w:t>Средняя реализ. цена REO, $/т</w:t>
            </w:r>
          </w:p>
        </w:tc>
        <w:tc>
          <w:tcPr>
            <w:tcW w:type="dxa" w:w="1425"/>
          </w:tcPr>
          <w:p>
            <w:pPr>
              <w:spacing w:after="0" w:line="240" w:lineRule="auto"/>
              <w:ind w:firstLine="0"/>
              <w:jc w:val="center"/>
            </w:pPr>
            <w:r>
              <w:rPr>
                <w:b w:val="0"/>
                <w:i w:val="0"/>
                <w:sz w:val="20"/>
              </w:rPr>
              <w:t>3 468</w:t>
            </w:r>
          </w:p>
        </w:tc>
        <w:tc>
          <w:tcPr>
            <w:tcW w:type="dxa" w:w="1425"/>
          </w:tcPr>
          <w:p>
            <w:pPr>
              <w:spacing w:after="0" w:line="240" w:lineRule="auto"/>
              <w:ind w:firstLine="0"/>
              <w:jc w:val="center"/>
            </w:pPr>
            <w:r>
              <w:rPr>
                <w:b w:val="0"/>
                <w:i w:val="0"/>
                <w:sz w:val="20"/>
              </w:rPr>
              <w:t>7 924</w:t>
            </w:r>
          </w:p>
        </w:tc>
        <w:tc>
          <w:tcPr>
            <w:tcW w:type="dxa" w:w="1425"/>
          </w:tcPr>
          <w:p>
            <w:pPr>
              <w:spacing w:after="0" w:line="240" w:lineRule="auto"/>
              <w:ind w:firstLine="0"/>
              <w:jc w:val="center"/>
            </w:pPr>
            <w:r>
              <w:rPr>
                <w:b w:val="0"/>
                <w:i w:val="0"/>
                <w:sz w:val="20"/>
              </w:rPr>
              <w:t>12 442</w:t>
            </w:r>
          </w:p>
        </w:tc>
        <w:tc>
          <w:tcPr>
            <w:tcW w:type="dxa" w:w="1425"/>
          </w:tcPr>
          <w:p>
            <w:pPr>
              <w:spacing w:after="0" w:line="240" w:lineRule="auto"/>
              <w:ind w:firstLine="0"/>
              <w:jc w:val="center"/>
            </w:pPr>
            <w:r>
              <w:rPr>
                <w:b w:val="0"/>
                <w:i w:val="0"/>
                <w:sz w:val="20"/>
              </w:rPr>
              <w:t>6 054</w:t>
            </w:r>
          </w:p>
        </w:tc>
        <w:tc>
          <w:tcPr>
            <w:tcW w:type="dxa" w:w="1425"/>
          </w:tcPr>
          <w:p>
            <w:pPr>
              <w:spacing w:after="0" w:line="240" w:lineRule="auto"/>
              <w:ind w:firstLine="0"/>
              <w:jc w:val="center"/>
            </w:pPr>
            <w:r>
              <w:rPr>
                <w:b w:val="0"/>
                <w:i w:val="0"/>
                <w:sz w:val="20"/>
              </w:rPr>
              <w:t>4 450</w:t>
            </w:r>
          </w:p>
        </w:tc>
        <w:tc>
          <w:tcPr>
            <w:tcW w:type="dxa" w:w="1425"/>
          </w:tcPr>
          <w:p>
            <w:pPr>
              <w:spacing w:after="0" w:line="240" w:lineRule="auto"/>
              <w:ind w:firstLine="0"/>
              <w:jc w:val="center"/>
            </w:pPr>
            <w:r>
              <w:rPr>
                <w:b w:val="0"/>
                <w:i w:val="0"/>
                <w:sz w:val="20"/>
              </w:rPr>
              <w:t>6 200</w:t>
            </w:r>
          </w:p>
        </w:tc>
      </w:tr>
    </w:tbl>
    <w:p>
      <w:pPr>
        <w:spacing w:after="180"/>
        <w:ind w:firstLine="0"/>
      </w:pPr>
      <w:r>
        <w:rPr>
          <w:i/>
          <w:sz w:val="20"/>
        </w:rPr>
        <w:t>Источник: годовые отчёты MP Materials Corp. (форма 10-K, SEC); данные за 2025 г. — оценка на основе квартальной отчётности</w:t>
      </w:r>
    </w:p>
    <w:p>
      <w:pPr>
        <w:keepNext/>
        <w:spacing w:before="160" w:after="60"/>
        <w:ind w:firstLine="0"/>
        <w:jc w:val="left"/>
      </w:pPr>
      <w:r>
        <w:rPr>
          <w:b/>
          <w:sz w:val="22"/>
        </w:rPr>
        <w:t>Рисунок 20. Выручка и производство NdPr MP Materials, 2020–2025 гг.</w:t>
      </w:r>
    </w:p>
    <w:p>
      <w:pPr>
        <w:ind w:firstLine="0"/>
        <w:jc w:val="center"/>
      </w:pPr>
      <w:r>
        <w:drawing>
          <wp:inline xmlns:a="http://schemas.openxmlformats.org/drawingml/2006/main" xmlns:pic="http://schemas.openxmlformats.org/drawingml/2006/picture">
            <wp:extent cx="5580000" cy="2725304"/>
            <wp:docPr id="20" name="Picture 20"/>
            <wp:cNvGraphicFramePr>
              <a:graphicFrameLocks noChangeAspect="1"/>
            </wp:cNvGraphicFramePr>
            <a:graphic>
              <a:graphicData uri="http://schemas.openxmlformats.org/drawingml/2006/picture">
                <pic:pic>
                  <pic:nvPicPr>
                    <pic:cNvPr id="0" name="fig20.png"/>
                    <pic:cNvPicPr/>
                  </pic:nvPicPr>
                  <pic:blipFill>
                    <a:blip r:embed="rId30"/>
                    <a:stretch>
                      <a:fillRect/>
                    </a:stretch>
                  </pic:blipFill>
                  <pic:spPr>
                    <a:xfrm>
                      <a:off x="0" y="0"/>
                      <a:ext cx="5580000" cy="2725304"/>
                    </a:xfrm>
                    <a:prstGeom prst="rect"/>
                  </pic:spPr>
                </pic:pic>
              </a:graphicData>
            </a:graphic>
          </wp:inline>
        </w:drawing>
      </w:r>
    </w:p>
    <w:p>
      <w:pPr>
        <w:spacing w:after="180"/>
        <w:ind w:firstLine="0"/>
      </w:pPr>
      <w:r>
        <w:rPr>
          <w:i/>
          <w:sz w:val="20"/>
        </w:rPr>
        <w:t>Источник: отчётность MP Materials Corp.</w:t>
      </w:r>
    </w:p>
    <w:p>
      <w:pPr>
        <w:pStyle w:val="Heading2"/>
      </w:pPr>
      <w:r>
        <w:rPr>
          <w:b w:val="0"/>
          <w:i w:val="0"/>
        </w:rPr>
        <w:t>4.5. Neo Performance Materials Inc. (Канада)</w:t>
      </w:r>
    </w:p>
    <w:p>
      <w:r>
        <w:rPr>
          <w:b w:val="0"/>
          <w:i w:val="0"/>
        </w:rPr>
        <w:t>Компания с уникальной для отрасли географией: канадская регистрация, производственные активы в Эстонии, Таиланде, КНР, Германии и Великобритании. Возникла на базе Magnequench (бывшее подразделение General Motors, разработчик связанных магнитов) и редкоземельного бизнеса Molycorp.</w:t>
      </w:r>
    </w:p>
    <w:p>
      <w:r>
        <w:rPr>
          <w:b/>
          <w:i w:val="0"/>
        </w:rPr>
        <w:t>Ключевые активы:</w:t>
      </w:r>
    </w:p>
    <w:p>
      <w:pPr>
        <w:pStyle w:val="ListBullet"/>
        <w:spacing w:after="20"/>
        <w:ind w:firstLine="0"/>
      </w:pPr>
      <w:r>
        <w:rPr>
          <w:b/>
          <w:i w:val="0"/>
        </w:rPr>
        <w:t>Neo Performance Materials Silmet</w:t>
      </w:r>
      <w:r>
        <w:rPr>
          <w:b w:val="0"/>
          <w:i w:val="0"/>
        </w:rPr>
        <w:t xml:space="preserve"> (Силламяэ, Эстония) — единственное в Европейском союзе действующее предприятие по разделению редкоземельных элементов, мощность около 7 тыс. т TREO/год. Исторически перерабатывало российское сырьё (коллективный карбонат производства АО «Соликамский магниевый завод»); после 2022 г. поставки прекращены, предприятие переориентировано на сырьё из США (Energy Fuels) и Австралии;</w:t>
      </w:r>
    </w:p>
    <w:p>
      <w:pPr>
        <w:pStyle w:val="ListBullet"/>
        <w:spacing w:after="20"/>
        <w:ind w:firstLine="0"/>
      </w:pPr>
      <w:r>
        <w:rPr>
          <w:b/>
          <w:i w:val="0"/>
        </w:rPr>
        <w:t>Magnequench</w:t>
      </w:r>
      <w:r>
        <w:rPr>
          <w:b w:val="0"/>
          <w:i w:val="0"/>
        </w:rPr>
        <w:t xml:space="preserve"> (Таиланд, КНР) — производство порошков и связанных магнитов NdFeB, мировой лидер сегмента;</w:t>
      </w:r>
    </w:p>
    <w:p>
      <w:pPr>
        <w:pStyle w:val="ListBullet"/>
        <w:spacing w:after="20"/>
        <w:ind w:firstLine="0"/>
      </w:pPr>
      <w:r>
        <w:rPr>
          <w:b/>
          <w:i w:val="0"/>
        </w:rPr>
        <w:t>Neo Magnequench Estonia</w:t>
      </w:r>
      <w:r>
        <w:rPr>
          <w:b w:val="0"/>
          <w:i w:val="0"/>
        </w:rPr>
        <w:t xml:space="preserve"> — завод спечённых постоянных магнитов в Нарве (Эстония), введён в эксплуатацию в 2024–2025 гг., проектная мощность 2 тыс. т/год; первый в ЕС завод такого профиля, построенный при поддержке Европейского фонда регионального развития;</w:t>
      </w:r>
    </w:p>
    <w:p>
      <w:pPr>
        <w:pStyle w:val="ListBullet"/>
        <w:spacing w:after="20"/>
        <w:ind w:firstLine="0"/>
      </w:pPr>
      <w:r>
        <w:rPr>
          <w:b/>
          <w:i w:val="0"/>
        </w:rPr>
        <w:t>Neo Chemicals &amp; Oxides</w:t>
      </w:r>
      <w:r>
        <w:rPr>
          <w:b w:val="0"/>
          <w:i w:val="0"/>
        </w:rPr>
        <w:t xml:space="preserve"> (площадки в КНР и Великобритании) — производство специальных химикатов, катализаторных и водоочистных материалов на основе РЗМ;</w:t>
      </w:r>
    </w:p>
    <w:p>
      <w:pPr>
        <w:pStyle w:val="ListBullet"/>
        <w:spacing w:after="20"/>
        <w:ind w:firstLine="0"/>
      </w:pPr>
      <w:r>
        <w:rPr>
          <w:b/>
          <w:i w:val="0"/>
        </w:rPr>
        <w:t>Neo Rare Metals</w:t>
      </w:r>
      <w:r>
        <w:rPr>
          <w:b w:val="0"/>
          <w:i w:val="0"/>
        </w:rPr>
        <w:t xml:space="preserve"> — производство галлия, индия, рения и специальных сплавов.</w:t>
      </w:r>
    </w:p>
    <w:p>
      <w:pPr>
        <w:keepNext/>
        <w:spacing w:before="160" w:after="60"/>
        <w:ind w:firstLine="0"/>
        <w:jc w:val="left"/>
      </w:pPr>
      <w:r>
        <w:rPr>
          <w:b/>
          <w:sz w:val="22"/>
        </w:rPr>
        <w:t>Таблица 29. Основные показатели Neo Performance Materials, 2021–2024 гг.</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Показатель</w:t>
            </w:r>
          </w:p>
        </w:tc>
        <w:tc>
          <w:tcPr>
            <w:tcW w:type="dxa" w:w="1995"/>
            <w:shd w:val="clear" w:fill="DCE6F1"/>
          </w:tcPr>
          <w:p>
            <w:pPr>
              <w:spacing w:after="0" w:line="240" w:lineRule="auto"/>
              <w:ind w:firstLine="0"/>
              <w:jc w:val="center"/>
            </w:pPr>
            <w:r>
              <w:rPr>
                <w:b/>
                <w:i w:val="0"/>
                <w:sz w:val="20"/>
              </w:rPr>
              <w:t>2021</w:t>
            </w:r>
          </w:p>
        </w:tc>
        <w:tc>
          <w:tcPr>
            <w:tcW w:type="dxa" w:w="1995"/>
            <w:shd w:val="clear" w:fill="DCE6F1"/>
          </w:tcPr>
          <w:p>
            <w:pPr>
              <w:spacing w:after="0" w:line="240" w:lineRule="auto"/>
              <w:ind w:firstLine="0"/>
              <w:jc w:val="center"/>
            </w:pPr>
            <w:r>
              <w:rPr>
                <w:b/>
                <w:i w:val="0"/>
                <w:sz w:val="20"/>
              </w:rPr>
              <w:t>2022</w:t>
            </w:r>
          </w:p>
        </w:tc>
        <w:tc>
          <w:tcPr>
            <w:tcW w:type="dxa" w:w="1995"/>
            <w:shd w:val="clear" w:fill="DCE6F1"/>
          </w:tcPr>
          <w:p>
            <w:pPr>
              <w:spacing w:after="0" w:line="240" w:lineRule="auto"/>
              <w:ind w:firstLine="0"/>
              <w:jc w:val="center"/>
            </w:pPr>
            <w:r>
              <w:rPr>
                <w:b/>
                <w:i w:val="0"/>
                <w:sz w:val="20"/>
              </w:rPr>
              <w:t>2023</w:t>
            </w:r>
          </w:p>
        </w:tc>
        <w:tc>
          <w:tcPr>
            <w:tcW w:type="dxa" w:w="1995"/>
            <w:shd w:val="clear" w:fill="DCE6F1"/>
          </w:tcPr>
          <w:p>
            <w:pPr>
              <w:spacing w:after="0" w:line="240" w:lineRule="auto"/>
              <w:ind w:firstLine="0"/>
              <w:jc w:val="center"/>
            </w:pPr>
            <w:r>
              <w:rPr>
                <w:b/>
                <w:i w:val="0"/>
                <w:sz w:val="20"/>
              </w:rPr>
              <w:t>2024</w:t>
            </w:r>
          </w:p>
        </w:tc>
      </w:tr>
      <w:tr>
        <w:tc>
          <w:tcPr>
            <w:tcW w:type="dxa" w:w="1995"/>
          </w:tcPr>
          <w:p>
            <w:pPr>
              <w:spacing w:after="0" w:line="240" w:lineRule="auto"/>
              <w:ind w:firstLine="0"/>
              <w:jc w:val="left"/>
            </w:pPr>
            <w:r>
              <w:rPr>
                <w:b w:val="0"/>
                <w:i w:val="0"/>
                <w:sz w:val="20"/>
              </w:rPr>
              <w:t>Выручка, млн $</w:t>
            </w:r>
          </w:p>
        </w:tc>
        <w:tc>
          <w:tcPr>
            <w:tcW w:type="dxa" w:w="1995"/>
          </w:tcPr>
          <w:p>
            <w:pPr>
              <w:spacing w:after="0" w:line="240" w:lineRule="auto"/>
              <w:ind w:firstLine="0"/>
              <w:jc w:val="center"/>
            </w:pPr>
            <w:r>
              <w:rPr>
                <w:b w:val="0"/>
                <w:i w:val="0"/>
                <w:sz w:val="20"/>
              </w:rPr>
              <w:t>476</w:t>
            </w:r>
          </w:p>
        </w:tc>
        <w:tc>
          <w:tcPr>
            <w:tcW w:type="dxa" w:w="1995"/>
          </w:tcPr>
          <w:p>
            <w:pPr>
              <w:spacing w:after="0" w:line="240" w:lineRule="auto"/>
              <w:ind w:firstLine="0"/>
              <w:jc w:val="center"/>
            </w:pPr>
            <w:r>
              <w:rPr>
                <w:b w:val="0"/>
                <w:i w:val="0"/>
                <w:sz w:val="20"/>
              </w:rPr>
              <w:t>617</w:t>
            </w:r>
          </w:p>
        </w:tc>
        <w:tc>
          <w:tcPr>
            <w:tcW w:type="dxa" w:w="1995"/>
          </w:tcPr>
          <w:p>
            <w:pPr>
              <w:spacing w:after="0" w:line="240" w:lineRule="auto"/>
              <w:ind w:firstLine="0"/>
              <w:jc w:val="center"/>
            </w:pPr>
            <w:r>
              <w:rPr>
                <w:b w:val="0"/>
                <w:i w:val="0"/>
                <w:sz w:val="20"/>
              </w:rPr>
              <w:t>472</w:t>
            </w:r>
          </w:p>
        </w:tc>
        <w:tc>
          <w:tcPr>
            <w:tcW w:type="dxa" w:w="1995"/>
          </w:tcPr>
          <w:p>
            <w:pPr>
              <w:spacing w:after="0" w:line="240" w:lineRule="auto"/>
              <w:ind w:firstLine="0"/>
              <w:jc w:val="center"/>
            </w:pPr>
            <w:r>
              <w:rPr>
                <w:b w:val="0"/>
                <w:i w:val="0"/>
                <w:sz w:val="20"/>
              </w:rPr>
              <w:t>428</w:t>
            </w:r>
          </w:p>
        </w:tc>
      </w:tr>
      <w:tr>
        <w:tc>
          <w:tcPr>
            <w:tcW w:type="dxa" w:w="1995"/>
          </w:tcPr>
          <w:p>
            <w:pPr>
              <w:spacing w:after="0" w:line="240" w:lineRule="auto"/>
              <w:ind w:firstLine="0"/>
              <w:jc w:val="left"/>
            </w:pPr>
            <w:r>
              <w:rPr>
                <w:b w:val="0"/>
                <w:i w:val="0"/>
                <w:sz w:val="20"/>
              </w:rPr>
              <w:t>в т. ч. Magnequench, млн $</w:t>
            </w:r>
          </w:p>
        </w:tc>
        <w:tc>
          <w:tcPr>
            <w:tcW w:type="dxa" w:w="1995"/>
          </w:tcPr>
          <w:p>
            <w:pPr>
              <w:spacing w:after="0" w:line="240" w:lineRule="auto"/>
              <w:ind w:firstLine="0"/>
              <w:jc w:val="center"/>
            </w:pPr>
            <w:r>
              <w:rPr>
                <w:b w:val="0"/>
                <w:i w:val="0"/>
                <w:sz w:val="20"/>
              </w:rPr>
              <w:t>251</w:t>
            </w:r>
          </w:p>
        </w:tc>
        <w:tc>
          <w:tcPr>
            <w:tcW w:type="dxa" w:w="1995"/>
          </w:tcPr>
          <w:p>
            <w:pPr>
              <w:spacing w:after="0" w:line="240" w:lineRule="auto"/>
              <w:ind w:firstLine="0"/>
              <w:jc w:val="center"/>
            </w:pPr>
            <w:r>
              <w:rPr>
                <w:b w:val="0"/>
                <w:i w:val="0"/>
                <w:sz w:val="20"/>
              </w:rPr>
              <w:t>289</w:t>
            </w:r>
          </w:p>
        </w:tc>
        <w:tc>
          <w:tcPr>
            <w:tcW w:type="dxa" w:w="1995"/>
          </w:tcPr>
          <w:p>
            <w:pPr>
              <w:spacing w:after="0" w:line="240" w:lineRule="auto"/>
              <w:ind w:firstLine="0"/>
              <w:jc w:val="center"/>
            </w:pPr>
            <w:r>
              <w:rPr>
                <w:b w:val="0"/>
                <w:i w:val="0"/>
                <w:sz w:val="20"/>
              </w:rPr>
              <w:t>218</w:t>
            </w:r>
          </w:p>
        </w:tc>
        <w:tc>
          <w:tcPr>
            <w:tcW w:type="dxa" w:w="1995"/>
          </w:tcPr>
          <w:p>
            <w:pPr>
              <w:spacing w:after="0" w:line="240" w:lineRule="auto"/>
              <w:ind w:firstLine="0"/>
              <w:jc w:val="center"/>
            </w:pPr>
            <w:r>
              <w:rPr>
                <w:b w:val="0"/>
                <w:i w:val="0"/>
                <w:sz w:val="20"/>
              </w:rPr>
              <w:t>205</w:t>
            </w:r>
          </w:p>
        </w:tc>
      </w:tr>
      <w:tr>
        <w:tc>
          <w:tcPr>
            <w:tcW w:type="dxa" w:w="1995"/>
          </w:tcPr>
          <w:p>
            <w:pPr>
              <w:spacing w:after="0" w:line="240" w:lineRule="auto"/>
              <w:ind w:firstLine="0"/>
              <w:jc w:val="left"/>
            </w:pPr>
            <w:r>
              <w:rPr>
                <w:b w:val="0"/>
                <w:i w:val="0"/>
                <w:sz w:val="20"/>
              </w:rPr>
              <w:t>в т. ч. Chemicals &amp; Oxides, млн $</w:t>
            </w:r>
          </w:p>
        </w:tc>
        <w:tc>
          <w:tcPr>
            <w:tcW w:type="dxa" w:w="1995"/>
          </w:tcPr>
          <w:p>
            <w:pPr>
              <w:spacing w:after="0" w:line="240" w:lineRule="auto"/>
              <w:ind w:firstLine="0"/>
              <w:jc w:val="center"/>
            </w:pPr>
            <w:r>
              <w:rPr>
                <w:b w:val="0"/>
                <w:i w:val="0"/>
                <w:sz w:val="20"/>
              </w:rPr>
              <w:t>168</w:t>
            </w:r>
          </w:p>
        </w:tc>
        <w:tc>
          <w:tcPr>
            <w:tcW w:type="dxa" w:w="1995"/>
          </w:tcPr>
          <w:p>
            <w:pPr>
              <w:spacing w:after="0" w:line="240" w:lineRule="auto"/>
              <w:ind w:firstLine="0"/>
              <w:jc w:val="center"/>
            </w:pPr>
            <w:r>
              <w:rPr>
                <w:b w:val="0"/>
                <w:i w:val="0"/>
                <w:sz w:val="20"/>
              </w:rPr>
              <w:t>246</w:t>
            </w:r>
          </w:p>
        </w:tc>
        <w:tc>
          <w:tcPr>
            <w:tcW w:type="dxa" w:w="1995"/>
          </w:tcPr>
          <w:p>
            <w:pPr>
              <w:spacing w:after="0" w:line="240" w:lineRule="auto"/>
              <w:ind w:firstLine="0"/>
              <w:jc w:val="center"/>
            </w:pPr>
            <w:r>
              <w:rPr>
                <w:b w:val="0"/>
                <w:i w:val="0"/>
                <w:sz w:val="20"/>
              </w:rPr>
              <w:t>187</w:t>
            </w:r>
          </w:p>
        </w:tc>
        <w:tc>
          <w:tcPr>
            <w:tcW w:type="dxa" w:w="1995"/>
          </w:tcPr>
          <w:p>
            <w:pPr>
              <w:spacing w:after="0" w:line="240" w:lineRule="auto"/>
              <w:ind w:firstLine="0"/>
              <w:jc w:val="center"/>
            </w:pPr>
            <w:r>
              <w:rPr>
                <w:b w:val="0"/>
                <w:i w:val="0"/>
                <w:sz w:val="20"/>
              </w:rPr>
              <w:t>165</w:t>
            </w:r>
          </w:p>
        </w:tc>
      </w:tr>
      <w:tr>
        <w:tc>
          <w:tcPr>
            <w:tcW w:type="dxa" w:w="1995"/>
          </w:tcPr>
          <w:p>
            <w:pPr>
              <w:spacing w:after="0" w:line="240" w:lineRule="auto"/>
              <w:ind w:firstLine="0"/>
              <w:jc w:val="left"/>
            </w:pPr>
            <w:r>
              <w:rPr>
                <w:b w:val="0"/>
                <w:i w:val="0"/>
                <w:sz w:val="20"/>
              </w:rPr>
              <w:t>в т. ч. Rare Metals, млн $</w:t>
            </w:r>
          </w:p>
        </w:tc>
        <w:tc>
          <w:tcPr>
            <w:tcW w:type="dxa" w:w="1995"/>
          </w:tcPr>
          <w:p>
            <w:pPr>
              <w:spacing w:after="0" w:line="240" w:lineRule="auto"/>
              <w:ind w:firstLine="0"/>
              <w:jc w:val="center"/>
            </w:pPr>
            <w:r>
              <w:rPr>
                <w:b w:val="0"/>
                <w:i w:val="0"/>
                <w:sz w:val="20"/>
              </w:rPr>
              <w:t>57</w:t>
            </w:r>
          </w:p>
        </w:tc>
        <w:tc>
          <w:tcPr>
            <w:tcW w:type="dxa" w:w="1995"/>
          </w:tcPr>
          <w:p>
            <w:pPr>
              <w:spacing w:after="0" w:line="240" w:lineRule="auto"/>
              <w:ind w:firstLine="0"/>
              <w:jc w:val="center"/>
            </w:pPr>
            <w:r>
              <w:rPr>
                <w:b w:val="0"/>
                <w:i w:val="0"/>
                <w:sz w:val="20"/>
              </w:rPr>
              <w:t>82</w:t>
            </w:r>
          </w:p>
        </w:tc>
        <w:tc>
          <w:tcPr>
            <w:tcW w:type="dxa" w:w="1995"/>
          </w:tcPr>
          <w:p>
            <w:pPr>
              <w:spacing w:after="0" w:line="240" w:lineRule="auto"/>
              <w:ind w:firstLine="0"/>
              <w:jc w:val="center"/>
            </w:pPr>
            <w:r>
              <w:rPr>
                <w:b w:val="0"/>
                <w:i w:val="0"/>
                <w:sz w:val="20"/>
              </w:rPr>
              <w:t>67</w:t>
            </w:r>
          </w:p>
        </w:tc>
        <w:tc>
          <w:tcPr>
            <w:tcW w:type="dxa" w:w="1995"/>
          </w:tcPr>
          <w:p>
            <w:pPr>
              <w:spacing w:after="0" w:line="240" w:lineRule="auto"/>
              <w:ind w:firstLine="0"/>
              <w:jc w:val="center"/>
            </w:pPr>
            <w:r>
              <w:rPr>
                <w:b w:val="0"/>
                <w:i w:val="0"/>
                <w:sz w:val="20"/>
              </w:rPr>
              <w:t>58</w:t>
            </w:r>
          </w:p>
        </w:tc>
      </w:tr>
      <w:tr>
        <w:tc>
          <w:tcPr>
            <w:tcW w:type="dxa" w:w="1995"/>
          </w:tcPr>
          <w:p>
            <w:pPr>
              <w:spacing w:after="0" w:line="240" w:lineRule="auto"/>
              <w:ind w:firstLine="0"/>
              <w:jc w:val="left"/>
            </w:pPr>
            <w:r>
              <w:rPr>
                <w:b w:val="0"/>
                <w:i w:val="0"/>
                <w:sz w:val="20"/>
              </w:rPr>
              <w:t>Скорр. EBITDA, млн $</w:t>
            </w:r>
          </w:p>
        </w:tc>
        <w:tc>
          <w:tcPr>
            <w:tcW w:type="dxa" w:w="1995"/>
          </w:tcPr>
          <w:p>
            <w:pPr>
              <w:spacing w:after="0" w:line="240" w:lineRule="auto"/>
              <w:ind w:firstLine="0"/>
              <w:jc w:val="center"/>
            </w:pPr>
            <w:r>
              <w:rPr>
                <w:b w:val="0"/>
                <w:i w:val="0"/>
                <w:sz w:val="20"/>
              </w:rPr>
              <w:t>68</w:t>
            </w:r>
          </w:p>
        </w:tc>
        <w:tc>
          <w:tcPr>
            <w:tcW w:type="dxa" w:w="1995"/>
          </w:tcPr>
          <w:p>
            <w:pPr>
              <w:spacing w:after="0" w:line="240" w:lineRule="auto"/>
              <w:ind w:firstLine="0"/>
              <w:jc w:val="center"/>
            </w:pPr>
            <w:r>
              <w:rPr>
                <w:b w:val="0"/>
                <w:i w:val="0"/>
                <w:sz w:val="20"/>
              </w:rPr>
              <w:t>92</w:t>
            </w:r>
          </w:p>
        </w:tc>
        <w:tc>
          <w:tcPr>
            <w:tcW w:type="dxa" w:w="1995"/>
          </w:tcPr>
          <w:p>
            <w:pPr>
              <w:spacing w:after="0" w:line="240" w:lineRule="auto"/>
              <w:ind w:firstLine="0"/>
              <w:jc w:val="center"/>
            </w:pPr>
            <w:r>
              <w:rPr>
                <w:b w:val="0"/>
                <w:i w:val="0"/>
                <w:sz w:val="20"/>
              </w:rPr>
              <w:t>34</w:t>
            </w:r>
          </w:p>
        </w:tc>
        <w:tc>
          <w:tcPr>
            <w:tcW w:type="dxa" w:w="1995"/>
          </w:tcPr>
          <w:p>
            <w:pPr>
              <w:spacing w:after="0" w:line="240" w:lineRule="auto"/>
              <w:ind w:firstLine="0"/>
              <w:jc w:val="center"/>
            </w:pPr>
            <w:r>
              <w:rPr>
                <w:b w:val="0"/>
                <w:i w:val="0"/>
                <w:sz w:val="20"/>
              </w:rPr>
              <w:t>28</w:t>
            </w:r>
          </w:p>
        </w:tc>
      </w:tr>
      <w:tr>
        <w:tc>
          <w:tcPr>
            <w:tcW w:type="dxa" w:w="1995"/>
          </w:tcPr>
          <w:p>
            <w:pPr>
              <w:spacing w:after="0" w:line="240" w:lineRule="auto"/>
              <w:ind w:firstLine="0"/>
              <w:jc w:val="left"/>
            </w:pPr>
            <w:r>
              <w:rPr>
                <w:b w:val="0"/>
                <w:i w:val="0"/>
                <w:sz w:val="20"/>
              </w:rPr>
              <w:t>Объём продаж магнитных порошков, т</w:t>
            </w:r>
          </w:p>
        </w:tc>
        <w:tc>
          <w:tcPr>
            <w:tcW w:type="dxa" w:w="1995"/>
          </w:tcPr>
          <w:p>
            <w:pPr>
              <w:spacing w:after="0" w:line="240" w:lineRule="auto"/>
              <w:ind w:firstLine="0"/>
              <w:jc w:val="center"/>
            </w:pPr>
            <w:r>
              <w:rPr>
                <w:b w:val="0"/>
                <w:i w:val="0"/>
                <w:sz w:val="20"/>
              </w:rPr>
              <w:t>6 200</w:t>
            </w:r>
          </w:p>
        </w:tc>
        <w:tc>
          <w:tcPr>
            <w:tcW w:type="dxa" w:w="1995"/>
          </w:tcPr>
          <w:p>
            <w:pPr>
              <w:spacing w:after="0" w:line="240" w:lineRule="auto"/>
              <w:ind w:firstLine="0"/>
              <w:jc w:val="center"/>
            </w:pPr>
            <w:r>
              <w:rPr>
                <w:b w:val="0"/>
                <w:i w:val="0"/>
                <w:sz w:val="20"/>
              </w:rPr>
              <w:t>5 900</w:t>
            </w:r>
          </w:p>
        </w:tc>
        <w:tc>
          <w:tcPr>
            <w:tcW w:type="dxa" w:w="1995"/>
          </w:tcPr>
          <w:p>
            <w:pPr>
              <w:spacing w:after="0" w:line="240" w:lineRule="auto"/>
              <w:ind w:firstLine="0"/>
              <w:jc w:val="center"/>
            </w:pPr>
            <w:r>
              <w:rPr>
                <w:b w:val="0"/>
                <w:i w:val="0"/>
                <w:sz w:val="20"/>
              </w:rPr>
              <w:t>5 100</w:t>
            </w:r>
          </w:p>
        </w:tc>
        <w:tc>
          <w:tcPr>
            <w:tcW w:type="dxa" w:w="1995"/>
          </w:tcPr>
          <w:p>
            <w:pPr>
              <w:spacing w:after="0" w:line="240" w:lineRule="auto"/>
              <w:ind w:firstLine="0"/>
              <w:jc w:val="center"/>
            </w:pPr>
            <w:r>
              <w:rPr>
                <w:b w:val="0"/>
                <w:i w:val="0"/>
                <w:sz w:val="20"/>
              </w:rPr>
              <w:t>4 800</w:t>
            </w:r>
          </w:p>
        </w:tc>
      </w:tr>
    </w:tbl>
    <w:p>
      <w:pPr>
        <w:spacing w:after="180"/>
        <w:ind w:firstLine="0"/>
      </w:pPr>
      <w:r>
        <w:rPr>
          <w:i/>
          <w:sz w:val="20"/>
        </w:rPr>
        <w:t>Источник: годовые отчёты Neo Performance Materials Inc. (TSX: NEO)</w:t>
      </w:r>
    </w:p>
    <w:p>
      <w:pPr>
        <w:pStyle w:val="Heading2"/>
      </w:pPr>
      <w:r>
        <w:rPr>
          <w:b w:val="0"/>
          <w:i w:val="0"/>
        </w:rPr>
        <w:t>4.6. Прочие производители и ключевые проекты</w:t>
      </w:r>
    </w:p>
    <w:p>
      <w:r>
        <w:rPr>
          <w:b/>
          <w:i w:val="0"/>
        </w:rPr>
        <w:t>Iluka Resources (Австралия).</w:t>
      </w:r>
      <w:r>
        <w:rPr>
          <w:b w:val="0"/>
          <w:i w:val="0"/>
        </w:rPr>
        <w:t xml:space="preserve"> Строит завод по разделению редких земель в Эниббе (Западная Австралия) мощностью до 17,5 тыс. т TREO/год с использованием накопленных монацит-ксенотимовых концентратов и стороннего сырья. Проект финансируется государственным кредитом правительства Австралии (свыше 1,65 млрд австрал. долл.). Плановый запуск — 2027 г. При выходе на проектную мощность станет крупнейшим разделительным предприятием западного мира, в том числе по тяжёлой группе.</w:t>
      </w:r>
    </w:p>
    <w:p>
      <w:r>
        <w:rPr>
          <w:b/>
          <w:i w:val="0"/>
        </w:rPr>
        <w:t>Arafura Rare Earths (Австралия).</w:t>
      </w:r>
      <w:r>
        <w:rPr>
          <w:b w:val="0"/>
          <w:i w:val="0"/>
        </w:rPr>
        <w:t xml:space="preserve"> Проект Nolans (Северная территория) — интегрированное производство от добычи до оксида NdPr мощностью 4,4 тыс. т NdPr/год. Получил государственное финансирование Австралии и Экспортно-импортного банка США. Пуск ожидается в 2027–2028 гг.</w:t>
      </w:r>
    </w:p>
    <w:p>
      <w:r>
        <w:rPr>
          <w:b/>
          <w:i w:val="0"/>
        </w:rPr>
        <w:t>Energy Fuels (США).</w:t>
      </w:r>
      <w:r>
        <w:rPr>
          <w:b w:val="0"/>
          <w:i w:val="0"/>
        </w:rPr>
        <w:t xml:space="preserve"> Урановая компания, использующая существующее предприятие White Mesa (Юта) для переработки монацитовых концентратов. Преимущество — действующая лицензия на обращение с радиоактивными материалами, снимающая ключевой регуляторный барьер. В 2024 г. произведены первые партии оксида NdPr, в 2025 г. — опытные партии оксидов диспрозия и тербия.</w:t>
      </w:r>
    </w:p>
    <w:p>
      <w:r>
        <w:rPr>
          <w:b/>
          <w:i w:val="0"/>
        </w:rPr>
        <w:t>Solvay (Франция).</w:t>
      </w:r>
      <w:r>
        <w:rPr>
          <w:b w:val="0"/>
          <w:i w:val="0"/>
        </w:rPr>
        <w:t xml:space="preserve"> Завод в Ла-Рошели — исторически одно из ведущих мировых разделительных предприятий, в 2010-е гг. переориентированное преимущественно на переработку вторичного сырья и производство специальных соединений. В апреле 2025 г. компания объявила о возобновлении производства разделённых оксидов NdPr для магнитного сегмента.</w:t>
      </w:r>
    </w:p>
    <w:p>
      <w:r>
        <w:rPr>
          <w:b/>
          <w:i w:val="0"/>
        </w:rPr>
        <w:t>Carester (Франция).</w:t>
      </w:r>
      <w:r>
        <w:rPr>
          <w:b w:val="0"/>
          <w:i w:val="0"/>
        </w:rPr>
        <w:t xml:space="preserve"> Проект Caremag (Лакк, Франция) — разделительное производство мощностью 5 тыс. т TREO/год с ориентацией на переработку вторичного сырья и концентратов; финансирование с участием Японской корпорации по национальным ресурсам и энергетике (JOGMEC) и французского государства. Пуск планируется на 2027 г.</w:t>
      </w:r>
    </w:p>
    <w:p>
      <w:r>
        <w:rPr>
          <w:b/>
          <w:i w:val="0"/>
        </w:rPr>
        <w:t>IREL (India) Limited.</w:t>
      </w:r>
      <w:r>
        <w:rPr>
          <w:b w:val="0"/>
          <w:i w:val="0"/>
        </w:rPr>
        <w:t xml:space="preserve"> Государственная компания Индии, монополист в области переработки монацита. Располагает разделительным производством в Алве (Керала) и Одише. Планы предусматривают увеличение мощности разделения и создание магнитного производства в рамках National Critical Mineral Mission.</w:t>
      </w:r>
    </w:p>
    <w:p>
      <w:r>
        <w:rPr>
          <w:b/>
          <w:i w:val="0"/>
        </w:rPr>
        <w:t>Serra Verde (Бразилия).</w:t>
      </w:r>
      <w:r>
        <w:rPr>
          <w:b w:val="0"/>
          <w:i w:val="0"/>
        </w:rPr>
        <w:t xml:space="preserve"> Первое за пределами Азии промышленно осваиваемое ионно-адсорбционное месторождение; запуск состоялся в 2024 г., проектная мощность 5 тыс. т TREO/год с перспективой расширения до 25 тыс. т.</w:t>
      </w:r>
    </w:p>
    <w:p>
      <w:pPr>
        <w:keepNext/>
        <w:spacing w:before="160" w:after="60"/>
        <w:ind w:firstLine="0"/>
        <w:jc w:val="left"/>
      </w:pPr>
      <w:r>
        <w:rPr>
          <w:b/>
          <w:sz w:val="22"/>
        </w:rPr>
        <w:t>Таблица 30. Ключевые проекты создания редкоземельных мощностей вне КНР, 2025–2030 гг.</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Проект / компания</w:t>
            </w:r>
          </w:p>
        </w:tc>
        <w:tc>
          <w:tcPr>
            <w:tcW w:type="dxa" w:w="1662"/>
            <w:shd w:val="clear" w:fill="DCE6F1"/>
          </w:tcPr>
          <w:p>
            <w:pPr>
              <w:spacing w:after="0" w:line="240" w:lineRule="auto"/>
              <w:ind w:firstLine="0"/>
              <w:jc w:val="center"/>
            </w:pPr>
            <w:r>
              <w:rPr>
                <w:b/>
                <w:i w:val="0"/>
                <w:sz w:val="20"/>
              </w:rPr>
              <w:t>Страна</w:t>
            </w:r>
          </w:p>
        </w:tc>
        <w:tc>
          <w:tcPr>
            <w:tcW w:type="dxa" w:w="1662"/>
            <w:shd w:val="clear" w:fill="DCE6F1"/>
          </w:tcPr>
          <w:p>
            <w:pPr>
              <w:spacing w:after="0" w:line="240" w:lineRule="auto"/>
              <w:ind w:firstLine="0"/>
              <w:jc w:val="center"/>
            </w:pPr>
            <w:r>
              <w:rPr>
                <w:b/>
                <w:i w:val="0"/>
                <w:sz w:val="20"/>
              </w:rPr>
              <w:t>Тип мощности</w:t>
            </w:r>
          </w:p>
        </w:tc>
        <w:tc>
          <w:tcPr>
            <w:tcW w:type="dxa" w:w="1662"/>
            <w:shd w:val="clear" w:fill="DCE6F1"/>
          </w:tcPr>
          <w:p>
            <w:pPr>
              <w:spacing w:after="0" w:line="240" w:lineRule="auto"/>
              <w:ind w:firstLine="0"/>
              <w:jc w:val="center"/>
            </w:pPr>
            <w:r>
              <w:rPr>
                <w:b/>
                <w:i w:val="0"/>
                <w:sz w:val="20"/>
              </w:rPr>
              <w:t>Мощность, т/год</w:t>
            </w:r>
          </w:p>
        </w:tc>
        <w:tc>
          <w:tcPr>
            <w:tcW w:type="dxa" w:w="1662"/>
            <w:shd w:val="clear" w:fill="DCE6F1"/>
          </w:tcPr>
          <w:p>
            <w:pPr>
              <w:spacing w:after="0" w:line="240" w:lineRule="auto"/>
              <w:ind w:firstLine="0"/>
              <w:jc w:val="center"/>
            </w:pPr>
            <w:r>
              <w:rPr>
                <w:b/>
                <w:i w:val="0"/>
                <w:sz w:val="20"/>
              </w:rPr>
              <w:t>Пуск</w:t>
            </w:r>
          </w:p>
        </w:tc>
        <w:tc>
          <w:tcPr>
            <w:tcW w:type="dxa" w:w="1662"/>
            <w:shd w:val="clear" w:fill="DCE6F1"/>
          </w:tcPr>
          <w:p>
            <w:pPr>
              <w:spacing w:after="0" w:line="240" w:lineRule="auto"/>
              <w:ind w:firstLine="0"/>
              <w:jc w:val="center"/>
            </w:pPr>
            <w:r>
              <w:rPr>
                <w:b/>
                <w:i w:val="0"/>
                <w:sz w:val="20"/>
              </w:rPr>
              <w:t>Господдержка</w:t>
            </w:r>
          </w:p>
        </w:tc>
      </w:tr>
      <w:tr>
        <w:tc>
          <w:tcPr>
            <w:tcW w:type="dxa" w:w="1662"/>
          </w:tcPr>
          <w:p>
            <w:pPr>
              <w:spacing w:after="0" w:line="240" w:lineRule="auto"/>
              <w:ind w:firstLine="0"/>
              <w:jc w:val="left"/>
            </w:pPr>
            <w:r>
              <w:rPr>
                <w:b w:val="0"/>
                <w:i w:val="0"/>
                <w:sz w:val="20"/>
              </w:rPr>
              <w:t>Iluka Eneabba</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разделение (вкл. тяж.)</w:t>
            </w:r>
          </w:p>
        </w:tc>
        <w:tc>
          <w:tcPr>
            <w:tcW w:type="dxa" w:w="1662"/>
          </w:tcPr>
          <w:p>
            <w:pPr>
              <w:spacing w:after="0" w:line="240" w:lineRule="auto"/>
              <w:ind w:firstLine="0"/>
              <w:jc w:val="center"/>
            </w:pPr>
            <w:r>
              <w:rPr>
                <w:b w:val="0"/>
                <w:i w:val="0"/>
                <w:sz w:val="20"/>
              </w:rPr>
              <w:t>17 500</w:t>
            </w:r>
          </w:p>
        </w:tc>
        <w:tc>
          <w:tcPr>
            <w:tcW w:type="dxa" w:w="1662"/>
          </w:tcPr>
          <w:p>
            <w:pPr>
              <w:spacing w:after="0" w:line="240" w:lineRule="auto"/>
              <w:ind w:firstLine="0"/>
              <w:jc w:val="center"/>
            </w:pPr>
            <w:r>
              <w:rPr>
                <w:b w:val="0"/>
                <w:i w:val="0"/>
                <w:sz w:val="20"/>
              </w:rPr>
              <w:t>2027</w:t>
            </w:r>
          </w:p>
        </w:tc>
        <w:tc>
          <w:tcPr>
            <w:tcW w:type="dxa" w:w="1662"/>
          </w:tcPr>
          <w:p>
            <w:pPr>
              <w:spacing w:after="0" w:line="240" w:lineRule="auto"/>
              <w:ind w:firstLine="0"/>
              <w:jc w:val="center"/>
            </w:pPr>
            <w:r>
              <w:rPr>
                <w:b w:val="0"/>
                <w:i w:val="0"/>
                <w:sz w:val="20"/>
              </w:rPr>
              <w:t>кредит 1,65 млрд AUD</w:t>
            </w:r>
          </w:p>
        </w:tc>
      </w:tr>
      <w:tr>
        <w:tc>
          <w:tcPr>
            <w:tcW w:type="dxa" w:w="1662"/>
          </w:tcPr>
          <w:p>
            <w:pPr>
              <w:spacing w:after="0" w:line="240" w:lineRule="auto"/>
              <w:ind w:firstLine="0"/>
              <w:jc w:val="left"/>
            </w:pPr>
            <w:r>
              <w:rPr>
                <w:b w:val="0"/>
                <w:i w:val="0"/>
                <w:sz w:val="20"/>
              </w:rPr>
              <w:t>Lynas Seadrift (Техас)</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разделение</w:t>
            </w:r>
          </w:p>
        </w:tc>
        <w:tc>
          <w:tcPr>
            <w:tcW w:type="dxa" w:w="1662"/>
          </w:tcPr>
          <w:p>
            <w:pPr>
              <w:spacing w:after="0" w:line="240" w:lineRule="auto"/>
              <w:ind w:firstLine="0"/>
              <w:jc w:val="center"/>
            </w:pPr>
            <w:r>
              <w:rPr>
                <w:b w:val="0"/>
                <w:i w:val="0"/>
                <w:sz w:val="20"/>
              </w:rPr>
              <w:t>5 000</w:t>
            </w:r>
          </w:p>
        </w:tc>
        <w:tc>
          <w:tcPr>
            <w:tcW w:type="dxa" w:w="1662"/>
          </w:tcPr>
          <w:p>
            <w:pPr>
              <w:spacing w:after="0" w:line="240" w:lineRule="auto"/>
              <w:ind w:firstLine="0"/>
              <w:jc w:val="center"/>
            </w:pPr>
            <w:r>
              <w:rPr>
                <w:b w:val="0"/>
                <w:i w:val="0"/>
                <w:sz w:val="20"/>
              </w:rPr>
              <w:t>2027</w:t>
            </w:r>
          </w:p>
        </w:tc>
        <w:tc>
          <w:tcPr>
            <w:tcW w:type="dxa" w:w="1662"/>
          </w:tcPr>
          <w:p>
            <w:pPr>
              <w:spacing w:after="0" w:line="240" w:lineRule="auto"/>
              <w:ind w:firstLine="0"/>
              <w:jc w:val="center"/>
            </w:pPr>
            <w:r>
              <w:rPr>
                <w:b w:val="0"/>
                <w:i w:val="0"/>
                <w:sz w:val="20"/>
              </w:rPr>
              <w:t>контракт DoD</w:t>
            </w:r>
          </w:p>
        </w:tc>
      </w:tr>
      <w:tr>
        <w:tc>
          <w:tcPr>
            <w:tcW w:type="dxa" w:w="1662"/>
          </w:tcPr>
          <w:p>
            <w:pPr>
              <w:spacing w:after="0" w:line="240" w:lineRule="auto"/>
              <w:ind w:firstLine="0"/>
              <w:jc w:val="left"/>
            </w:pPr>
            <w:r>
              <w:rPr>
                <w:b w:val="0"/>
                <w:i w:val="0"/>
                <w:sz w:val="20"/>
              </w:rPr>
              <w:t>Arafura Nolans</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добыча + разделение</w:t>
            </w:r>
          </w:p>
        </w:tc>
        <w:tc>
          <w:tcPr>
            <w:tcW w:type="dxa" w:w="1662"/>
          </w:tcPr>
          <w:p>
            <w:pPr>
              <w:spacing w:after="0" w:line="240" w:lineRule="auto"/>
              <w:ind w:firstLine="0"/>
              <w:jc w:val="center"/>
            </w:pPr>
            <w:r>
              <w:rPr>
                <w:b w:val="0"/>
                <w:i w:val="0"/>
                <w:sz w:val="20"/>
              </w:rPr>
              <w:t>4 400 (NdPr)</w:t>
            </w:r>
          </w:p>
        </w:tc>
        <w:tc>
          <w:tcPr>
            <w:tcW w:type="dxa" w:w="1662"/>
          </w:tcPr>
          <w:p>
            <w:pPr>
              <w:spacing w:after="0" w:line="240" w:lineRule="auto"/>
              <w:ind w:firstLine="0"/>
              <w:jc w:val="center"/>
            </w:pPr>
            <w:r>
              <w:rPr>
                <w:b w:val="0"/>
                <w:i w:val="0"/>
                <w:sz w:val="20"/>
              </w:rPr>
              <w:t>2028</w:t>
            </w:r>
          </w:p>
        </w:tc>
        <w:tc>
          <w:tcPr>
            <w:tcW w:type="dxa" w:w="1662"/>
          </w:tcPr>
          <w:p>
            <w:pPr>
              <w:spacing w:after="0" w:line="240" w:lineRule="auto"/>
              <w:ind w:firstLine="0"/>
              <w:jc w:val="center"/>
            </w:pPr>
            <w:r>
              <w:rPr>
                <w:b w:val="0"/>
                <w:i w:val="0"/>
                <w:sz w:val="20"/>
              </w:rPr>
              <w:t>EFA, EXIM</w:t>
            </w:r>
          </w:p>
        </w:tc>
      </w:tr>
      <w:tr>
        <w:tc>
          <w:tcPr>
            <w:tcW w:type="dxa" w:w="1662"/>
          </w:tcPr>
          <w:p>
            <w:pPr>
              <w:spacing w:after="0" w:line="240" w:lineRule="auto"/>
              <w:ind w:firstLine="0"/>
              <w:jc w:val="left"/>
            </w:pPr>
            <w:r>
              <w:rPr>
                <w:b w:val="0"/>
                <w:i w:val="0"/>
                <w:sz w:val="20"/>
              </w:rPr>
              <w:t>Carester Caremag</w:t>
            </w:r>
          </w:p>
        </w:tc>
        <w:tc>
          <w:tcPr>
            <w:tcW w:type="dxa" w:w="1662"/>
          </w:tcPr>
          <w:p>
            <w:pPr>
              <w:spacing w:after="0" w:line="240" w:lineRule="auto"/>
              <w:ind w:firstLine="0"/>
              <w:jc w:val="center"/>
            </w:pPr>
            <w:r>
              <w:rPr>
                <w:b w:val="0"/>
                <w:i w:val="0"/>
                <w:sz w:val="20"/>
              </w:rPr>
              <w:t>Франция</w:t>
            </w:r>
          </w:p>
        </w:tc>
        <w:tc>
          <w:tcPr>
            <w:tcW w:type="dxa" w:w="1662"/>
          </w:tcPr>
          <w:p>
            <w:pPr>
              <w:spacing w:after="0" w:line="240" w:lineRule="auto"/>
              <w:ind w:firstLine="0"/>
              <w:jc w:val="center"/>
            </w:pPr>
            <w:r>
              <w:rPr>
                <w:b w:val="0"/>
                <w:i w:val="0"/>
                <w:sz w:val="20"/>
              </w:rPr>
              <w:t>разделение</w:t>
            </w:r>
          </w:p>
        </w:tc>
        <w:tc>
          <w:tcPr>
            <w:tcW w:type="dxa" w:w="1662"/>
          </w:tcPr>
          <w:p>
            <w:pPr>
              <w:spacing w:after="0" w:line="240" w:lineRule="auto"/>
              <w:ind w:firstLine="0"/>
              <w:jc w:val="center"/>
            </w:pPr>
            <w:r>
              <w:rPr>
                <w:b w:val="0"/>
                <w:i w:val="0"/>
                <w:sz w:val="20"/>
              </w:rPr>
              <w:t>5 000</w:t>
            </w:r>
          </w:p>
        </w:tc>
        <w:tc>
          <w:tcPr>
            <w:tcW w:type="dxa" w:w="1662"/>
          </w:tcPr>
          <w:p>
            <w:pPr>
              <w:spacing w:after="0" w:line="240" w:lineRule="auto"/>
              <w:ind w:firstLine="0"/>
              <w:jc w:val="center"/>
            </w:pPr>
            <w:r>
              <w:rPr>
                <w:b w:val="0"/>
                <w:i w:val="0"/>
                <w:sz w:val="20"/>
              </w:rPr>
              <w:t>2027</w:t>
            </w:r>
          </w:p>
        </w:tc>
        <w:tc>
          <w:tcPr>
            <w:tcW w:type="dxa" w:w="1662"/>
          </w:tcPr>
          <w:p>
            <w:pPr>
              <w:spacing w:after="0" w:line="240" w:lineRule="auto"/>
              <w:ind w:firstLine="0"/>
              <w:jc w:val="center"/>
            </w:pPr>
            <w:r>
              <w:rPr>
                <w:b w:val="0"/>
                <w:i w:val="0"/>
                <w:sz w:val="20"/>
              </w:rPr>
              <w:t>JOGMEC, Франция</w:t>
            </w:r>
          </w:p>
        </w:tc>
      </w:tr>
      <w:tr>
        <w:tc>
          <w:tcPr>
            <w:tcW w:type="dxa" w:w="1662"/>
          </w:tcPr>
          <w:p>
            <w:pPr>
              <w:spacing w:after="0" w:line="240" w:lineRule="auto"/>
              <w:ind w:firstLine="0"/>
              <w:jc w:val="left"/>
            </w:pPr>
            <w:r>
              <w:rPr>
                <w:b w:val="0"/>
                <w:i w:val="0"/>
                <w:sz w:val="20"/>
              </w:rPr>
              <w:t>MP Materials 10X Facility</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магниты</w:t>
            </w:r>
          </w:p>
        </w:tc>
        <w:tc>
          <w:tcPr>
            <w:tcW w:type="dxa" w:w="1662"/>
          </w:tcPr>
          <w:p>
            <w:pPr>
              <w:spacing w:after="0" w:line="240" w:lineRule="auto"/>
              <w:ind w:firstLine="0"/>
              <w:jc w:val="center"/>
            </w:pPr>
            <w:r>
              <w:rPr>
                <w:b w:val="0"/>
                <w:i w:val="0"/>
                <w:sz w:val="20"/>
              </w:rPr>
              <w:t>10 000</w:t>
            </w:r>
          </w:p>
        </w:tc>
        <w:tc>
          <w:tcPr>
            <w:tcW w:type="dxa" w:w="1662"/>
          </w:tcPr>
          <w:p>
            <w:pPr>
              <w:spacing w:after="0" w:line="240" w:lineRule="auto"/>
              <w:ind w:firstLine="0"/>
              <w:jc w:val="center"/>
            </w:pPr>
            <w:r>
              <w:rPr>
                <w:b w:val="0"/>
                <w:i w:val="0"/>
                <w:sz w:val="20"/>
              </w:rPr>
              <w:t>2028</w:t>
            </w:r>
          </w:p>
        </w:tc>
        <w:tc>
          <w:tcPr>
            <w:tcW w:type="dxa" w:w="1662"/>
          </w:tcPr>
          <w:p>
            <w:pPr>
              <w:spacing w:after="0" w:line="240" w:lineRule="auto"/>
              <w:ind w:firstLine="0"/>
              <w:jc w:val="center"/>
            </w:pPr>
            <w:r>
              <w:rPr>
                <w:b w:val="0"/>
                <w:i w:val="0"/>
                <w:sz w:val="20"/>
              </w:rPr>
              <w:t>DoD, ценовой пол</w:t>
            </w:r>
          </w:p>
        </w:tc>
      </w:tr>
      <w:tr>
        <w:tc>
          <w:tcPr>
            <w:tcW w:type="dxa" w:w="1662"/>
          </w:tcPr>
          <w:p>
            <w:pPr>
              <w:spacing w:after="0" w:line="240" w:lineRule="auto"/>
              <w:ind w:firstLine="0"/>
              <w:jc w:val="left"/>
            </w:pPr>
            <w:r>
              <w:rPr>
                <w:b w:val="0"/>
                <w:i w:val="0"/>
                <w:sz w:val="20"/>
              </w:rPr>
              <w:t>Neo Narva</w:t>
            </w:r>
          </w:p>
        </w:tc>
        <w:tc>
          <w:tcPr>
            <w:tcW w:type="dxa" w:w="1662"/>
          </w:tcPr>
          <w:p>
            <w:pPr>
              <w:spacing w:after="0" w:line="240" w:lineRule="auto"/>
              <w:ind w:firstLine="0"/>
              <w:jc w:val="center"/>
            </w:pPr>
            <w:r>
              <w:rPr>
                <w:b w:val="0"/>
                <w:i w:val="0"/>
                <w:sz w:val="20"/>
              </w:rPr>
              <w:t>Эстония</w:t>
            </w:r>
          </w:p>
        </w:tc>
        <w:tc>
          <w:tcPr>
            <w:tcW w:type="dxa" w:w="1662"/>
          </w:tcPr>
          <w:p>
            <w:pPr>
              <w:spacing w:after="0" w:line="240" w:lineRule="auto"/>
              <w:ind w:firstLine="0"/>
              <w:jc w:val="center"/>
            </w:pPr>
            <w:r>
              <w:rPr>
                <w:b w:val="0"/>
                <w:i w:val="0"/>
                <w:sz w:val="20"/>
              </w:rPr>
              <w:t>магниты</w:t>
            </w:r>
          </w:p>
        </w:tc>
        <w:tc>
          <w:tcPr>
            <w:tcW w:type="dxa" w:w="1662"/>
          </w:tcPr>
          <w:p>
            <w:pPr>
              <w:spacing w:after="0" w:line="240" w:lineRule="auto"/>
              <w:ind w:firstLine="0"/>
              <w:jc w:val="center"/>
            </w:pPr>
            <w:r>
              <w:rPr>
                <w:b w:val="0"/>
                <w:i w:val="0"/>
                <w:sz w:val="20"/>
              </w:rPr>
              <w:t>2 000</w:t>
            </w:r>
          </w:p>
        </w:tc>
        <w:tc>
          <w:tcPr>
            <w:tcW w:type="dxa" w:w="1662"/>
          </w:tcPr>
          <w:p>
            <w:pPr>
              <w:spacing w:after="0" w:line="240" w:lineRule="auto"/>
              <w:ind w:firstLine="0"/>
              <w:jc w:val="center"/>
            </w:pPr>
            <w:r>
              <w:rPr>
                <w:b w:val="0"/>
                <w:i w:val="0"/>
                <w:sz w:val="20"/>
              </w:rPr>
              <w:t>2025</w:t>
            </w:r>
          </w:p>
        </w:tc>
        <w:tc>
          <w:tcPr>
            <w:tcW w:type="dxa" w:w="1662"/>
          </w:tcPr>
          <w:p>
            <w:pPr>
              <w:spacing w:after="0" w:line="240" w:lineRule="auto"/>
              <w:ind w:firstLine="0"/>
              <w:jc w:val="center"/>
            </w:pPr>
            <w:r>
              <w:rPr>
                <w:b w:val="0"/>
                <w:i w:val="0"/>
                <w:sz w:val="20"/>
              </w:rPr>
              <w:t>ЕФРР</w:t>
            </w:r>
          </w:p>
        </w:tc>
      </w:tr>
      <w:tr>
        <w:tc>
          <w:tcPr>
            <w:tcW w:type="dxa" w:w="1662"/>
          </w:tcPr>
          <w:p>
            <w:pPr>
              <w:spacing w:after="0" w:line="240" w:lineRule="auto"/>
              <w:ind w:firstLine="0"/>
              <w:jc w:val="left"/>
            </w:pPr>
            <w:r>
              <w:rPr>
                <w:b w:val="0"/>
                <w:i w:val="0"/>
                <w:sz w:val="20"/>
              </w:rPr>
              <w:t>Vacuumschmelze / e-VAC (Сумтер)</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магниты</w:t>
            </w:r>
          </w:p>
        </w:tc>
        <w:tc>
          <w:tcPr>
            <w:tcW w:type="dxa" w:w="1662"/>
          </w:tcPr>
          <w:p>
            <w:pPr>
              <w:spacing w:after="0" w:line="240" w:lineRule="auto"/>
              <w:ind w:firstLine="0"/>
              <w:jc w:val="center"/>
            </w:pPr>
            <w:r>
              <w:rPr>
                <w:b w:val="0"/>
                <w:i w:val="0"/>
                <w:sz w:val="20"/>
              </w:rPr>
              <w:t>2 000</w:t>
            </w:r>
          </w:p>
        </w:tc>
        <w:tc>
          <w:tcPr>
            <w:tcW w:type="dxa" w:w="1662"/>
          </w:tcPr>
          <w:p>
            <w:pPr>
              <w:spacing w:after="0" w:line="240" w:lineRule="auto"/>
              <w:ind w:firstLine="0"/>
              <w:jc w:val="center"/>
            </w:pPr>
            <w:r>
              <w:rPr>
                <w:b w:val="0"/>
                <w:i w:val="0"/>
                <w:sz w:val="20"/>
              </w:rPr>
              <w:t>2026</w:t>
            </w:r>
          </w:p>
        </w:tc>
        <w:tc>
          <w:tcPr>
            <w:tcW w:type="dxa" w:w="1662"/>
          </w:tcPr>
          <w:p>
            <w:pPr>
              <w:spacing w:after="0" w:line="240" w:lineRule="auto"/>
              <w:ind w:firstLine="0"/>
              <w:jc w:val="center"/>
            </w:pPr>
            <w:r>
              <w:rPr>
                <w:b w:val="0"/>
                <w:i w:val="0"/>
                <w:sz w:val="20"/>
              </w:rPr>
              <w:t>IRA 45X, GM</w:t>
            </w:r>
          </w:p>
        </w:tc>
      </w:tr>
      <w:tr>
        <w:tc>
          <w:tcPr>
            <w:tcW w:type="dxa" w:w="1662"/>
          </w:tcPr>
          <w:p>
            <w:pPr>
              <w:spacing w:after="0" w:line="240" w:lineRule="auto"/>
              <w:ind w:firstLine="0"/>
              <w:jc w:val="left"/>
            </w:pPr>
            <w:r>
              <w:rPr>
                <w:b w:val="0"/>
                <w:i w:val="0"/>
                <w:sz w:val="20"/>
              </w:rPr>
              <w:t>Noveon Magnetics</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магниты (рециклинг)</w:t>
            </w:r>
          </w:p>
        </w:tc>
        <w:tc>
          <w:tcPr>
            <w:tcW w:type="dxa" w:w="1662"/>
          </w:tcPr>
          <w:p>
            <w:pPr>
              <w:spacing w:after="0" w:line="240" w:lineRule="auto"/>
              <w:ind w:firstLine="0"/>
              <w:jc w:val="center"/>
            </w:pPr>
            <w:r>
              <w:rPr>
                <w:b w:val="0"/>
                <w:i w:val="0"/>
                <w:sz w:val="20"/>
              </w:rPr>
              <w:t>2 000</w:t>
            </w:r>
          </w:p>
        </w:tc>
        <w:tc>
          <w:tcPr>
            <w:tcW w:type="dxa" w:w="1662"/>
          </w:tcPr>
          <w:p>
            <w:pPr>
              <w:spacing w:after="0" w:line="240" w:lineRule="auto"/>
              <w:ind w:firstLine="0"/>
              <w:jc w:val="center"/>
            </w:pPr>
            <w:r>
              <w:rPr>
                <w:b w:val="0"/>
                <w:i w:val="0"/>
                <w:sz w:val="20"/>
              </w:rPr>
              <w:t>2025</w:t>
            </w:r>
          </w:p>
        </w:tc>
        <w:tc>
          <w:tcPr>
            <w:tcW w:type="dxa" w:w="1662"/>
          </w:tcPr>
          <w:p>
            <w:pPr>
              <w:spacing w:after="0" w:line="240" w:lineRule="auto"/>
              <w:ind w:firstLine="0"/>
              <w:jc w:val="center"/>
            </w:pPr>
            <w:r>
              <w:rPr>
                <w:b w:val="0"/>
                <w:i w:val="0"/>
                <w:sz w:val="20"/>
              </w:rPr>
              <w:t>DoD</w:t>
            </w:r>
          </w:p>
        </w:tc>
      </w:tr>
      <w:tr>
        <w:tc>
          <w:tcPr>
            <w:tcW w:type="dxa" w:w="1662"/>
          </w:tcPr>
          <w:p>
            <w:pPr>
              <w:spacing w:after="0" w:line="240" w:lineRule="auto"/>
              <w:ind w:firstLine="0"/>
              <w:jc w:val="left"/>
            </w:pPr>
            <w:r>
              <w:rPr>
                <w:b w:val="0"/>
                <w:i w:val="0"/>
                <w:sz w:val="20"/>
              </w:rPr>
              <w:t>Serra Verde (фаза 2)</w:t>
            </w:r>
          </w:p>
        </w:tc>
        <w:tc>
          <w:tcPr>
            <w:tcW w:type="dxa" w:w="1662"/>
          </w:tcPr>
          <w:p>
            <w:pPr>
              <w:spacing w:after="0" w:line="240" w:lineRule="auto"/>
              <w:ind w:firstLine="0"/>
              <w:jc w:val="center"/>
            </w:pPr>
            <w:r>
              <w:rPr>
                <w:b w:val="0"/>
                <w:i w:val="0"/>
                <w:sz w:val="20"/>
              </w:rPr>
              <w:t>Бразилия</w:t>
            </w:r>
          </w:p>
        </w:tc>
        <w:tc>
          <w:tcPr>
            <w:tcW w:type="dxa" w:w="1662"/>
          </w:tcPr>
          <w:p>
            <w:pPr>
              <w:spacing w:after="0" w:line="240" w:lineRule="auto"/>
              <w:ind w:firstLine="0"/>
              <w:jc w:val="center"/>
            </w:pPr>
            <w:r>
              <w:rPr>
                <w:b w:val="0"/>
                <w:i w:val="0"/>
                <w:sz w:val="20"/>
              </w:rPr>
              <w:t>добыча + переработка</w:t>
            </w:r>
          </w:p>
        </w:tc>
        <w:tc>
          <w:tcPr>
            <w:tcW w:type="dxa" w:w="1662"/>
          </w:tcPr>
          <w:p>
            <w:pPr>
              <w:spacing w:after="0" w:line="240" w:lineRule="auto"/>
              <w:ind w:firstLine="0"/>
              <w:jc w:val="center"/>
            </w:pPr>
            <w:r>
              <w:rPr>
                <w:b w:val="0"/>
                <w:i w:val="0"/>
                <w:sz w:val="20"/>
              </w:rPr>
              <w:t>20 000</w:t>
            </w:r>
          </w:p>
        </w:tc>
        <w:tc>
          <w:tcPr>
            <w:tcW w:type="dxa" w:w="1662"/>
          </w:tcPr>
          <w:p>
            <w:pPr>
              <w:spacing w:after="0" w:line="240" w:lineRule="auto"/>
              <w:ind w:firstLine="0"/>
              <w:jc w:val="center"/>
            </w:pPr>
            <w:r>
              <w:rPr>
                <w:b w:val="0"/>
                <w:i w:val="0"/>
                <w:sz w:val="20"/>
              </w:rPr>
              <w:t>2029</w:t>
            </w:r>
          </w:p>
        </w:tc>
        <w:tc>
          <w:tcPr>
            <w:tcW w:type="dxa" w:w="1662"/>
          </w:tcPr>
          <w:p>
            <w:pPr>
              <w:spacing w:after="0" w:line="240" w:lineRule="auto"/>
              <w:ind w:firstLine="0"/>
              <w:jc w:val="center"/>
            </w:pPr>
            <w:r>
              <w:rPr>
                <w:b w:val="0"/>
                <w:i w:val="0"/>
                <w:sz w:val="20"/>
              </w:rPr>
              <w:t>BNDES</w:t>
            </w:r>
          </w:p>
        </w:tc>
      </w:tr>
      <w:tr>
        <w:tc>
          <w:tcPr>
            <w:tcW w:type="dxa" w:w="1662"/>
          </w:tcPr>
          <w:p>
            <w:pPr>
              <w:spacing w:after="0" w:line="240" w:lineRule="auto"/>
              <w:ind w:firstLine="0"/>
              <w:jc w:val="left"/>
            </w:pPr>
            <w:r>
              <w:rPr>
                <w:b w:val="0"/>
                <w:i w:val="0"/>
                <w:sz w:val="20"/>
              </w:rPr>
              <w:t>Energy Fuels White Mesa</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разделение</w:t>
            </w:r>
          </w:p>
        </w:tc>
        <w:tc>
          <w:tcPr>
            <w:tcW w:type="dxa" w:w="1662"/>
          </w:tcPr>
          <w:p>
            <w:pPr>
              <w:spacing w:after="0" w:line="240" w:lineRule="auto"/>
              <w:ind w:firstLine="0"/>
              <w:jc w:val="center"/>
            </w:pPr>
            <w:r>
              <w:rPr>
                <w:b w:val="0"/>
                <w:i w:val="0"/>
                <w:sz w:val="20"/>
              </w:rPr>
              <w:t>6 000</w:t>
            </w:r>
          </w:p>
        </w:tc>
        <w:tc>
          <w:tcPr>
            <w:tcW w:type="dxa" w:w="1662"/>
          </w:tcPr>
          <w:p>
            <w:pPr>
              <w:spacing w:after="0" w:line="240" w:lineRule="auto"/>
              <w:ind w:firstLine="0"/>
              <w:jc w:val="center"/>
            </w:pPr>
            <w:r>
              <w:rPr>
                <w:b w:val="0"/>
                <w:i w:val="0"/>
                <w:sz w:val="20"/>
              </w:rPr>
              <w:t>2026</w:t>
            </w:r>
          </w:p>
        </w:tc>
        <w:tc>
          <w:tcPr>
            <w:tcW w:type="dxa" w:w="1662"/>
          </w:tcPr>
          <w:p>
            <w:pPr>
              <w:spacing w:after="0" w:line="240" w:lineRule="auto"/>
              <w:ind w:firstLine="0"/>
              <w:jc w:val="center"/>
            </w:pPr>
            <w:r>
              <w:rPr>
                <w:b w:val="0"/>
                <w:i w:val="0"/>
                <w:sz w:val="20"/>
              </w:rPr>
              <w:t>—</w:t>
            </w:r>
          </w:p>
        </w:tc>
      </w:tr>
      <w:tr>
        <w:tc>
          <w:tcPr>
            <w:tcW w:type="dxa" w:w="1662"/>
          </w:tcPr>
          <w:p>
            <w:pPr>
              <w:spacing w:after="0" w:line="240" w:lineRule="auto"/>
              <w:ind w:firstLine="0"/>
              <w:jc w:val="left"/>
            </w:pPr>
            <w:r>
              <w:rPr>
                <w:b w:val="0"/>
                <w:i w:val="0"/>
                <w:sz w:val="20"/>
              </w:rPr>
              <w:t>Ucore Louisiana SMC</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разделение</w:t>
            </w:r>
          </w:p>
        </w:tc>
        <w:tc>
          <w:tcPr>
            <w:tcW w:type="dxa" w:w="1662"/>
          </w:tcPr>
          <w:p>
            <w:pPr>
              <w:spacing w:after="0" w:line="240" w:lineRule="auto"/>
              <w:ind w:firstLine="0"/>
              <w:jc w:val="center"/>
            </w:pPr>
            <w:r>
              <w:rPr>
                <w:b w:val="0"/>
                <w:i w:val="0"/>
                <w:sz w:val="20"/>
              </w:rPr>
              <w:t>2 000</w:t>
            </w:r>
          </w:p>
        </w:tc>
        <w:tc>
          <w:tcPr>
            <w:tcW w:type="dxa" w:w="1662"/>
          </w:tcPr>
          <w:p>
            <w:pPr>
              <w:spacing w:after="0" w:line="240" w:lineRule="auto"/>
              <w:ind w:firstLine="0"/>
              <w:jc w:val="center"/>
            </w:pPr>
            <w:r>
              <w:rPr>
                <w:b w:val="0"/>
                <w:i w:val="0"/>
                <w:sz w:val="20"/>
              </w:rPr>
              <w:t>2026</w:t>
            </w:r>
          </w:p>
        </w:tc>
        <w:tc>
          <w:tcPr>
            <w:tcW w:type="dxa" w:w="1662"/>
          </w:tcPr>
          <w:p>
            <w:pPr>
              <w:spacing w:after="0" w:line="240" w:lineRule="auto"/>
              <w:ind w:firstLine="0"/>
              <w:jc w:val="center"/>
            </w:pPr>
            <w:r>
              <w:rPr>
                <w:b w:val="0"/>
                <w:i w:val="0"/>
                <w:sz w:val="20"/>
              </w:rPr>
              <w:t>DoD</w:t>
            </w:r>
          </w:p>
        </w:tc>
      </w:tr>
      <w:tr>
        <w:tc>
          <w:tcPr>
            <w:tcW w:type="dxa" w:w="1662"/>
          </w:tcPr>
          <w:p>
            <w:pPr>
              <w:spacing w:after="0" w:line="240" w:lineRule="auto"/>
              <w:ind w:firstLine="0"/>
              <w:jc w:val="left"/>
            </w:pPr>
            <w:r>
              <w:rPr>
                <w:b w:val="0"/>
                <w:i w:val="0"/>
                <w:sz w:val="20"/>
              </w:rPr>
              <w:t>Aclara Chile/Бразилия</w:t>
            </w:r>
          </w:p>
        </w:tc>
        <w:tc>
          <w:tcPr>
            <w:tcW w:type="dxa" w:w="1662"/>
          </w:tcPr>
          <w:p>
            <w:pPr>
              <w:spacing w:after="0" w:line="240" w:lineRule="auto"/>
              <w:ind w:firstLine="0"/>
              <w:jc w:val="center"/>
            </w:pPr>
            <w:r>
              <w:rPr>
                <w:b w:val="0"/>
                <w:i w:val="0"/>
                <w:sz w:val="20"/>
              </w:rPr>
              <w:t>Чили</w:t>
            </w:r>
          </w:p>
        </w:tc>
        <w:tc>
          <w:tcPr>
            <w:tcW w:type="dxa" w:w="1662"/>
          </w:tcPr>
          <w:p>
            <w:pPr>
              <w:spacing w:after="0" w:line="240" w:lineRule="auto"/>
              <w:ind w:firstLine="0"/>
              <w:jc w:val="center"/>
            </w:pPr>
            <w:r>
              <w:rPr>
                <w:b w:val="0"/>
                <w:i w:val="0"/>
                <w:sz w:val="20"/>
              </w:rPr>
              <w:t>добыча (IAC)</w:t>
            </w:r>
          </w:p>
        </w:tc>
        <w:tc>
          <w:tcPr>
            <w:tcW w:type="dxa" w:w="1662"/>
          </w:tcPr>
          <w:p>
            <w:pPr>
              <w:spacing w:after="0" w:line="240" w:lineRule="auto"/>
              <w:ind w:firstLine="0"/>
              <w:jc w:val="center"/>
            </w:pPr>
            <w:r>
              <w:rPr>
                <w:b w:val="0"/>
                <w:i w:val="0"/>
                <w:sz w:val="20"/>
              </w:rPr>
              <w:t>1 700 (NdPr)</w:t>
            </w:r>
          </w:p>
        </w:tc>
        <w:tc>
          <w:tcPr>
            <w:tcW w:type="dxa" w:w="1662"/>
          </w:tcPr>
          <w:p>
            <w:pPr>
              <w:spacing w:after="0" w:line="240" w:lineRule="auto"/>
              <w:ind w:firstLine="0"/>
              <w:jc w:val="center"/>
            </w:pPr>
            <w:r>
              <w:rPr>
                <w:b w:val="0"/>
                <w:i w:val="0"/>
                <w:sz w:val="20"/>
              </w:rPr>
              <w:t>2028</w:t>
            </w:r>
          </w:p>
        </w:tc>
        <w:tc>
          <w:tcPr>
            <w:tcW w:type="dxa" w:w="1662"/>
          </w:tcPr>
          <w:p>
            <w:pPr>
              <w:spacing w:after="0" w:line="240" w:lineRule="auto"/>
              <w:ind w:firstLine="0"/>
              <w:jc w:val="center"/>
            </w:pPr>
            <w:r>
              <w:rPr>
                <w:b w:val="0"/>
                <w:i w:val="0"/>
                <w:sz w:val="20"/>
              </w:rPr>
              <w:t>—</w:t>
            </w:r>
          </w:p>
        </w:tc>
      </w:tr>
    </w:tbl>
    <w:p>
      <w:pPr>
        <w:spacing w:after="180"/>
        <w:ind w:firstLine="0"/>
      </w:pPr>
      <w:r>
        <w:rPr>
          <w:i/>
          <w:sz w:val="20"/>
        </w:rPr>
        <w:t>Источник: корпоративные раскрытия, сообщения профильных ведомств, отраслевая пресса</w:t>
      </w:r>
    </w:p>
    <w:p>
      <w:pPr>
        <w:keepNext/>
        <w:spacing w:before="160" w:after="60"/>
        <w:ind w:firstLine="0"/>
        <w:jc w:val="left"/>
      </w:pPr>
      <w:r>
        <w:rPr>
          <w:b/>
          <w:sz w:val="22"/>
        </w:rPr>
        <w:t>Рисунок 21. Планируемый ввод разделительных мощностей вне КНР по годам, т TREO/год</w:t>
      </w:r>
    </w:p>
    <w:p>
      <w:pPr>
        <w:ind w:firstLine="0"/>
        <w:jc w:val="center"/>
      </w:pPr>
      <w:r>
        <w:drawing>
          <wp:inline xmlns:a="http://schemas.openxmlformats.org/drawingml/2006/main" xmlns:pic="http://schemas.openxmlformats.org/drawingml/2006/picture">
            <wp:extent cx="5580000" cy="2749565"/>
            <wp:docPr id="21" name="Picture 21"/>
            <wp:cNvGraphicFramePr>
              <a:graphicFrameLocks noChangeAspect="1"/>
            </wp:cNvGraphicFramePr>
            <a:graphic>
              <a:graphicData uri="http://schemas.openxmlformats.org/drawingml/2006/picture">
                <pic:pic>
                  <pic:nvPicPr>
                    <pic:cNvPr id="0" name="fig21.png"/>
                    <pic:cNvPicPr/>
                  </pic:nvPicPr>
                  <pic:blipFill>
                    <a:blip r:embed="rId31"/>
                    <a:stretch>
                      <a:fillRect/>
                    </a:stretch>
                  </pic:blipFill>
                  <pic:spPr>
                    <a:xfrm>
                      <a:off x="0" y="0"/>
                      <a:ext cx="5580000" cy="2749565"/>
                    </a:xfrm>
                    <a:prstGeom prst="rect"/>
                  </pic:spPr>
                </pic:pic>
              </a:graphicData>
            </a:graphic>
          </wp:inline>
        </w:drawing>
      </w:r>
    </w:p>
    <w:p>
      <w:pPr>
        <w:spacing w:after="180"/>
        <w:ind w:firstLine="0"/>
      </w:pPr>
      <w:r>
        <w:rPr>
          <w:i/>
          <w:sz w:val="20"/>
        </w:rPr>
        <w:t>Источник: аналитический центр (табл. 30 и корпоративные раскрытия); учтены проекты со стадией не ниже FID или строительства</w:t>
      </w:r>
    </w:p>
    <w:p>
      <w:r>
        <w:rPr>
          <w:b w:val="0"/>
          <w:i w:val="0"/>
        </w:rPr>
        <w:t>Совокупный заявленный ввод разделительных мощностей вне КНР на период 2025–2030 гг. составляет порядка 80 тыс. т TREO/год, что сопоставимо с текущим совокупным не-китайским уровнем. Однако при оценке этих планов необходимо учитывать статистику реализуемости проектов отрасли: из более чем 400 проектов, анонсированных после кризиса 2010–2011 гг., до стадии промышленного производства дошли менее десяти. Историческая вероятность реализации редкоземельного проекта, находящегося на стадии ТЭО, оценивается в 10–15%; на стадии строительства — в 60–70%. С учётом этих поправок реалистичный ввод к 2030 г. оценивается в 45–55 тыс. т TREO/год.</w:t>
      </w:r>
    </w:p>
    <w:p>
      <w:pPr>
        <w:pStyle w:val="Heading2"/>
      </w:pPr>
      <w:r>
        <w:rPr>
          <w:b w:val="0"/>
          <w:i w:val="0"/>
        </w:rPr>
        <w:t>4.7. Конкурентные позиции и себестоимость</w:t>
      </w:r>
    </w:p>
    <w:p>
      <w:pPr>
        <w:keepNext/>
        <w:spacing w:before="160" w:after="60"/>
        <w:ind w:firstLine="0"/>
        <w:jc w:val="left"/>
      </w:pPr>
      <w:r>
        <w:rPr>
          <w:b/>
          <w:sz w:val="22"/>
        </w:rPr>
        <w:t>Таблица 31. Сопоставление позиций ключевых производителей редкоземельной продукции</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Компания</w:t>
            </w:r>
          </w:p>
        </w:tc>
        <w:tc>
          <w:tcPr>
            <w:tcW w:type="dxa" w:w="1662"/>
            <w:shd w:val="clear" w:fill="DCE6F1"/>
          </w:tcPr>
          <w:p>
            <w:pPr>
              <w:spacing w:after="0" w:line="240" w:lineRule="auto"/>
              <w:ind w:firstLine="0"/>
              <w:jc w:val="center"/>
            </w:pPr>
            <w:r>
              <w:rPr>
                <w:b/>
                <w:i w:val="0"/>
                <w:sz w:val="20"/>
              </w:rPr>
              <w:t>Добыча</w:t>
            </w:r>
          </w:p>
        </w:tc>
        <w:tc>
          <w:tcPr>
            <w:tcW w:type="dxa" w:w="1662"/>
            <w:shd w:val="clear" w:fill="DCE6F1"/>
          </w:tcPr>
          <w:p>
            <w:pPr>
              <w:spacing w:after="0" w:line="240" w:lineRule="auto"/>
              <w:ind w:firstLine="0"/>
              <w:jc w:val="center"/>
            </w:pPr>
            <w:r>
              <w:rPr>
                <w:b/>
                <w:i w:val="0"/>
                <w:sz w:val="20"/>
              </w:rPr>
              <w:t>Разделение</w:t>
            </w:r>
          </w:p>
        </w:tc>
        <w:tc>
          <w:tcPr>
            <w:tcW w:type="dxa" w:w="1662"/>
            <w:shd w:val="clear" w:fill="DCE6F1"/>
          </w:tcPr>
          <w:p>
            <w:pPr>
              <w:spacing w:after="0" w:line="240" w:lineRule="auto"/>
              <w:ind w:firstLine="0"/>
              <w:jc w:val="center"/>
            </w:pPr>
            <w:r>
              <w:rPr>
                <w:b/>
                <w:i w:val="0"/>
                <w:sz w:val="20"/>
              </w:rPr>
              <w:t>Металл</w:t>
            </w:r>
          </w:p>
        </w:tc>
        <w:tc>
          <w:tcPr>
            <w:tcW w:type="dxa" w:w="1662"/>
            <w:shd w:val="clear" w:fill="DCE6F1"/>
          </w:tcPr>
          <w:p>
            <w:pPr>
              <w:spacing w:after="0" w:line="240" w:lineRule="auto"/>
              <w:ind w:firstLine="0"/>
              <w:jc w:val="center"/>
            </w:pPr>
            <w:r>
              <w:rPr>
                <w:b/>
                <w:i w:val="0"/>
                <w:sz w:val="20"/>
              </w:rPr>
              <w:t>Магниты</w:t>
            </w:r>
          </w:p>
        </w:tc>
        <w:tc>
          <w:tcPr>
            <w:tcW w:type="dxa" w:w="1662"/>
            <w:shd w:val="clear" w:fill="DCE6F1"/>
          </w:tcPr>
          <w:p>
            <w:pPr>
              <w:spacing w:after="0" w:line="240" w:lineRule="auto"/>
              <w:ind w:firstLine="0"/>
              <w:jc w:val="center"/>
            </w:pPr>
            <w:r>
              <w:rPr>
                <w:b/>
                <w:i w:val="0"/>
                <w:sz w:val="20"/>
              </w:rPr>
              <w:t>Оценка устойчивости</w:t>
            </w:r>
          </w:p>
        </w:tc>
      </w:tr>
      <w:tr>
        <w:tc>
          <w:tcPr>
            <w:tcW w:type="dxa" w:w="1662"/>
          </w:tcPr>
          <w:p>
            <w:pPr>
              <w:spacing w:after="0" w:line="240" w:lineRule="auto"/>
              <w:ind w:firstLine="0"/>
              <w:jc w:val="left"/>
            </w:pPr>
            <w:r>
              <w:rPr>
                <w:b w:val="0"/>
                <w:i w:val="0"/>
                <w:sz w:val="20"/>
              </w:rPr>
              <w:t>China Northern RE</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очень высокая</w:t>
            </w:r>
          </w:p>
        </w:tc>
      </w:tr>
      <w:tr>
        <w:tc>
          <w:tcPr>
            <w:tcW w:type="dxa" w:w="1662"/>
          </w:tcPr>
          <w:p>
            <w:pPr>
              <w:spacing w:after="0" w:line="240" w:lineRule="auto"/>
              <w:ind w:firstLine="0"/>
              <w:jc w:val="left"/>
            </w:pPr>
            <w:r>
              <w:rPr>
                <w:b w:val="0"/>
                <w:i w:val="0"/>
                <w:sz w:val="20"/>
              </w:rPr>
              <w:t>China Rare Earth Group</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очень высокая</w:t>
            </w:r>
          </w:p>
        </w:tc>
      </w:tr>
      <w:tr>
        <w:tc>
          <w:tcPr>
            <w:tcW w:type="dxa" w:w="1662"/>
          </w:tcPr>
          <w:p>
            <w:pPr>
              <w:spacing w:after="0" w:line="240" w:lineRule="auto"/>
              <w:ind w:firstLine="0"/>
              <w:jc w:val="left"/>
            </w:pPr>
            <w:r>
              <w:rPr>
                <w:b w:val="0"/>
                <w:i w:val="0"/>
                <w:sz w:val="20"/>
              </w:rPr>
              <w:t>MP Materials</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2028</w:t>
            </w:r>
          </w:p>
        </w:tc>
        <w:tc>
          <w:tcPr>
            <w:tcW w:type="dxa" w:w="1662"/>
          </w:tcPr>
          <w:p>
            <w:pPr>
              <w:spacing w:after="0" w:line="240" w:lineRule="auto"/>
              <w:ind w:firstLine="0"/>
              <w:jc w:val="center"/>
            </w:pPr>
            <w:r>
              <w:rPr>
                <w:b w:val="0"/>
                <w:i w:val="0"/>
                <w:sz w:val="20"/>
              </w:rPr>
              <w:t>высокая (господдержка)</w:t>
            </w:r>
          </w:p>
        </w:tc>
      </w:tr>
      <w:tr>
        <w:tc>
          <w:tcPr>
            <w:tcW w:type="dxa" w:w="1662"/>
          </w:tcPr>
          <w:p>
            <w:pPr>
              <w:spacing w:after="0" w:line="240" w:lineRule="auto"/>
              <w:ind w:firstLine="0"/>
              <w:jc w:val="left"/>
            </w:pPr>
            <w:r>
              <w:rPr>
                <w:b w:val="0"/>
                <w:i w:val="0"/>
                <w:sz w:val="20"/>
              </w:rPr>
              <w:t>Lynas</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нет</w:t>
            </w:r>
          </w:p>
        </w:tc>
        <w:tc>
          <w:tcPr>
            <w:tcW w:type="dxa" w:w="1662"/>
          </w:tcPr>
          <w:p>
            <w:pPr>
              <w:spacing w:after="0" w:line="240" w:lineRule="auto"/>
              <w:ind w:firstLine="0"/>
              <w:jc w:val="center"/>
            </w:pPr>
            <w:r>
              <w:rPr>
                <w:b w:val="0"/>
                <w:i w:val="0"/>
                <w:sz w:val="20"/>
              </w:rPr>
              <w:t>нет</w:t>
            </w:r>
          </w:p>
        </w:tc>
        <w:tc>
          <w:tcPr>
            <w:tcW w:type="dxa" w:w="1662"/>
          </w:tcPr>
          <w:p>
            <w:pPr>
              <w:spacing w:after="0" w:line="240" w:lineRule="auto"/>
              <w:ind w:firstLine="0"/>
              <w:jc w:val="center"/>
            </w:pPr>
            <w:r>
              <w:rPr>
                <w:b w:val="0"/>
                <w:i w:val="0"/>
                <w:sz w:val="20"/>
              </w:rPr>
              <w:t>средняя</w:t>
            </w:r>
          </w:p>
        </w:tc>
      </w:tr>
      <w:tr>
        <w:tc>
          <w:tcPr>
            <w:tcW w:type="dxa" w:w="1662"/>
          </w:tcPr>
          <w:p>
            <w:pPr>
              <w:spacing w:after="0" w:line="240" w:lineRule="auto"/>
              <w:ind w:firstLine="0"/>
              <w:jc w:val="left"/>
            </w:pPr>
            <w:r>
              <w:rPr>
                <w:b w:val="0"/>
                <w:i w:val="0"/>
                <w:sz w:val="20"/>
              </w:rPr>
              <w:t>Neo Performance</w:t>
            </w:r>
          </w:p>
        </w:tc>
        <w:tc>
          <w:tcPr>
            <w:tcW w:type="dxa" w:w="1662"/>
          </w:tcPr>
          <w:p>
            <w:pPr>
              <w:spacing w:after="0" w:line="240" w:lineRule="auto"/>
              <w:ind w:firstLine="0"/>
              <w:jc w:val="center"/>
            </w:pPr>
            <w:r>
              <w:rPr>
                <w:b w:val="0"/>
                <w:i w:val="0"/>
                <w:sz w:val="20"/>
              </w:rPr>
              <w:t>нет</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средняя</w:t>
            </w:r>
          </w:p>
        </w:tc>
      </w:tr>
      <w:tr>
        <w:tc>
          <w:tcPr>
            <w:tcW w:type="dxa" w:w="1662"/>
          </w:tcPr>
          <w:p>
            <w:pPr>
              <w:spacing w:after="0" w:line="240" w:lineRule="auto"/>
              <w:ind w:firstLine="0"/>
              <w:jc w:val="left"/>
            </w:pPr>
            <w:r>
              <w:rPr>
                <w:b w:val="0"/>
                <w:i w:val="0"/>
                <w:sz w:val="20"/>
              </w:rPr>
              <w:t>Energy Fuels</w:t>
            </w:r>
          </w:p>
        </w:tc>
        <w:tc>
          <w:tcPr>
            <w:tcW w:type="dxa" w:w="1662"/>
          </w:tcPr>
          <w:p>
            <w:pPr>
              <w:spacing w:after="0" w:line="240" w:lineRule="auto"/>
              <w:ind w:firstLine="0"/>
              <w:jc w:val="center"/>
            </w:pPr>
            <w:r>
              <w:rPr>
                <w:b w:val="0"/>
                <w:i w:val="0"/>
                <w:sz w:val="20"/>
              </w:rPr>
              <w:t>частично</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нет</w:t>
            </w:r>
          </w:p>
        </w:tc>
        <w:tc>
          <w:tcPr>
            <w:tcW w:type="dxa" w:w="1662"/>
          </w:tcPr>
          <w:p>
            <w:pPr>
              <w:spacing w:after="0" w:line="240" w:lineRule="auto"/>
              <w:ind w:firstLine="0"/>
              <w:jc w:val="center"/>
            </w:pPr>
            <w:r>
              <w:rPr>
                <w:b w:val="0"/>
                <w:i w:val="0"/>
                <w:sz w:val="20"/>
              </w:rPr>
              <w:t>нет</w:t>
            </w:r>
          </w:p>
        </w:tc>
        <w:tc>
          <w:tcPr>
            <w:tcW w:type="dxa" w:w="1662"/>
          </w:tcPr>
          <w:p>
            <w:pPr>
              <w:spacing w:after="0" w:line="240" w:lineRule="auto"/>
              <w:ind w:firstLine="0"/>
              <w:jc w:val="center"/>
            </w:pPr>
            <w:r>
              <w:rPr>
                <w:b w:val="0"/>
                <w:i w:val="0"/>
                <w:sz w:val="20"/>
              </w:rPr>
              <w:t>средняя</w:t>
            </w:r>
          </w:p>
        </w:tc>
      </w:tr>
      <w:tr>
        <w:tc>
          <w:tcPr>
            <w:tcW w:type="dxa" w:w="1662"/>
          </w:tcPr>
          <w:p>
            <w:pPr>
              <w:spacing w:after="0" w:line="240" w:lineRule="auto"/>
              <w:ind w:firstLine="0"/>
              <w:jc w:val="left"/>
            </w:pPr>
            <w:r>
              <w:rPr>
                <w:b w:val="0"/>
                <w:i w:val="0"/>
                <w:sz w:val="20"/>
              </w:rPr>
              <w:t>Iluka</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2027</w:t>
            </w:r>
          </w:p>
        </w:tc>
        <w:tc>
          <w:tcPr>
            <w:tcW w:type="dxa" w:w="1662"/>
          </w:tcPr>
          <w:p>
            <w:pPr>
              <w:spacing w:after="0" w:line="240" w:lineRule="auto"/>
              <w:ind w:firstLine="0"/>
              <w:jc w:val="center"/>
            </w:pPr>
            <w:r>
              <w:rPr>
                <w:b w:val="0"/>
                <w:i w:val="0"/>
                <w:sz w:val="20"/>
              </w:rPr>
              <w:t>нет</w:t>
            </w:r>
          </w:p>
        </w:tc>
        <w:tc>
          <w:tcPr>
            <w:tcW w:type="dxa" w:w="1662"/>
          </w:tcPr>
          <w:p>
            <w:pPr>
              <w:spacing w:after="0" w:line="240" w:lineRule="auto"/>
              <w:ind w:firstLine="0"/>
              <w:jc w:val="center"/>
            </w:pPr>
            <w:r>
              <w:rPr>
                <w:b w:val="0"/>
                <w:i w:val="0"/>
                <w:sz w:val="20"/>
              </w:rPr>
              <w:t>нет</w:t>
            </w:r>
          </w:p>
        </w:tc>
        <w:tc>
          <w:tcPr>
            <w:tcW w:type="dxa" w:w="1662"/>
          </w:tcPr>
          <w:p>
            <w:pPr>
              <w:spacing w:after="0" w:line="240" w:lineRule="auto"/>
              <w:ind w:firstLine="0"/>
              <w:jc w:val="center"/>
            </w:pPr>
            <w:r>
              <w:rPr>
                <w:b w:val="0"/>
                <w:i w:val="0"/>
                <w:sz w:val="20"/>
              </w:rPr>
              <w:t>средняя</w:t>
            </w:r>
          </w:p>
        </w:tc>
      </w:tr>
      <w:tr>
        <w:tc>
          <w:tcPr>
            <w:tcW w:type="dxa" w:w="1662"/>
          </w:tcPr>
          <w:p>
            <w:pPr>
              <w:spacing w:after="0" w:line="240" w:lineRule="auto"/>
              <w:ind w:firstLine="0"/>
              <w:jc w:val="left"/>
            </w:pPr>
            <w:r>
              <w:rPr>
                <w:b w:val="0"/>
                <w:i w:val="0"/>
                <w:sz w:val="20"/>
              </w:rPr>
              <w:t>Arafura</w:t>
            </w:r>
          </w:p>
        </w:tc>
        <w:tc>
          <w:tcPr>
            <w:tcW w:type="dxa" w:w="1662"/>
          </w:tcPr>
          <w:p>
            <w:pPr>
              <w:spacing w:after="0" w:line="240" w:lineRule="auto"/>
              <w:ind w:firstLine="0"/>
              <w:jc w:val="center"/>
            </w:pPr>
            <w:r>
              <w:rPr>
                <w:b w:val="0"/>
                <w:i w:val="0"/>
                <w:sz w:val="20"/>
              </w:rPr>
              <w:t>2028</w:t>
            </w:r>
          </w:p>
        </w:tc>
        <w:tc>
          <w:tcPr>
            <w:tcW w:type="dxa" w:w="1662"/>
          </w:tcPr>
          <w:p>
            <w:pPr>
              <w:spacing w:after="0" w:line="240" w:lineRule="auto"/>
              <w:ind w:firstLine="0"/>
              <w:jc w:val="center"/>
            </w:pPr>
            <w:r>
              <w:rPr>
                <w:b w:val="0"/>
                <w:i w:val="0"/>
                <w:sz w:val="20"/>
              </w:rPr>
              <w:t>2028</w:t>
            </w:r>
          </w:p>
        </w:tc>
        <w:tc>
          <w:tcPr>
            <w:tcW w:type="dxa" w:w="1662"/>
          </w:tcPr>
          <w:p>
            <w:pPr>
              <w:spacing w:after="0" w:line="240" w:lineRule="auto"/>
              <w:ind w:firstLine="0"/>
              <w:jc w:val="center"/>
            </w:pPr>
            <w:r>
              <w:rPr>
                <w:b w:val="0"/>
                <w:i w:val="0"/>
                <w:sz w:val="20"/>
              </w:rPr>
              <w:t>нет</w:t>
            </w:r>
          </w:p>
        </w:tc>
        <w:tc>
          <w:tcPr>
            <w:tcW w:type="dxa" w:w="1662"/>
          </w:tcPr>
          <w:p>
            <w:pPr>
              <w:spacing w:after="0" w:line="240" w:lineRule="auto"/>
              <w:ind w:firstLine="0"/>
              <w:jc w:val="center"/>
            </w:pPr>
            <w:r>
              <w:rPr>
                <w:b w:val="0"/>
                <w:i w:val="0"/>
                <w:sz w:val="20"/>
              </w:rPr>
              <w:t>нет</w:t>
            </w:r>
          </w:p>
        </w:tc>
        <w:tc>
          <w:tcPr>
            <w:tcW w:type="dxa" w:w="1662"/>
          </w:tcPr>
          <w:p>
            <w:pPr>
              <w:spacing w:after="0" w:line="240" w:lineRule="auto"/>
              <w:ind w:firstLine="0"/>
              <w:jc w:val="center"/>
            </w:pPr>
            <w:r>
              <w:rPr>
                <w:b w:val="0"/>
                <w:i w:val="0"/>
                <w:sz w:val="20"/>
              </w:rPr>
              <w:t>низкая (доинвест.)</w:t>
            </w:r>
          </w:p>
        </w:tc>
      </w:tr>
      <w:tr>
        <w:tc>
          <w:tcPr>
            <w:tcW w:type="dxa" w:w="1662"/>
          </w:tcPr>
          <w:p>
            <w:pPr>
              <w:spacing w:after="0" w:line="240" w:lineRule="auto"/>
              <w:ind w:firstLine="0"/>
              <w:jc w:val="left"/>
            </w:pPr>
            <w:r>
              <w:rPr>
                <w:b w:val="0"/>
                <w:i w:val="0"/>
                <w:sz w:val="20"/>
              </w:rPr>
              <w:t>IREL</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да</w:t>
            </w:r>
          </w:p>
        </w:tc>
        <w:tc>
          <w:tcPr>
            <w:tcW w:type="dxa" w:w="1662"/>
          </w:tcPr>
          <w:p>
            <w:pPr>
              <w:spacing w:after="0" w:line="240" w:lineRule="auto"/>
              <w:ind w:firstLine="0"/>
              <w:jc w:val="center"/>
            </w:pPr>
            <w:r>
              <w:rPr>
                <w:b w:val="0"/>
                <w:i w:val="0"/>
                <w:sz w:val="20"/>
              </w:rPr>
              <w:t>нет</w:t>
            </w:r>
          </w:p>
        </w:tc>
        <w:tc>
          <w:tcPr>
            <w:tcW w:type="dxa" w:w="1662"/>
          </w:tcPr>
          <w:p>
            <w:pPr>
              <w:spacing w:after="0" w:line="240" w:lineRule="auto"/>
              <w:ind w:firstLine="0"/>
              <w:jc w:val="center"/>
            </w:pPr>
            <w:r>
              <w:rPr>
                <w:b w:val="0"/>
                <w:i w:val="0"/>
                <w:sz w:val="20"/>
              </w:rPr>
              <w:t>нет</w:t>
            </w:r>
          </w:p>
        </w:tc>
        <w:tc>
          <w:tcPr>
            <w:tcW w:type="dxa" w:w="1662"/>
          </w:tcPr>
          <w:p>
            <w:pPr>
              <w:spacing w:after="0" w:line="240" w:lineRule="auto"/>
              <w:ind w:firstLine="0"/>
              <w:jc w:val="center"/>
            </w:pPr>
            <w:r>
              <w:rPr>
                <w:b w:val="0"/>
                <w:i w:val="0"/>
                <w:sz w:val="20"/>
              </w:rPr>
              <w:t>средняя</w:t>
            </w:r>
          </w:p>
        </w:tc>
      </w:tr>
    </w:tbl>
    <w:p>
      <w:pPr>
        <w:spacing w:after="180"/>
        <w:ind w:firstLine="0"/>
      </w:pPr>
      <w:r>
        <w:rPr>
          <w:i/>
          <w:sz w:val="20"/>
        </w:rPr>
        <w:t>Источник: аналитический центр по данным корпоративных раскрытий</w:t>
      </w:r>
    </w:p>
    <w:p>
      <w:pPr>
        <w:keepNext/>
        <w:spacing w:before="160" w:after="60"/>
        <w:ind w:firstLine="0"/>
        <w:jc w:val="left"/>
      </w:pPr>
      <w:r>
        <w:rPr>
          <w:b/>
          <w:sz w:val="22"/>
        </w:rPr>
        <w:t>Таблица 32. Ориентировочная структура себестоимости производства оксида NdPr на различных типах предприятий, $/кг NdPr</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Статья затрат</w:t>
            </w:r>
          </w:p>
        </w:tc>
        <w:tc>
          <w:tcPr>
            <w:tcW w:type="dxa" w:w="1995"/>
            <w:shd w:val="clear" w:fill="DCE6F1"/>
          </w:tcPr>
          <w:p>
            <w:pPr>
              <w:spacing w:after="0" w:line="240" w:lineRule="auto"/>
              <w:ind w:firstLine="0"/>
              <w:jc w:val="center"/>
            </w:pPr>
            <w:r>
              <w:rPr>
                <w:b/>
                <w:i w:val="0"/>
                <w:sz w:val="20"/>
              </w:rPr>
              <w:t>Bayan Obo (КНР)</w:t>
            </w:r>
          </w:p>
        </w:tc>
        <w:tc>
          <w:tcPr>
            <w:tcW w:type="dxa" w:w="1995"/>
            <w:shd w:val="clear" w:fill="DCE6F1"/>
          </w:tcPr>
          <w:p>
            <w:pPr>
              <w:spacing w:after="0" w:line="240" w:lineRule="auto"/>
              <w:ind w:firstLine="0"/>
              <w:jc w:val="center"/>
            </w:pPr>
            <w:r>
              <w:rPr>
                <w:b/>
                <w:i w:val="0"/>
                <w:sz w:val="20"/>
              </w:rPr>
              <w:t>IAC (КНР/Мьянма)</w:t>
            </w:r>
          </w:p>
        </w:tc>
        <w:tc>
          <w:tcPr>
            <w:tcW w:type="dxa" w:w="1995"/>
            <w:shd w:val="clear" w:fill="DCE6F1"/>
          </w:tcPr>
          <w:p>
            <w:pPr>
              <w:spacing w:after="0" w:line="240" w:lineRule="auto"/>
              <w:ind w:firstLine="0"/>
              <w:jc w:val="center"/>
            </w:pPr>
            <w:r>
              <w:rPr>
                <w:b/>
                <w:i w:val="0"/>
                <w:sz w:val="20"/>
              </w:rPr>
              <w:t>Mount Weld/LAMP</w:t>
            </w:r>
          </w:p>
        </w:tc>
        <w:tc>
          <w:tcPr>
            <w:tcW w:type="dxa" w:w="1995"/>
            <w:shd w:val="clear" w:fill="DCE6F1"/>
          </w:tcPr>
          <w:p>
            <w:pPr>
              <w:spacing w:after="0" w:line="240" w:lineRule="auto"/>
              <w:ind w:firstLine="0"/>
              <w:jc w:val="center"/>
            </w:pPr>
            <w:r>
              <w:rPr>
                <w:b/>
                <w:i w:val="0"/>
                <w:sz w:val="20"/>
              </w:rPr>
              <w:t>Mountain Pass</w:t>
            </w:r>
          </w:p>
        </w:tc>
      </w:tr>
      <w:tr>
        <w:tc>
          <w:tcPr>
            <w:tcW w:type="dxa" w:w="1995"/>
          </w:tcPr>
          <w:p>
            <w:pPr>
              <w:spacing w:after="0" w:line="240" w:lineRule="auto"/>
              <w:ind w:firstLine="0"/>
              <w:jc w:val="left"/>
            </w:pPr>
            <w:r>
              <w:rPr>
                <w:b w:val="0"/>
                <w:i w:val="0"/>
                <w:sz w:val="20"/>
              </w:rPr>
              <w:t>Добыча и обогащение</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5,0</w:t>
            </w:r>
          </w:p>
        </w:tc>
        <w:tc>
          <w:tcPr>
            <w:tcW w:type="dxa" w:w="1995"/>
          </w:tcPr>
          <w:p>
            <w:pPr>
              <w:spacing w:after="0" w:line="240" w:lineRule="auto"/>
              <w:ind w:firstLine="0"/>
              <w:jc w:val="center"/>
            </w:pPr>
            <w:r>
              <w:rPr>
                <w:b w:val="0"/>
                <w:i w:val="0"/>
                <w:sz w:val="20"/>
              </w:rPr>
              <w:t>8,0</w:t>
            </w:r>
          </w:p>
        </w:tc>
        <w:tc>
          <w:tcPr>
            <w:tcW w:type="dxa" w:w="1995"/>
          </w:tcPr>
          <w:p>
            <w:pPr>
              <w:spacing w:after="0" w:line="240" w:lineRule="auto"/>
              <w:ind w:firstLine="0"/>
              <w:jc w:val="center"/>
            </w:pPr>
            <w:r>
              <w:rPr>
                <w:b w:val="0"/>
                <w:i w:val="0"/>
                <w:sz w:val="20"/>
              </w:rPr>
              <w:t>7,0</w:t>
            </w:r>
          </w:p>
        </w:tc>
      </w:tr>
      <w:tr>
        <w:tc>
          <w:tcPr>
            <w:tcW w:type="dxa" w:w="1995"/>
          </w:tcPr>
          <w:p>
            <w:pPr>
              <w:spacing w:after="0" w:line="240" w:lineRule="auto"/>
              <w:ind w:firstLine="0"/>
              <w:jc w:val="left"/>
            </w:pPr>
            <w:r>
              <w:rPr>
                <w:b w:val="0"/>
                <w:i w:val="0"/>
                <w:sz w:val="20"/>
              </w:rPr>
              <w:t>Транспорт</w:t>
            </w:r>
          </w:p>
        </w:tc>
        <w:tc>
          <w:tcPr>
            <w:tcW w:type="dxa" w:w="1995"/>
          </w:tcPr>
          <w:p>
            <w:pPr>
              <w:spacing w:after="0" w:line="240" w:lineRule="auto"/>
              <w:ind w:firstLine="0"/>
              <w:jc w:val="center"/>
            </w:pPr>
            <w:r>
              <w:rPr>
                <w:b w:val="0"/>
                <w:i w:val="0"/>
                <w:sz w:val="20"/>
              </w:rPr>
              <w:t>0,5</w:t>
            </w:r>
          </w:p>
        </w:tc>
        <w:tc>
          <w:tcPr>
            <w:tcW w:type="dxa" w:w="1995"/>
          </w:tcPr>
          <w:p>
            <w:pPr>
              <w:spacing w:after="0" w:line="240" w:lineRule="auto"/>
              <w:ind w:firstLine="0"/>
              <w:jc w:val="center"/>
            </w:pPr>
            <w:r>
              <w:rPr>
                <w:b w:val="0"/>
                <w:i w:val="0"/>
                <w:sz w:val="20"/>
              </w:rPr>
              <w:t>1,5</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1,0</w:t>
            </w:r>
          </w:p>
        </w:tc>
      </w:tr>
      <w:tr>
        <w:tc>
          <w:tcPr>
            <w:tcW w:type="dxa" w:w="1995"/>
          </w:tcPr>
          <w:p>
            <w:pPr>
              <w:spacing w:after="0" w:line="240" w:lineRule="auto"/>
              <w:ind w:firstLine="0"/>
              <w:jc w:val="left"/>
            </w:pPr>
            <w:r>
              <w:rPr>
                <w:b w:val="0"/>
                <w:i w:val="0"/>
                <w:sz w:val="20"/>
              </w:rPr>
              <w:t>Вскрытие и выщелачивание</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2,0</w:t>
            </w:r>
          </w:p>
        </w:tc>
        <w:tc>
          <w:tcPr>
            <w:tcW w:type="dxa" w:w="1995"/>
          </w:tcPr>
          <w:p>
            <w:pPr>
              <w:spacing w:after="0" w:line="240" w:lineRule="auto"/>
              <w:ind w:firstLine="0"/>
              <w:jc w:val="center"/>
            </w:pPr>
            <w:r>
              <w:rPr>
                <w:b w:val="0"/>
                <w:i w:val="0"/>
                <w:sz w:val="20"/>
              </w:rPr>
              <w:t>9,0</w:t>
            </w:r>
          </w:p>
        </w:tc>
        <w:tc>
          <w:tcPr>
            <w:tcW w:type="dxa" w:w="1995"/>
          </w:tcPr>
          <w:p>
            <w:pPr>
              <w:spacing w:after="0" w:line="240" w:lineRule="auto"/>
              <w:ind w:firstLine="0"/>
              <w:jc w:val="center"/>
            </w:pPr>
            <w:r>
              <w:rPr>
                <w:b w:val="0"/>
                <w:i w:val="0"/>
                <w:sz w:val="20"/>
              </w:rPr>
              <w:t>8,5</w:t>
            </w:r>
          </w:p>
        </w:tc>
      </w:tr>
      <w:tr>
        <w:tc>
          <w:tcPr>
            <w:tcW w:type="dxa" w:w="1995"/>
          </w:tcPr>
          <w:p>
            <w:pPr>
              <w:spacing w:after="0" w:line="240" w:lineRule="auto"/>
              <w:ind w:firstLine="0"/>
              <w:jc w:val="left"/>
            </w:pPr>
            <w:r>
              <w:rPr>
                <w:b w:val="0"/>
                <w:i w:val="0"/>
                <w:sz w:val="20"/>
              </w:rPr>
              <w:t>Разделение</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7,0</w:t>
            </w:r>
          </w:p>
        </w:tc>
        <w:tc>
          <w:tcPr>
            <w:tcW w:type="dxa" w:w="1995"/>
          </w:tcPr>
          <w:p>
            <w:pPr>
              <w:spacing w:after="0" w:line="240" w:lineRule="auto"/>
              <w:ind w:firstLine="0"/>
              <w:jc w:val="center"/>
            </w:pPr>
            <w:r>
              <w:rPr>
                <w:b w:val="0"/>
                <w:i w:val="0"/>
                <w:sz w:val="20"/>
              </w:rPr>
              <w:t>14,0</w:t>
            </w:r>
          </w:p>
        </w:tc>
        <w:tc>
          <w:tcPr>
            <w:tcW w:type="dxa" w:w="1995"/>
          </w:tcPr>
          <w:p>
            <w:pPr>
              <w:spacing w:after="0" w:line="240" w:lineRule="auto"/>
              <w:ind w:firstLine="0"/>
              <w:jc w:val="center"/>
            </w:pPr>
            <w:r>
              <w:rPr>
                <w:b w:val="0"/>
                <w:i w:val="0"/>
                <w:sz w:val="20"/>
              </w:rPr>
              <w:t>13,0</w:t>
            </w:r>
          </w:p>
        </w:tc>
      </w:tr>
      <w:tr>
        <w:tc>
          <w:tcPr>
            <w:tcW w:type="dxa" w:w="1995"/>
          </w:tcPr>
          <w:p>
            <w:pPr>
              <w:spacing w:after="0" w:line="240" w:lineRule="auto"/>
              <w:ind w:firstLine="0"/>
              <w:jc w:val="left"/>
            </w:pPr>
            <w:r>
              <w:rPr>
                <w:b w:val="0"/>
                <w:i w:val="0"/>
                <w:sz w:val="20"/>
              </w:rPr>
              <w:t>Реагенты и энергия (в т. ч.)</w:t>
            </w:r>
          </w:p>
        </w:tc>
        <w:tc>
          <w:tcPr>
            <w:tcW w:type="dxa" w:w="1995"/>
          </w:tcPr>
          <w:p>
            <w:pPr>
              <w:spacing w:after="0" w:line="240" w:lineRule="auto"/>
              <w:ind w:firstLine="0"/>
              <w:jc w:val="center"/>
            </w:pPr>
            <w:r>
              <w:rPr>
                <w:b w:val="0"/>
                <w:i w:val="0"/>
                <w:sz w:val="20"/>
              </w:rPr>
              <w:t>5,5</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11,0</w:t>
            </w:r>
          </w:p>
        </w:tc>
        <w:tc>
          <w:tcPr>
            <w:tcW w:type="dxa" w:w="1995"/>
          </w:tcPr>
          <w:p>
            <w:pPr>
              <w:spacing w:after="0" w:line="240" w:lineRule="auto"/>
              <w:ind w:firstLine="0"/>
              <w:jc w:val="center"/>
            </w:pPr>
            <w:r>
              <w:rPr>
                <w:b w:val="0"/>
                <w:i w:val="0"/>
                <w:sz w:val="20"/>
              </w:rPr>
              <w:t>10,5</w:t>
            </w:r>
          </w:p>
        </w:tc>
      </w:tr>
      <w:tr>
        <w:tc>
          <w:tcPr>
            <w:tcW w:type="dxa" w:w="1995"/>
          </w:tcPr>
          <w:p>
            <w:pPr>
              <w:spacing w:after="0" w:line="240" w:lineRule="auto"/>
              <w:ind w:firstLine="0"/>
              <w:jc w:val="left"/>
            </w:pPr>
            <w:r>
              <w:rPr>
                <w:b w:val="0"/>
                <w:i w:val="0"/>
                <w:sz w:val="20"/>
              </w:rPr>
              <w:t>Обращение с отходами</w:t>
            </w:r>
          </w:p>
        </w:tc>
        <w:tc>
          <w:tcPr>
            <w:tcW w:type="dxa" w:w="1995"/>
          </w:tcPr>
          <w:p>
            <w:pPr>
              <w:spacing w:after="0" w:line="240" w:lineRule="auto"/>
              <w:ind w:firstLine="0"/>
              <w:jc w:val="center"/>
            </w:pPr>
            <w:r>
              <w:rPr>
                <w:b w:val="0"/>
                <w:i w:val="0"/>
                <w:sz w:val="20"/>
              </w:rPr>
              <w:t>1,0</w:t>
            </w:r>
          </w:p>
        </w:tc>
        <w:tc>
          <w:tcPr>
            <w:tcW w:type="dxa" w:w="1995"/>
          </w:tcPr>
          <w:p>
            <w:pPr>
              <w:spacing w:after="0" w:line="240" w:lineRule="auto"/>
              <w:ind w:firstLine="0"/>
              <w:jc w:val="center"/>
            </w:pPr>
            <w:r>
              <w:rPr>
                <w:b w:val="0"/>
                <w:i w:val="0"/>
                <w:sz w:val="20"/>
              </w:rPr>
              <w:t>0,5</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3,0</w:t>
            </w:r>
          </w:p>
        </w:tc>
      </w:tr>
      <w:tr>
        <w:tc>
          <w:tcPr>
            <w:tcW w:type="dxa" w:w="1995"/>
          </w:tcPr>
          <w:p>
            <w:pPr>
              <w:spacing w:after="0" w:line="240" w:lineRule="auto"/>
              <w:ind w:firstLine="0"/>
              <w:jc w:val="left"/>
            </w:pPr>
            <w:r>
              <w:rPr>
                <w:b w:val="0"/>
                <w:i w:val="0"/>
                <w:sz w:val="20"/>
              </w:rPr>
              <w:t>Прочие и накладные</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2,0</w:t>
            </w:r>
          </w:p>
        </w:tc>
        <w:tc>
          <w:tcPr>
            <w:tcW w:type="dxa" w:w="1995"/>
          </w:tcPr>
          <w:p>
            <w:pPr>
              <w:spacing w:after="0" w:line="240" w:lineRule="auto"/>
              <w:ind w:firstLine="0"/>
              <w:jc w:val="center"/>
            </w:pPr>
            <w:r>
              <w:rPr>
                <w:b w:val="0"/>
                <w:i w:val="0"/>
                <w:sz w:val="20"/>
              </w:rPr>
              <w:t>5,0</w:t>
            </w:r>
          </w:p>
        </w:tc>
        <w:tc>
          <w:tcPr>
            <w:tcW w:type="dxa" w:w="1995"/>
          </w:tcPr>
          <w:p>
            <w:pPr>
              <w:spacing w:after="0" w:line="240" w:lineRule="auto"/>
              <w:ind w:firstLine="0"/>
              <w:jc w:val="center"/>
            </w:pPr>
            <w:r>
              <w:rPr>
                <w:b w:val="0"/>
                <w:i w:val="0"/>
                <w:sz w:val="20"/>
              </w:rPr>
              <w:t>4,5</w:t>
            </w:r>
          </w:p>
        </w:tc>
      </w:tr>
      <w:tr>
        <w:tc>
          <w:tcPr>
            <w:tcW w:type="dxa" w:w="1995"/>
          </w:tcPr>
          <w:p>
            <w:pPr>
              <w:spacing w:after="0" w:line="240" w:lineRule="auto"/>
              <w:ind w:firstLine="0"/>
              <w:jc w:val="left"/>
            </w:pPr>
            <w:r>
              <w:rPr>
                <w:b w:val="0"/>
                <w:i w:val="0"/>
                <w:sz w:val="20"/>
              </w:rPr>
              <w:t>Кредит от попутных продуктов</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0,0</w:t>
            </w:r>
          </w:p>
        </w:tc>
        <w:tc>
          <w:tcPr>
            <w:tcW w:type="dxa" w:w="1995"/>
          </w:tcPr>
          <w:p>
            <w:pPr>
              <w:spacing w:after="0" w:line="240" w:lineRule="auto"/>
              <w:ind w:firstLine="0"/>
              <w:jc w:val="center"/>
            </w:pPr>
            <w:r>
              <w:rPr>
                <w:b w:val="0"/>
                <w:i w:val="0"/>
                <w:sz w:val="20"/>
              </w:rPr>
              <w:t>−2,0</w:t>
            </w:r>
          </w:p>
        </w:tc>
        <w:tc>
          <w:tcPr>
            <w:tcW w:type="dxa" w:w="1995"/>
          </w:tcPr>
          <w:p>
            <w:pPr>
              <w:spacing w:after="0" w:line="240" w:lineRule="auto"/>
              <w:ind w:firstLine="0"/>
              <w:jc w:val="center"/>
            </w:pPr>
            <w:r>
              <w:rPr>
                <w:b w:val="0"/>
                <w:i w:val="0"/>
                <w:sz w:val="20"/>
              </w:rPr>
              <w:t>−1,5</w:t>
            </w:r>
          </w:p>
        </w:tc>
      </w:tr>
      <w:tr>
        <w:tc>
          <w:tcPr>
            <w:tcW w:type="dxa" w:w="1995"/>
          </w:tcPr>
          <w:p>
            <w:pPr>
              <w:spacing w:after="0" w:line="240" w:lineRule="auto"/>
              <w:ind w:firstLine="0"/>
              <w:jc w:val="left"/>
            </w:pPr>
            <w:r>
              <w:rPr>
                <w:b/>
                <w:i w:val="0"/>
                <w:sz w:val="20"/>
              </w:rPr>
              <w:t>Итого себестоимость</w:t>
            </w:r>
          </w:p>
        </w:tc>
        <w:tc>
          <w:tcPr>
            <w:tcW w:type="dxa" w:w="1995"/>
          </w:tcPr>
          <w:p>
            <w:pPr>
              <w:spacing w:after="0" w:line="240" w:lineRule="auto"/>
              <w:ind w:firstLine="0"/>
              <w:jc w:val="center"/>
            </w:pPr>
            <w:r>
              <w:rPr>
                <w:b/>
                <w:i w:val="0"/>
                <w:sz w:val="20"/>
              </w:rPr>
              <w:t>13,5</w:t>
            </w:r>
          </w:p>
        </w:tc>
        <w:tc>
          <w:tcPr>
            <w:tcW w:type="dxa" w:w="1995"/>
          </w:tcPr>
          <w:p>
            <w:pPr>
              <w:spacing w:after="0" w:line="240" w:lineRule="auto"/>
              <w:ind w:firstLine="0"/>
              <w:jc w:val="center"/>
            </w:pPr>
            <w:r>
              <w:rPr>
                <w:b/>
                <w:i w:val="0"/>
                <w:sz w:val="20"/>
              </w:rPr>
              <w:t>18,0</w:t>
            </w:r>
          </w:p>
        </w:tc>
        <w:tc>
          <w:tcPr>
            <w:tcW w:type="dxa" w:w="1995"/>
          </w:tcPr>
          <w:p>
            <w:pPr>
              <w:spacing w:after="0" w:line="240" w:lineRule="auto"/>
              <w:ind w:firstLine="0"/>
              <w:jc w:val="center"/>
            </w:pPr>
            <w:r>
              <w:rPr>
                <w:b/>
                <w:i w:val="0"/>
                <w:sz w:val="20"/>
              </w:rPr>
              <w:t>42,0</w:t>
            </w:r>
          </w:p>
        </w:tc>
        <w:tc>
          <w:tcPr>
            <w:tcW w:type="dxa" w:w="1995"/>
          </w:tcPr>
          <w:p>
            <w:pPr>
              <w:spacing w:after="0" w:line="240" w:lineRule="auto"/>
              <w:ind w:firstLine="0"/>
              <w:jc w:val="center"/>
            </w:pPr>
            <w:r>
              <w:rPr>
                <w:b/>
                <w:i w:val="0"/>
                <w:sz w:val="20"/>
              </w:rPr>
              <w:t>35,5</w:t>
            </w:r>
          </w:p>
        </w:tc>
      </w:tr>
    </w:tbl>
    <w:p>
      <w:pPr>
        <w:spacing w:after="180"/>
        <w:ind w:firstLine="0"/>
      </w:pPr>
      <w:r>
        <w:rPr>
          <w:i/>
          <w:sz w:val="20"/>
        </w:rPr>
        <w:t>Источник: оценка аналитического центра на основе корпоративных раскрытий и отраслевых публикаций</w:t>
      </w:r>
    </w:p>
    <w:p>
      <w:pPr>
        <w:keepNext/>
        <w:spacing w:before="160" w:after="60"/>
        <w:ind w:firstLine="0"/>
        <w:jc w:val="left"/>
      </w:pPr>
      <w:r>
        <w:rPr>
          <w:b/>
          <w:sz w:val="22"/>
        </w:rPr>
        <w:t>Рисунок 22. Сопоставление себестоимости производства оксида NdPr, $/кг</w:t>
      </w:r>
    </w:p>
    <w:p>
      <w:pPr>
        <w:ind w:firstLine="0"/>
        <w:jc w:val="center"/>
      </w:pPr>
      <w:r>
        <w:drawing>
          <wp:inline xmlns:a="http://schemas.openxmlformats.org/drawingml/2006/main" xmlns:pic="http://schemas.openxmlformats.org/drawingml/2006/picture">
            <wp:extent cx="5580000" cy="2753609"/>
            <wp:docPr id="22" name="Picture 22"/>
            <wp:cNvGraphicFramePr>
              <a:graphicFrameLocks noChangeAspect="1"/>
            </wp:cNvGraphicFramePr>
            <a:graphic>
              <a:graphicData uri="http://schemas.openxmlformats.org/drawingml/2006/picture">
                <pic:pic>
                  <pic:nvPicPr>
                    <pic:cNvPr id="0" name="fig22.png"/>
                    <pic:cNvPicPr/>
                  </pic:nvPicPr>
                  <pic:blipFill>
                    <a:blip r:embed="rId32"/>
                    <a:stretch>
                      <a:fillRect/>
                    </a:stretch>
                  </pic:blipFill>
                  <pic:spPr>
                    <a:xfrm>
                      <a:off x="0" y="0"/>
                      <a:ext cx="5580000" cy="2753609"/>
                    </a:xfrm>
                    <a:prstGeom prst="rect"/>
                  </pic:spPr>
                </pic:pic>
              </a:graphicData>
            </a:graphic>
          </wp:inline>
        </w:drawing>
      </w:r>
    </w:p>
    <w:p>
      <w:pPr>
        <w:spacing w:after="180"/>
        <w:ind w:firstLine="0"/>
      </w:pPr>
      <w:r>
        <w:rPr>
          <w:i/>
          <w:sz w:val="20"/>
        </w:rPr>
        <w:t>Источник: оценка аналитического центра (табл. 32)</w:t>
      </w:r>
    </w:p>
    <w:p>
      <w:r>
        <w:rPr>
          <w:b w:val="0"/>
          <w:i w:val="0"/>
        </w:rPr>
        <w:t>Данные рисунка 22 объясняют экономическую природу китайского доминирования и одновременно указывают на условие жизнеспособности не-китайских производств. При цене NdPr на уровне 55–65 долл./кг предприятия типа Mountain Pass и Mount Weld работают с минимальной маржой, а проекты стадии ТЭО нерентабельны. Только при цене выше 80–90 долл./кг формируется доходность, достаточная для привлечения проектного финансирования. Поскольку китайские производители способны устойчиво работать при цене 25–35 долл./кг, рыночный механизм самостоятельно не обеспечивает диверсификации отрасли; она возможна лишь при наличии внерыночных механизмов — ценовых полов, гарантированных закупок, тарифной защиты или прямого государственного участия. Этот вывод является одним из центральных для настоящего исследования и в равной мере применим к оценке перспектив российских проектов (глава 16).</w:t>
      </w:r>
    </w:p>
    <w:p>
      <w:pPr>
        <w:keepNext/>
        <w:spacing w:before="160" w:after="60"/>
        <w:ind w:firstLine="0"/>
        <w:jc w:val="left"/>
      </w:pPr>
      <w:r>
        <w:rPr>
          <w:b/>
          <w:sz w:val="22"/>
        </w:rPr>
        <w:t>Рисунок 23. Доля не-китайских производителей в мировом производстве по стадиям передела, 2015–2030 гг. (прогноз), %</w:t>
      </w:r>
    </w:p>
    <w:p>
      <w:pPr>
        <w:ind w:firstLine="0"/>
        <w:jc w:val="center"/>
      </w:pPr>
      <w:r>
        <w:drawing>
          <wp:inline xmlns:a="http://schemas.openxmlformats.org/drawingml/2006/main" xmlns:pic="http://schemas.openxmlformats.org/drawingml/2006/picture">
            <wp:extent cx="5580000" cy="2731327"/>
            <wp:docPr id="23" name="Picture 23"/>
            <wp:cNvGraphicFramePr>
              <a:graphicFrameLocks noChangeAspect="1"/>
            </wp:cNvGraphicFramePr>
            <a:graphic>
              <a:graphicData uri="http://schemas.openxmlformats.org/drawingml/2006/picture">
                <pic:pic>
                  <pic:nvPicPr>
                    <pic:cNvPr id="0" name="fig23.png"/>
                    <pic:cNvPicPr/>
                  </pic:nvPicPr>
                  <pic:blipFill>
                    <a:blip r:embed="rId33"/>
                    <a:stretch>
                      <a:fillRect/>
                    </a:stretch>
                  </pic:blipFill>
                  <pic:spPr>
                    <a:xfrm>
                      <a:off x="0" y="0"/>
                      <a:ext cx="5580000" cy="2731327"/>
                    </a:xfrm>
                    <a:prstGeom prst="rect"/>
                  </pic:spPr>
                </pic:pic>
              </a:graphicData>
            </a:graphic>
          </wp:inline>
        </w:drawing>
      </w:r>
    </w:p>
    <w:p>
      <w:pPr>
        <w:spacing w:after="180"/>
        <w:ind w:firstLine="0"/>
      </w:pPr>
      <w:r>
        <w:rPr>
          <w:i/>
          <w:sz w:val="20"/>
        </w:rPr>
        <w:t>Источник: оценка и прогноз аналитического центра</w:t>
      </w:r>
    </w:p>
    <w:p>
      <w:r>
        <w:br w:type="page"/>
      </w:r>
    </w:p>
    <w:p>
      <w:pPr>
        <w:pStyle w:val="Heading1"/>
      </w:pPr>
      <w:r>
        <w:rPr>
          <w:b w:val="0"/>
          <w:i w:val="0"/>
        </w:rPr>
        <w:t>5. Отрасли применения редкоземельных металлов</w:t>
      </w:r>
    </w:p>
    <w:p>
      <w:pPr>
        <w:pStyle w:val="Heading2"/>
      </w:pPr>
      <w:r>
        <w:rPr>
          <w:b w:val="0"/>
          <w:i w:val="0"/>
        </w:rPr>
        <w:t>5.1. Структура мирового потребления</w:t>
      </w:r>
    </w:p>
    <w:p>
      <w:r>
        <w:rPr>
          <w:b w:val="0"/>
          <w:i w:val="0"/>
        </w:rPr>
        <w:t>Структура потребления редкоземельных металлов претерпела за последние два десятилетия принципиальные изменения. Если в начале 2000-х гг. основными направлениями были катализаторы, полировальные материалы, металлургия и люминофоры, то к середине 2020-х гг. доминирующим сегментом стало производство постоянных магнитов, на которое приходится около 43% физического объёма и более 80% стоимости мирового потребления.</w:t>
      </w:r>
    </w:p>
    <w:p>
      <w:r>
        <w:rPr>
          <w:b w:val="0"/>
          <w:i w:val="0"/>
        </w:rPr>
        <w:t>Причина смещения — структурный рост двух рынков: электрического транспорта и ветроэнергетики. Одновременно сокращались традиционные сегменты: люминофорный рынок практически исчез вследствие перехода от люминесцентных ламп и ЭЛТ-дисплеев к светодиодной технике, потребляющей на порядок меньше редких земель; рынок NiMH-аккумуляторов сократился под давлением литий-ионной технологии.</w:t>
      </w:r>
    </w:p>
    <w:p>
      <w:pPr>
        <w:keepNext/>
        <w:spacing w:before="160" w:after="60"/>
        <w:ind w:firstLine="0"/>
        <w:jc w:val="left"/>
      </w:pPr>
      <w:r>
        <w:rPr>
          <w:b/>
          <w:sz w:val="22"/>
        </w:rPr>
        <w:t>Таблица 33. Структура мирового потребления РЗМ по отраслям, 2015–2030 гг., тыс. т TREO</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Направление</w:t>
            </w:r>
          </w:p>
        </w:tc>
        <w:tc>
          <w:tcPr>
            <w:tcW w:type="dxa" w:w="1662"/>
            <w:shd w:val="clear" w:fill="DCE6F1"/>
          </w:tcPr>
          <w:p>
            <w:pPr>
              <w:spacing w:after="0" w:line="240" w:lineRule="auto"/>
              <w:ind w:firstLine="0"/>
              <w:jc w:val="center"/>
            </w:pPr>
            <w:r>
              <w:rPr>
                <w:b/>
                <w:i w:val="0"/>
                <w:sz w:val="20"/>
              </w:rPr>
              <w:t>2015</w:t>
            </w:r>
          </w:p>
        </w:tc>
        <w:tc>
          <w:tcPr>
            <w:tcW w:type="dxa" w:w="1662"/>
            <w:shd w:val="clear" w:fill="DCE6F1"/>
          </w:tcPr>
          <w:p>
            <w:pPr>
              <w:spacing w:after="0" w:line="240" w:lineRule="auto"/>
              <w:ind w:firstLine="0"/>
              <w:jc w:val="center"/>
            </w:pPr>
            <w:r>
              <w:rPr>
                <w:b/>
                <w:i w:val="0"/>
                <w:sz w:val="20"/>
              </w:rPr>
              <w:t>2020</w:t>
            </w:r>
          </w:p>
        </w:tc>
        <w:tc>
          <w:tcPr>
            <w:tcW w:type="dxa" w:w="1662"/>
            <w:shd w:val="clear" w:fill="DCE6F1"/>
          </w:tcPr>
          <w:p>
            <w:pPr>
              <w:spacing w:after="0" w:line="240" w:lineRule="auto"/>
              <w:ind w:firstLine="0"/>
              <w:jc w:val="center"/>
            </w:pPr>
            <w:r>
              <w:rPr>
                <w:b/>
                <w:i w:val="0"/>
                <w:sz w:val="20"/>
              </w:rPr>
              <w:t>2024</w:t>
            </w:r>
          </w:p>
        </w:tc>
        <w:tc>
          <w:tcPr>
            <w:tcW w:type="dxa" w:w="1662"/>
            <w:shd w:val="clear" w:fill="DCE6F1"/>
          </w:tcPr>
          <w:p>
            <w:pPr>
              <w:spacing w:after="0" w:line="240" w:lineRule="auto"/>
              <w:ind w:firstLine="0"/>
              <w:jc w:val="center"/>
            </w:pPr>
            <w:r>
              <w:rPr>
                <w:b/>
                <w:i w:val="0"/>
                <w:sz w:val="20"/>
              </w:rPr>
              <w:t>2027 (пр.)</w:t>
            </w:r>
          </w:p>
        </w:tc>
        <w:tc>
          <w:tcPr>
            <w:tcW w:type="dxa" w:w="1662"/>
            <w:shd w:val="clear" w:fill="DCE6F1"/>
          </w:tcPr>
          <w:p>
            <w:pPr>
              <w:spacing w:after="0" w:line="240" w:lineRule="auto"/>
              <w:ind w:firstLine="0"/>
              <w:jc w:val="center"/>
            </w:pPr>
            <w:r>
              <w:rPr>
                <w:b/>
                <w:i w:val="0"/>
                <w:sz w:val="20"/>
              </w:rPr>
              <w:t>2030 (пр.)</w:t>
            </w:r>
          </w:p>
        </w:tc>
      </w:tr>
      <w:tr>
        <w:tc>
          <w:tcPr>
            <w:tcW w:type="dxa" w:w="1662"/>
          </w:tcPr>
          <w:p>
            <w:pPr>
              <w:spacing w:after="0" w:line="240" w:lineRule="auto"/>
              <w:ind w:firstLine="0"/>
              <w:jc w:val="left"/>
            </w:pPr>
            <w:r>
              <w:rPr>
                <w:b w:val="0"/>
                <w:i w:val="0"/>
                <w:sz w:val="20"/>
              </w:rPr>
              <w:t>Постоянные магниты</w:t>
            </w:r>
          </w:p>
        </w:tc>
        <w:tc>
          <w:tcPr>
            <w:tcW w:type="dxa" w:w="1662"/>
          </w:tcPr>
          <w:p>
            <w:pPr>
              <w:spacing w:after="0" w:line="240" w:lineRule="auto"/>
              <w:ind w:firstLine="0"/>
              <w:jc w:val="center"/>
            </w:pPr>
            <w:r>
              <w:rPr>
                <w:b w:val="0"/>
                <w:i w:val="0"/>
                <w:sz w:val="20"/>
              </w:rPr>
              <w:t>27,5</w:t>
            </w:r>
          </w:p>
        </w:tc>
        <w:tc>
          <w:tcPr>
            <w:tcW w:type="dxa" w:w="1662"/>
          </w:tcPr>
          <w:p>
            <w:pPr>
              <w:spacing w:after="0" w:line="240" w:lineRule="auto"/>
              <w:ind w:firstLine="0"/>
              <w:jc w:val="center"/>
            </w:pPr>
            <w:r>
              <w:rPr>
                <w:b w:val="0"/>
                <w:i w:val="0"/>
                <w:sz w:val="20"/>
              </w:rPr>
              <w:t>46,0</w:t>
            </w:r>
          </w:p>
        </w:tc>
        <w:tc>
          <w:tcPr>
            <w:tcW w:type="dxa" w:w="1662"/>
          </w:tcPr>
          <w:p>
            <w:pPr>
              <w:spacing w:after="0" w:line="240" w:lineRule="auto"/>
              <w:ind w:firstLine="0"/>
              <w:jc w:val="center"/>
            </w:pPr>
            <w:r>
              <w:rPr>
                <w:b w:val="0"/>
                <w:i w:val="0"/>
                <w:sz w:val="20"/>
              </w:rPr>
              <w:t>86,0</w:t>
            </w:r>
          </w:p>
        </w:tc>
        <w:tc>
          <w:tcPr>
            <w:tcW w:type="dxa" w:w="1662"/>
          </w:tcPr>
          <w:p>
            <w:pPr>
              <w:spacing w:after="0" w:line="240" w:lineRule="auto"/>
              <w:ind w:firstLine="0"/>
              <w:jc w:val="center"/>
            </w:pPr>
            <w:r>
              <w:rPr>
                <w:b w:val="0"/>
                <w:i w:val="0"/>
                <w:sz w:val="20"/>
              </w:rPr>
              <w:t>118,0</w:t>
            </w:r>
          </w:p>
        </w:tc>
        <w:tc>
          <w:tcPr>
            <w:tcW w:type="dxa" w:w="1662"/>
          </w:tcPr>
          <w:p>
            <w:pPr>
              <w:spacing w:after="0" w:line="240" w:lineRule="auto"/>
              <w:ind w:firstLine="0"/>
              <w:jc w:val="center"/>
            </w:pPr>
            <w:r>
              <w:rPr>
                <w:b w:val="0"/>
                <w:i w:val="0"/>
                <w:sz w:val="20"/>
              </w:rPr>
              <w:t>158,0</w:t>
            </w:r>
          </w:p>
        </w:tc>
      </w:tr>
      <w:tr>
        <w:tc>
          <w:tcPr>
            <w:tcW w:type="dxa" w:w="1662"/>
          </w:tcPr>
          <w:p>
            <w:pPr>
              <w:spacing w:after="0" w:line="240" w:lineRule="auto"/>
              <w:ind w:firstLine="0"/>
              <w:jc w:val="left"/>
            </w:pPr>
            <w:r>
              <w:rPr>
                <w:b w:val="0"/>
                <w:i w:val="0"/>
                <w:sz w:val="20"/>
              </w:rPr>
              <w:t>Катализаторы (FCC + авто)</w:t>
            </w:r>
          </w:p>
        </w:tc>
        <w:tc>
          <w:tcPr>
            <w:tcW w:type="dxa" w:w="1662"/>
          </w:tcPr>
          <w:p>
            <w:pPr>
              <w:spacing w:after="0" w:line="240" w:lineRule="auto"/>
              <w:ind w:firstLine="0"/>
              <w:jc w:val="center"/>
            </w:pPr>
            <w:r>
              <w:rPr>
                <w:b w:val="0"/>
                <w:i w:val="0"/>
                <w:sz w:val="20"/>
              </w:rPr>
              <w:t>26,0</w:t>
            </w:r>
          </w:p>
        </w:tc>
        <w:tc>
          <w:tcPr>
            <w:tcW w:type="dxa" w:w="1662"/>
          </w:tcPr>
          <w:p>
            <w:pPr>
              <w:spacing w:after="0" w:line="240" w:lineRule="auto"/>
              <w:ind w:firstLine="0"/>
              <w:jc w:val="center"/>
            </w:pPr>
            <w:r>
              <w:rPr>
                <w:b w:val="0"/>
                <w:i w:val="0"/>
                <w:sz w:val="20"/>
              </w:rPr>
              <w:t>25,5</w:t>
            </w:r>
          </w:p>
        </w:tc>
        <w:tc>
          <w:tcPr>
            <w:tcW w:type="dxa" w:w="1662"/>
          </w:tcPr>
          <w:p>
            <w:pPr>
              <w:spacing w:after="0" w:line="240" w:lineRule="auto"/>
              <w:ind w:firstLine="0"/>
              <w:jc w:val="center"/>
            </w:pPr>
            <w:r>
              <w:rPr>
                <w:b w:val="0"/>
                <w:i w:val="0"/>
                <w:sz w:val="20"/>
              </w:rPr>
              <w:t>26,5</w:t>
            </w:r>
          </w:p>
        </w:tc>
        <w:tc>
          <w:tcPr>
            <w:tcW w:type="dxa" w:w="1662"/>
          </w:tcPr>
          <w:p>
            <w:pPr>
              <w:spacing w:after="0" w:line="240" w:lineRule="auto"/>
              <w:ind w:firstLine="0"/>
              <w:jc w:val="center"/>
            </w:pPr>
            <w:r>
              <w:rPr>
                <w:b w:val="0"/>
                <w:i w:val="0"/>
                <w:sz w:val="20"/>
              </w:rPr>
              <w:t>26,0</w:t>
            </w:r>
          </w:p>
        </w:tc>
        <w:tc>
          <w:tcPr>
            <w:tcW w:type="dxa" w:w="1662"/>
          </w:tcPr>
          <w:p>
            <w:pPr>
              <w:spacing w:after="0" w:line="240" w:lineRule="auto"/>
              <w:ind w:firstLine="0"/>
              <w:jc w:val="center"/>
            </w:pPr>
            <w:r>
              <w:rPr>
                <w:b w:val="0"/>
                <w:i w:val="0"/>
                <w:sz w:val="20"/>
              </w:rPr>
              <w:t>25,0</w:t>
            </w:r>
          </w:p>
        </w:tc>
      </w:tr>
      <w:tr>
        <w:tc>
          <w:tcPr>
            <w:tcW w:type="dxa" w:w="1662"/>
          </w:tcPr>
          <w:p>
            <w:pPr>
              <w:spacing w:after="0" w:line="240" w:lineRule="auto"/>
              <w:ind w:firstLine="0"/>
              <w:jc w:val="left"/>
            </w:pPr>
            <w:r>
              <w:rPr>
                <w:b w:val="0"/>
                <w:i w:val="0"/>
                <w:sz w:val="20"/>
              </w:rPr>
              <w:t>Полировальные материалы</w:t>
            </w:r>
          </w:p>
        </w:tc>
        <w:tc>
          <w:tcPr>
            <w:tcW w:type="dxa" w:w="1662"/>
          </w:tcPr>
          <w:p>
            <w:pPr>
              <w:spacing w:after="0" w:line="240" w:lineRule="auto"/>
              <w:ind w:firstLine="0"/>
              <w:jc w:val="center"/>
            </w:pPr>
            <w:r>
              <w:rPr>
                <w:b w:val="0"/>
                <w:i w:val="0"/>
                <w:sz w:val="20"/>
              </w:rPr>
              <w:t>18,5</w:t>
            </w:r>
          </w:p>
        </w:tc>
        <w:tc>
          <w:tcPr>
            <w:tcW w:type="dxa" w:w="1662"/>
          </w:tcPr>
          <w:p>
            <w:pPr>
              <w:spacing w:after="0" w:line="240" w:lineRule="auto"/>
              <w:ind w:firstLine="0"/>
              <w:jc w:val="center"/>
            </w:pPr>
            <w:r>
              <w:rPr>
                <w:b w:val="0"/>
                <w:i w:val="0"/>
                <w:sz w:val="20"/>
              </w:rPr>
              <w:t>21,0</w:t>
            </w:r>
          </w:p>
        </w:tc>
        <w:tc>
          <w:tcPr>
            <w:tcW w:type="dxa" w:w="1662"/>
          </w:tcPr>
          <w:p>
            <w:pPr>
              <w:spacing w:after="0" w:line="240" w:lineRule="auto"/>
              <w:ind w:firstLine="0"/>
              <w:jc w:val="center"/>
            </w:pPr>
            <w:r>
              <w:rPr>
                <w:b w:val="0"/>
                <w:i w:val="0"/>
                <w:sz w:val="20"/>
              </w:rPr>
              <w:t>24,0</w:t>
            </w:r>
          </w:p>
        </w:tc>
        <w:tc>
          <w:tcPr>
            <w:tcW w:type="dxa" w:w="1662"/>
          </w:tcPr>
          <w:p>
            <w:pPr>
              <w:spacing w:after="0" w:line="240" w:lineRule="auto"/>
              <w:ind w:firstLine="0"/>
              <w:jc w:val="center"/>
            </w:pPr>
            <w:r>
              <w:rPr>
                <w:b w:val="0"/>
                <w:i w:val="0"/>
                <w:sz w:val="20"/>
              </w:rPr>
              <w:t>26,5</w:t>
            </w:r>
          </w:p>
        </w:tc>
        <w:tc>
          <w:tcPr>
            <w:tcW w:type="dxa" w:w="1662"/>
          </w:tcPr>
          <w:p>
            <w:pPr>
              <w:spacing w:after="0" w:line="240" w:lineRule="auto"/>
              <w:ind w:firstLine="0"/>
              <w:jc w:val="center"/>
            </w:pPr>
            <w:r>
              <w:rPr>
                <w:b w:val="0"/>
                <w:i w:val="0"/>
                <w:sz w:val="20"/>
              </w:rPr>
              <w:t>29,0</w:t>
            </w:r>
          </w:p>
        </w:tc>
      </w:tr>
      <w:tr>
        <w:tc>
          <w:tcPr>
            <w:tcW w:type="dxa" w:w="1662"/>
          </w:tcPr>
          <w:p>
            <w:pPr>
              <w:spacing w:after="0" w:line="240" w:lineRule="auto"/>
              <w:ind w:firstLine="0"/>
              <w:jc w:val="left"/>
            </w:pPr>
            <w:r>
              <w:rPr>
                <w:b w:val="0"/>
                <w:i w:val="0"/>
                <w:sz w:val="20"/>
              </w:rPr>
              <w:t>Металлургия и сплавы</w:t>
            </w:r>
          </w:p>
        </w:tc>
        <w:tc>
          <w:tcPr>
            <w:tcW w:type="dxa" w:w="1662"/>
          </w:tcPr>
          <w:p>
            <w:pPr>
              <w:spacing w:after="0" w:line="240" w:lineRule="auto"/>
              <w:ind w:firstLine="0"/>
              <w:jc w:val="center"/>
            </w:pPr>
            <w:r>
              <w:rPr>
                <w:b w:val="0"/>
                <w:i w:val="0"/>
                <w:sz w:val="20"/>
              </w:rPr>
              <w:t>19,0</w:t>
            </w:r>
          </w:p>
        </w:tc>
        <w:tc>
          <w:tcPr>
            <w:tcW w:type="dxa" w:w="1662"/>
          </w:tcPr>
          <w:p>
            <w:pPr>
              <w:spacing w:after="0" w:line="240" w:lineRule="auto"/>
              <w:ind w:firstLine="0"/>
              <w:jc w:val="center"/>
            </w:pPr>
            <w:r>
              <w:rPr>
                <w:b w:val="0"/>
                <w:i w:val="0"/>
                <w:sz w:val="20"/>
              </w:rPr>
              <w:t>20,5</w:t>
            </w:r>
          </w:p>
        </w:tc>
        <w:tc>
          <w:tcPr>
            <w:tcW w:type="dxa" w:w="1662"/>
          </w:tcPr>
          <w:p>
            <w:pPr>
              <w:spacing w:after="0" w:line="240" w:lineRule="auto"/>
              <w:ind w:firstLine="0"/>
              <w:jc w:val="center"/>
            </w:pPr>
            <w:r>
              <w:rPr>
                <w:b w:val="0"/>
                <w:i w:val="0"/>
                <w:sz w:val="20"/>
              </w:rPr>
              <w:t>22,0</w:t>
            </w:r>
          </w:p>
        </w:tc>
        <w:tc>
          <w:tcPr>
            <w:tcW w:type="dxa" w:w="1662"/>
          </w:tcPr>
          <w:p>
            <w:pPr>
              <w:spacing w:after="0" w:line="240" w:lineRule="auto"/>
              <w:ind w:firstLine="0"/>
              <w:jc w:val="center"/>
            </w:pPr>
            <w:r>
              <w:rPr>
                <w:b w:val="0"/>
                <w:i w:val="0"/>
                <w:sz w:val="20"/>
              </w:rPr>
              <w:t>23,5</w:t>
            </w:r>
          </w:p>
        </w:tc>
        <w:tc>
          <w:tcPr>
            <w:tcW w:type="dxa" w:w="1662"/>
          </w:tcPr>
          <w:p>
            <w:pPr>
              <w:spacing w:after="0" w:line="240" w:lineRule="auto"/>
              <w:ind w:firstLine="0"/>
              <w:jc w:val="center"/>
            </w:pPr>
            <w:r>
              <w:rPr>
                <w:b w:val="0"/>
                <w:i w:val="0"/>
                <w:sz w:val="20"/>
              </w:rPr>
              <w:t>25,0</w:t>
            </w:r>
          </w:p>
        </w:tc>
      </w:tr>
      <w:tr>
        <w:tc>
          <w:tcPr>
            <w:tcW w:type="dxa" w:w="1662"/>
          </w:tcPr>
          <w:p>
            <w:pPr>
              <w:spacing w:after="0" w:line="240" w:lineRule="auto"/>
              <w:ind w:firstLine="0"/>
              <w:jc w:val="left"/>
            </w:pPr>
            <w:r>
              <w:rPr>
                <w:b w:val="0"/>
                <w:i w:val="0"/>
                <w:sz w:val="20"/>
              </w:rPr>
              <w:t>Стекло и оптика</w:t>
            </w:r>
          </w:p>
        </w:tc>
        <w:tc>
          <w:tcPr>
            <w:tcW w:type="dxa" w:w="1662"/>
          </w:tcPr>
          <w:p>
            <w:pPr>
              <w:spacing w:after="0" w:line="240" w:lineRule="auto"/>
              <w:ind w:firstLine="0"/>
              <w:jc w:val="center"/>
            </w:pPr>
            <w:r>
              <w:rPr>
                <w:b w:val="0"/>
                <w:i w:val="0"/>
                <w:sz w:val="20"/>
              </w:rPr>
              <w:t>11,0</w:t>
            </w:r>
          </w:p>
        </w:tc>
        <w:tc>
          <w:tcPr>
            <w:tcW w:type="dxa" w:w="1662"/>
          </w:tcPr>
          <w:p>
            <w:pPr>
              <w:spacing w:after="0" w:line="240" w:lineRule="auto"/>
              <w:ind w:firstLine="0"/>
              <w:jc w:val="center"/>
            </w:pPr>
            <w:r>
              <w:rPr>
                <w:b w:val="0"/>
                <w:i w:val="0"/>
                <w:sz w:val="20"/>
              </w:rPr>
              <w:t>11,5</w:t>
            </w:r>
          </w:p>
        </w:tc>
        <w:tc>
          <w:tcPr>
            <w:tcW w:type="dxa" w:w="1662"/>
          </w:tcPr>
          <w:p>
            <w:pPr>
              <w:spacing w:after="0" w:line="240" w:lineRule="auto"/>
              <w:ind w:firstLine="0"/>
              <w:jc w:val="center"/>
            </w:pPr>
            <w:r>
              <w:rPr>
                <w:b w:val="0"/>
                <w:i w:val="0"/>
                <w:sz w:val="20"/>
              </w:rPr>
              <w:t>12,5</w:t>
            </w:r>
          </w:p>
        </w:tc>
        <w:tc>
          <w:tcPr>
            <w:tcW w:type="dxa" w:w="1662"/>
          </w:tcPr>
          <w:p>
            <w:pPr>
              <w:spacing w:after="0" w:line="240" w:lineRule="auto"/>
              <w:ind w:firstLine="0"/>
              <w:jc w:val="center"/>
            </w:pPr>
            <w:r>
              <w:rPr>
                <w:b w:val="0"/>
                <w:i w:val="0"/>
                <w:sz w:val="20"/>
              </w:rPr>
              <w:t>13,0</w:t>
            </w:r>
          </w:p>
        </w:tc>
        <w:tc>
          <w:tcPr>
            <w:tcW w:type="dxa" w:w="1662"/>
          </w:tcPr>
          <w:p>
            <w:pPr>
              <w:spacing w:after="0" w:line="240" w:lineRule="auto"/>
              <w:ind w:firstLine="0"/>
              <w:jc w:val="center"/>
            </w:pPr>
            <w:r>
              <w:rPr>
                <w:b w:val="0"/>
                <w:i w:val="0"/>
                <w:sz w:val="20"/>
              </w:rPr>
              <w:t>13,5</w:t>
            </w:r>
          </w:p>
        </w:tc>
      </w:tr>
      <w:tr>
        <w:tc>
          <w:tcPr>
            <w:tcW w:type="dxa" w:w="1662"/>
          </w:tcPr>
          <w:p>
            <w:pPr>
              <w:spacing w:after="0" w:line="240" w:lineRule="auto"/>
              <w:ind w:firstLine="0"/>
              <w:jc w:val="left"/>
            </w:pPr>
            <w:r>
              <w:rPr>
                <w:b w:val="0"/>
                <w:i w:val="0"/>
                <w:sz w:val="20"/>
              </w:rPr>
              <w:t>Керамика</w:t>
            </w:r>
          </w:p>
        </w:tc>
        <w:tc>
          <w:tcPr>
            <w:tcW w:type="dxa" w:w="1662"/>
          </w:tcPr>
          <w:p>
            <w:pPr>
              <w:spacing w:after="0" w:line="240" w:lineRule="auto"/>
              <w:ind w:firstLine="0"/>
              <w:jc w:val="center"/>
            </w:pPr>
            <w:r>
              <w:rPr>
                <w:b w:val="0"/>
                <w:i w:val="0"/>
                <w:sz w:val="20"/>
              </w:rPr>
              <w:t>7,5</w:t>
            </w:r>
          </w:p>
        </w:tc>
        <w:tc>
          <w:tcPr>
            <w:tcW w:type="dxa" w:w="1662"/>
          </w:tcPr>
          <w:p>
            <w:pPr>
              <w:spacing w:after="0" w:line="240" w:lineRule="auto"/>
              <w:ind w:firstLine="0"/>
              <w:jc w:val="center"/>
            </w:pPr>
            <w:r>
              <w:rPr>
                <w:b w:val="0"/>
                <w:i w:val="0"/>
                <w:sz w:val="20"/>
              </w:rPr>
              <w:t>8,5</w:t>
            </w:r>
          </w:p>
        </w:tc>
        <w:tc>
          <w:tcPr>
            <w:tcW w:type="dxa" w:w="1662"/>
          </w:tcPr>
          <w:p>
            <w:pPr>
              <w:spacing w:after="0" w:line="240" w:lineRule="auto"/>
              <w:ind w:firstLine="0"/>
              <w:jc w:val="center"/>
            </w:pPr>
            <w:r>
              <w:rPr>
                <w:b w:val="0"/>
                <w:i w:val="0"/>
                <w:sz w:val="20"/>
              </w:rPr>
              <w:t>10,0</w:t>
            </w:r>
          </w:p>
        </w:tc>
        <w:tc>
          <w:tcPr>
            <w:tcW w:type="dxa" w:w="1662"/>
          </w:tcPr>
          <w:p>
            <w:pPr>
              <w:spacing w:after="0" w:line="240" w:lineRule="auto"/>
              <w:ind w:firstLine="0"/>
              <w:jc w:val="center"/>
            </w:pPr>
            <w:r>
              <w:rPr>
                <w:b w:val="0"/>
                <w:i w:val="0"/>
                <w:sz w:val="20"/>
              </w:rPr>
              <w:t>11,5</w:t>
            </w:r>
          </w:p>
        </w:tc>
        <w:tc>
          <w:tcPr>
            <w:tcW w:type="dxa" w:w="1662"/>
          </w:tcPr>
          <w:p>
            <w:pPr>
              <w:spacing w:after="0" w:line="240" w:lineRule="auto"/>
              <w:ind w:firstLine="0"/>
              <w:jc w:val="center"/>
            </w:pPr>
            <w:r>
              <w:rPr>
                <w:b w:val="0"/>
                <w:i w:val="0"/>
                <w:sz w:val="20"/>
              </w:rPr>
              <w:t>13,0</w:t>
            </w:r>
          </w:p>
        </w:tc>
      </w:tr>
      <w:tr>
        <w:tc>
          <w:tcPr>
            <w:tcW w:type="dxa" w:w="1662"/>
          </w:tcPr>
          <w:p>
            <w:pPr>
              <w:spacing w:after="0" w:line="240" w:lineRule="auto"/>
              <w:ind w:firstLine="0"/>
              <w:jc w:val="left"/>
            </w:pPr>
            <w:r>
              <w:rPr>
                <w:b w:val="0"/>
                <w:i w:val="0"/>
                <w:sz w:val="20"/>
              </w:rPr>
              <w:t>Люминофоры и лазеры</w:t>
            </w:r>
          </w:p>
        </w:tc>
        <w:tc>
          <w:tcPr>
            <w:tcW w:type="dxa" w:w="1662"/>
          </w:tcPr>
          <w:p>
            <w:pPr>
              <w:spacing w:after="0" w:line="240" w:lineRule="auto"/>
              <w:ind w:firstLine="0"/>
              <w:jc w:val="center"/>
            </w:pPr>
            <w:r>
              <w:rPr>
                <w:b w:val="0"/>
                <w:i w:val="0"/>
                <w:sz w:val="20"/>
              </w:rPr>
              <w:t>8,0</w:t>
            </w:r>
          </w:p>
        </w:tc>
        <w:tc>
          <w:tcPr>
            <w:tcW w:type="dxa" w:w="1662"/>
          </w:tcPr>
          <w:p>
            <w:pPr>
              <w:spacing w:after="0" w:line="240" w:lineRule="auto"/>
              <w:ind w:firstLine="0"/>
              <w:jc w:val="center"/>
            </w:pPr>
            <w:r>
              <w:rPr>
                <w:b w:val="0"/>
                <w:i w:val="0"/>
                <w:sz w:val="20"/>
              </w:rPr>
              <w:t>5,0</w:t>
            </w:r>
          </w:p>
        </w:tc>
        <w:tc>
          <w:tcPr>
            <w:tcW w:type="dxa" w:w="1662"/>
          </w:tcPr>
          <w:p>
            <w:pPr>
              <w:spacing w:after="0" w:line="240" w:lineRule="auto"/>
              <w:ind w:firstLine="0"/>
              <w:jc w:val="center"/>
            </w:pPr>
            <w:r>
              <w:rPr>
                <w:b w:val="0"/>
                <w:i w:val="0"/>
                <w:sz w:val="20"/>
              </w:rPr>
              <w:t>3,5</w:t>
            </w:r>
          </w:p>
        </w:tc>
        <w:tc>
          <w:tcPr>
            <w:tcW w:type="dxa" w:w="1662"/>
          </w:tcPr>
          <w:p>
            <w:pPr>
              <w:spacing w:after="0" w:line="240" w:lineRule="auto"/>
              <w:ind w:firstLine="0"/>
              <w:jc w:val="center"/>
            </w:pPr>
            <w:r>
              <w:rPr>
                <w:b w:val="0"/>
                <w:i w:val="0"/>
                <w:sz w:val="20"/>
              </w:rPr>
              <w:t>3,2</w:t>
            </w:r>
          </w:p>
        </w:tc>
        <w:tc>
          <w:tcPr>
            <w:tcW w:type="dxa" w:w="1662"/>
          </w:tcPr>
          <w:p>
            <w:pPr>
              <w:spacing w:after="0" w:line="240" w:lineRule="auto"/>
              <w:ind w:firstLine="0"/>
              <w:jc w:val="center"/>
            </w:pPr>
            <w:r>
              <w:rPr>
                <w:b w:val="0"/>
                <w:i w:val="0"/>
                <w:sz w:val="20"/>
              </w:rPr>
              <w:t>3,0</w:t>
            </w:r>
          </w:p>
        </w:tc>
      </w:tr>
      <w:tr>
        <w:tc>
          <w:tcPr>
            <w:tcW w:type="dxa" w:w="1662"/>
          </w:tcPr>
          <w:p>
            <w:pPr>
              <w:spacing w:after="0" w:line="240" w:lineRule="auto"/>
              <w:ind w:firstLine="0"/>
              <w:jc w:val="left"/>
            </w:pPr>
            <w:r>
              <w:rPr>
                <w:b w:val="0"/>
                <w:i w:val="0"/>
                <w:sz w:val="20"/>
              </w:rPr>
              <w:t>Аккумуляторы NiMH</w:t>
            </w:r>
          </w:p>
        </w:tc>
        <w:tc>
          <w:tcPr>
            <w:tcW w:type="dxa" w:w="1662"/>
          </w:tcPr>
          <w:p>
            <w:pPr>
              <w:spacing w:after="0" w:line="240" w:lineRule="auto"/>
              <w:ind w:firstLine="0"/>
              <w:jc w:val="center"/>
            </w:pPr>
            <w:r>
              <w:rPr>
                <w:b w:val="0"/>
                <w:i w:val="0"/>
                <w:sz w:val="20"/>
              </w:rPr>
              <w:t>12,0</w:t>
            </w:r>
          </w:p>
        </w:tc>
        <w:tc>
          <w:tcPr>
            <w:tcW w:type="dxa" w:w="1662"/>
          </w:tcPr>
          <w:p>
            <w:pPr>
              <w:spacing w:after="0" w:line="240" w:lineRule="auto"/>
              <w:ind w:firstLine="0"/>
              <w:jc w:val="center"/>
            </w:pPr>
            <w:r>
              <w:rPr>
                <w:b w:val="0"/>
                <w:i w:val="0"/>
                <w:sz w:val="20"/>
              </w:rPr>
              <w:t>9,0</w:t>
            </w:r>
          </w:p>
        </w:tc>
        <w:tc>
          <w:tcPr>
            <w:tcW w:type="dxa" w:w="1662"/>
          </w:tcPr>
          <w:p>
            <w:pPr>
              <w:spacing w:after="0" w:line="240" w:lineRule="auto"/>
              <w:ind w:firstLine="0"/>
              <w:jc w:val="center"/>
            </w:pPr>
            <w:r>
              <w:rPr>
                <w:b w:val="0"/>
                <w:i w:val="0"/>
                <w:sz w:val="20"/>
              </w:rPr>
              <w:t>6,5</w:t>
            </w:r>
          </w:p>
        </w:tc>
        <w:tc>
          <w:tcPr>
            <w:tcW w:type="dxa" w:w="1662"/>
          </w:tcPr>
          <w:p>
            <w:pPr>
              <w:spacing w:after="0" w:line="240" w:lineRule="auto"/>
              <w:ind w:firstLine="0"/>
              <w:jc w:val="center"/>
            </w:pPr>
            <w:r>
              <w:rPr>
                <w:b w:val="0"/>
                <w:i w:val="0"/>
                <w:sz w:val="20"/>
              </w:rPr>
              <w:t>5,0</w:t>
            </w:r>
          </w:p>
        </w:tc>
        <w:tc>
          <w:tcPr>
            <w:tcW w:type="dxa" w:w="1662"/>
          </w:tcPr>
          <w:p>
            <w:pPr>
              <w:spacing w:after="0" w:line="240" w:lineRule="auto"/>
              <w:ind w:firstLine="0"/>
              <w:jc w:val="center"/>
            </w:pPr>
            <w:r>
              <w:rPr>
                <w:b w:val="0"/>
                <w:i w:val="0"/>
                <w:sz w:val="20"/>
              </w:rPr>
              <w:t>4,0</w:t>
            </w:r>
          </w:p>
        </w:tc>
      </w:tr>
      <w:tr>
        <w:tc>
          <w:tcPr>
            <w:tcW w:type="dxa" w:w="1662"/>
          </w:tcPr>
          <w:p>
            <w:pPr>
              <w:spacing w:after="0" w:line="240" w:lineRule="auto"/>
              <w:ind w:firstLine="0"/>
              <w:jc w:val="left"/>
            </w:pPr>
            <w:r>
              <w:rPr>
                <w:b w:val="0"/>
                <w:i w:val="0"/>
                <w:sz w:val="20"/>
              </w:rPr>
              <w:t>Прочие</w:t>
            </w:r>
          </w:p>
        </w:tc>
        <w:tc>
          <w:tcPr>
            <w:tcW w:type="dxa" w:w="1662"/>
          </w:tcPr>
          <w:p>
            <w:pPr>
              <w:spacing w:after="0" w:line="240" w:lineRule="auto"/>
              <w:ind w:firstLine="0"/>
              <w:jc w:val="center"/>
            </w:pPr>
            <w:r>
              <w:rPr>
                <w:b w:val="0"/>
                <w:i w:val="0"/>
                <w:sz w:val="20"/>
              </w:rPr>
              <w:t>5,5</w:t>
            </w:r>
          </w:p>
        </w:tc>
        <w:tc>
          <w:tcPr>
            <w:tcW w:type="dxa" w:w="1662"/>
          </w:tcPr>
          <w:p>
            <w:pPr>
              <w:spacing w:after="0" w:line="240" w:lineRule="auto"/>
              <w:ind w:firstLine="0"/>
              <w:jc w:val="center"/>
            </w:pPr>
            <w:r>
              <w:rPr>
                <w:b w:val="0"/>
                <w:i w:val="0"/>
                <w:sz w:val="20"/>
              </w:rPr>
              <w:t>6,0</w:t>
            </w:r>
          </w:p>
        </w:tc>
        <w:tc>
          <w:tcPr>
            <w:tcW w:type="dxa" w:w="1662"/>
          </w:tcPr>
          <w:p>
            <w:pPr>
              <w:spacing w:after="0" w:line="240" w:lineRule="auto"/>
              <w:ind w:firstLine="0"/>
              <w:jc w:val="center"/>
            </w:pPr>
            <w:r>
              <w:rPr>
                <w:b w:val="0"/>
                <w:i w:val="0"/>
                <w:sz w:val="20"/>
              </w:rPr>
              <w:t>7,0</w:t>
            </w:r>
          </w:p>
        </w:tc>
        <w:tc>
          <w:tcPr>
            <w:tcW w:type="dxa" w:w="1662"/>
          </w:tcPr>
          <w:p>
            <w:pPr>
              <w:spacing w:after="0" w:line="240" w:lineRule="auto"/>
              <w:ind w:firstLine="0"/>
              <w:jc w:val="center"/>
            </w:pPr>
            <w:r>
              <w:rPr>
                <w:b w:val="0"/>
                <w:i w:val="0"/>
                <w:sz w:val="20"/>
              </w:rPr>
              <w:t>8,0</w:t>
            </w:r>
          </w:p>
        </w:tc>
        <w:tc>
          <w:tcPr>
            <w:tcW w:type="dxa" w:w="1662"/>
          </w:tcPr>
          <w:p>
            <w:pPr>
              <w:spacing w:after="0" w:line="240" w:lineRule="auto"/>
              <w:ind w:firstLine="0"/>
              <w:jc w:val="center"/>
            </w:pPr>
            <w:r>
              <w:rPr>
                <w:b w:val="0"/>
                <w:i w:val="0"/>
                <w:sz w:val="20"/>
              </w:rPr>
              <w:t>9,5</w:t>
            </w:r>
          </w:p>
        </w:tc>
      </w:tr>
      <w:tr>
        <w:tc>
          <w:tcPr>
            <w:tcW w:type="dxa" w:w="1662"/>
          </w:tcPr>
          <w:p>
            <w:pPr>
              <w:spacing w:after="0" w:line="240" w:lineRule="auto"/>
              <w:ind w:firstLine="0"/>
              <w:jc w:val="left"/>
            </w:pPr>
            <w:r>
              <w:rPr>
                <w:b/>
                <w:i w:val="0"/>
                <w:sz w:val="20"/>
              </w:rPr>
              <w:t>Всего</w:t>
            </w:r>
          </w:p>
        </w:tc>
        <w:tc>
          <w:tcPr>
            <w:tcW w:type="dxa" w:w="1662"/>
          </w:tcPr>
          <w:p>
            <w:pPr>
              <w:spacing w:after="0" w:line="240" w:lineRule="auto"/>
              <w:ind w:firstLine="0"/>
              <w:jc w:val="center"/>
            </w:pPr>
            <w:r>
              <w:rPr>
                <w:b/>
                <w:i w:val="0"/>
                <w:sz w:val="20"/>
              </w:rPr>
              <w:t>135,0</w:t>
            </w:r>
          </w:p>
        </w:tc>
        <w:tc>
          <w:tcPr>
            <w:tcW w:type="dxa" w:w="1662"/>
          </w:tcPr>
          <w:p>
            <w:pPr>
              <w:spacing w:after="0" w:line="240" w:lineRule="auto"/>
              <w:ind w:firstLine="0"/>
              <w:jc w:val="center"/>
            </w:pPr>
            <w:r>
              <w:rPr>
                <w:b/>
                <w:i w:val="0"/>
                <w:sz w:val="20"/>
              </w:rPr>
              <w:t>153,0</w:t>
            </w:r>
          </w:p>
        </w:tc>
        <w:tc>
          <w:tcPr>
            <w:tcW w:type="dxa" w:w="1662"/>
          </w:tcPr>
          <w:p>
            <w:pPr>
              <w:spacing w:after="0" w:line="240" w:lineRule="auto"/>
              <w:ind w:firstLine="0"/>
              <w:jc w:val="center"/>
            </w:pPr>
            <w:r>
              <w:rPr>
                <w:b/>
                <w:i w:val="0"/>
                <w:sz w:val="20"/>
              </w:rPr>
              <w:t>198,0</w:t>
            </w:r>
          </w:p>
        </w:tc>
        <w:tc>
          <w:tcPr>
            <w:tcW w:type="dxa" w:w="1662"/>
          </w:tcPr>
          <w:p>
            <w:pPr>
              <w:spacing w:after="0" w:line="240" w:lineRule="auto"/>
              <w:ind w:firstLine="0"/>
              <w:jc w:val="center"/>
            </w:pPr>
            <w:r>
              <w:rPr>
                <w:b/>
                <w:i w:val="0"/>
                <w:sz w:val="20"/>
              </w:rPr>
              <w:t>234,7</w:t>
            </w:r>
          </w:p>
        </w:tc>
        <w:tc>
          <w:tcPr>
            <w:tcW w:type="dxa" w:w="1662"/>
          </w:tcPr>
          <w:p>
            <w:pPr>
              <w:spacing w:after="0" w:line="240" w:lineRule="auto"/>
              <w:ind w:firstLine="0"/>
              <w:jc w:val="center"/>
            </w:pPr>
            <w:r>
              <w:rPr>
                <w:b/>
                <w:i w:val="0"/>
                <w:sz w:val="20"/>
              </w:rPr>
              <w:t>280,0</w:t>
            </w:r>
          </w:p>
        </w:tc>
      </w:tr>
    </w:tbl>
    <w:p>
      <w:pPr>
        <w:spacing w:after="180"/>
        <w:ind w:firstLine="0"/>
      </w:pPr>
      <w:r>
        <w:rPr>
          <w:i/>
          <w:sz w:val="20"/>
        </w:rPr>
        <w:t>Источник: аналитический центр по данным Adamas Intelligence, отраслевых ассоциаций; 2030 г. — прогноз (базовый сценарий)</w:t>
      </w:r>
    </w:p>
    <w:p>
      <w:pPr>
        <w:keepNext/>
        <w:spacing w:before="160" w:after="60"/>
        <w:ind w:firstLine="0"/>
        <w:jc w:val="left"/>
      </w:pPr>
      <w:r>
        <w:rPr>
          <w:b/>
          <w:sz w:val="22"/>
        </w:rPr>
        <w:t>Рисунок 24. Структура мирового потребления РЗМ по отраслям, 2015–2030 гг., тыс. т TREO</w:t>
      </w:r>
    </w:p>
    <w:p>
      <w:pPr>
        <w:ind w:firstLine="0"/>
        <w:jc w:val="center"/>
      </w:pPr>
      <w:r>
        <w:drawing>
          <wp:inline xmlns:a="http://schemas.openxmlformats.org/drawingml/2006/main" xmlns:pic="http://schemas.openxmlformats.org/drawingml/2006/picture">
            <wp:extent cx="5580000" cy="2711095"/>
            <wp:docPr id="24" name="Picture 24"/>
            <wp:cNvGraphicFramePr>
              <a:graphicFrameLocks noChangeAspect="1"/>
            </wp:cNvGraphicFramePr>
            <a:graphic>
              <a:graphicData uri="http://schemas.openxmlformats.org/drawingml/2006/picture">
                <pic:pic>
                  <pic:nvPicPr>
                    <pic:cNvPr id="0" name="fig24.png"/>
                    <pic:cNvPicPr/>
                  </pic:nvPicPr>
                  <pic:blipFill>
                    <a:blip r:embed="rId34"/>
                    <a:stretch>
                      <a:fillRect/>
                    </a:stretch>
                  </pic:blipFill>
                  <pic:spPr>
                    <a:xfrm>
                      <a:off x="0" y="0"/>
                      <a:ext cx="5580000" cy="2711095"/>
                    </a:xfrm>
                    <a:prstGeom prst="rect"/>
                  </pic:spPr>
                </pic:pic>
              </a:graphicData>
            </a:graphic>
          </wp:inline>
        </w:drawing>
      </w:r>
    </w:p>
    <w:p>
      <w:pPr>
        <w:spacing w:after="180"/>
        <w:ind w:firstLine="0"/>
      </w:pPr>
      <w:r>
        <w:rPr>
          <w:i/>
          <w:sz w:val="20"/>
        </w:rPr>
        <w:t>Источник: аналитический центр (табл. 33)</w:t>
      </w:r>
    </w:p>
    <w:p>
      <w:pPr>
        <w:keepNext/>
        <w:spacing w:before="160" w:after="60"/>
        <w:ind w:firstLine="0"/>
        <w:jc w:val="left"/>
      </w:pPr>
      <w:r>
        <w:rPr>
          <w:b/>
          <w:sz w:val="22"/>
        </w:rPr>
        <w:t>Рисунок 25. Структура мирового потребления РЗМ по отраслям в стоимостном выражении, 2024 г., %</w:t>
      </w:r>
    </w:p>
    <w:p>
      <w:pPr>
        <w:ind w:firstLine="0"/>
        <w:jc w:val="center"/>
      </w:pPr>
      <w:r>
        <w:drawing>
          <wp:inline xmlns:a="http://schemas.openxmlformats.org/drawingml/2006/main" xmlns:pic="http://schemas.openxmlformats.org/drawingml/2006/picture">
            <wp:extent cx="5580000" cy="3600000"/>
            <wp:docPr id="25" name="Picture 25"/>
            <wp:cNvGraphicFramePr>
              <a:graphicFrameLocks noChangeAspect="1"/>
            </wp:cNvGraphicFramePr>
            <a:graphic>
              <a:graphicData uri="http://schemas.openxmlformats.org/drawingml/2006/picture">
                <pic:pic>
                  <pic:nvPicPr>
                    <pic:cNvPr id="0" name="fig25.png"/>
                    <pic:cNvPicPr/>
                  </pic:nvPicPr>
                  <pic:blipFill>
                    <a:blip r:embed="rId35"/>
                    <a:stretch>
                      <a:fillRect/>
                    </a:stretch>
                  </pic:blipFill>
                  <pic:spPr>
                    <a:xfrm>
                      <a:off x="0" y="0"/>
                      <a:ext cx="5580000" cy="3600000"/>
                    </a:xfrm>
                    <a:prstGeom prst="rect"/>
                  </pic:spPr>
                </pic:pic>
              </a:graphicData>
            </a:graphic>
          </wp:inline>
        </w:drawing>
      </w:r>
    </w:p>
    <w:p>
      <w:pPr>
        <w:spacing w:after="180"/>
        <w:ind w:firstLine="0"/>
      </w:pPr>
      <w:r>
        <w:rPr>
          <w:i/>
          <w:sz w:val="20"/>
        </w:rPr>
        <w:t>Источник: расчёт аналитического центра</w:t>
      </w:r>
    </w:p>
    <w:p>
      <w:pPr>
        <w:pStyle w:val="Heading2"/>
      </w:pPr>
      <w:r>
        <w:rPr>
          <w:b w:val="0"/>
          <w:i w:val="0"/>
        </w:rPr>
        <w:t>5.2. Постоянные магниты</w:t>
      </w:r>
    </w:p>
    <w:p>
      <w:pPr>
        <w:pStyle w:val="Heading3"/>
      </w:pPr>
      <w:r>
        <w:rPr>
          <w:b w:val="0"/>
          <w:i w:val="0"/>
        </w:rPr>
        <w:t>5.2.1. Материаловедческая основа</w:t>
      </w:r>
    </w:p>
    <w:p>
      <w:r>
        <w:rPr>
          <w:b w:val="0"/>
          <w:i w:val="0"/>
        </w:rPr>
        <w:t>Постоянные магниты на основе интерметаллида Nd₂Fe₁₄B обладают наивысшей среди промышленных магнитных материалов максимальной энергией (BH)max — до 400–450 кДж/м³, что в 8–10 раз превышает показатель ферритовых магнитов. Это позволяет при равном крутящем моменте уменьшить массу и габариты электрической машины в 2–3 раза, что критично для транспортных применений.</w:t>
      </w:r>
    </w:p>
    <w:p>
      <w:r>
        <w:rPr>
          <w:b w:val="0"/>
          <w:i w:val="0"/>
        </w:rPr>
        <w:t>Ограничением базового состава является низкая температура Кюри (312 °C) и, как следствие, значительное падение коэрцитивной силы при нагреве. Для применений с рабочей температурой выше 100–120 °C (тяговые двигатели, компрессоры, приводы под капотом) требуется частичное замещение неодима диспрозием или тербием, повышающими анизотропию и температурную стабильность. Именно это обстоятельство формирует спрос на тяжёлые редкие земли.</w:t>
      </w:r>
    </w:p>
    <w:p>
      <w:r>
        <w:rPr>
          <w:b w:val="0"/>
          <w:i w:val="0"/>
        </w:rPr>
        <w:t>Технология зернограничной диффузии (GBD), при которой тяжёлый элемент вводится не в объём, а локально в границы зёрен, позволяет снизить его расход в 2–4 раза при сохранении характеристик. Владение этой технологией является одним из ключевых конкурентных преимуществ японских и китайских производителей.</w:t>
      </w:r>
    </w:p>
    <w:p>
      <w:pPr>
        <w:keepNext/>
        <w:spacing w:before="160" w:after="60"/>
        <w:ind w:firstLine="0"/>
        <w:jc w:val="left"/>
      </w:pPr>
      <w:r>
        <w:rPr>
          <w:b/>
          <w:sz w:val="22"/>
        </w:rPr>
        <w:t>Таблица 34. Марки магнитов NdFeB и удельный расход редкоземельных элементов</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Класс</w:t>
            </w:r>
          </w:p>
        </w:tc>
        <w:tc>
          <w:tcPr>
            <w:tcW w:type="dxa" w:w="1662"/>
            <w:shd w:val="clear" w:fill="DCE6F1"/>
          </w:tcPr>
          <w:p>
            <w:pPr>
              <w:spacing w:after="0" w:line="240" w:lineRule="auto"/>
              <w:ind w:firstLine="0"/>
              <w:jc w:val="center"/>
            </w:pPr>
            <w:r>
              <w:rPr>
                <w:b/>
                <w:i w:val="0"/>
                <w:sz w:val="20"/>
              </w:rPr>
              <w:t>Раб. темп., °C</w:t>
            </w:r>
          </w:p>
        </w:tc>
        <w:tc>
          <w:tcPr>
            <w:tcW w:type="dxa" w:w="1662"/>
            <w:shd w:val="clear" w:fill="DCE6F1"/>
          </w:tcPr>
          <w:p>
            <w:pPr>
              <w:spacing w:after="0" w:line="240" w:lineRule="auto"/>
              <w:ind w:firstLine="0"/>
              <w:jc w:val="center"/>
            </w:pPr>
            <w:r>
              <w:rPr>
                <w:b/>
                <w:i w:val="0"/>
                <w:sz w:val="20"/>
              </w:rPr>
              <w:t>NdPr, % масс.</w:t>
            </w:r>
          </w:p>
        </w:tc>
        <w:tc>
          <w:tcPr>
            <w:tcW w:type="dxa" w:w="1662"/>
            <w:shd w:val="clear" w:fill="DCE6F1"/>
          </w:tcPr>
          <w:p>
            <w:pPr>
              <w:spacing w:after="0" w:line="240" w:lineRule="auto"/>
              <w:ind w:firstLine="0"/>
              <w:jc w:val="center"/>
            </w:pPr>
            <w:r>
              <w:rPr>
                <w:b/>
                <w:i w:val="0"/>
                <w:sz w:val="20"/>
              </w:rPr>
              <w:t>Dy, % масс.</w:t>
            </w:r>
          </w:p>
        </w:tc>
        <w:tc>
          <w:tcPr>
            <w:tcW w:type="dxa" w:w="1662"/>
            <w:shd w:val="clear" w:fill="DCE6F1"/>
          </w:tcPr>
          <w:p>
            <w:pPr>
              <w:spacing w:after="0" w:line="240" w:lineRule="auto"/>
              <w:ind w:firstLine="0"/>
              <w:jc w:val="center"/>
            </w:pPr>
            <w:r>
              <w:rPr>
                <w:b/>
                <w:i w:val="0"/>
                <w:sz w:val="20"/>
              </w:rPr>
              <w:t>Tb, % масс.</w:t>
            </w:r>
          </w:p>
        </w:tc>
        <w:tc>
          <w:tcPr>
            <w:tcW w:type="dxa" w:w="1662"/>
            <w:shd w:val="clear" w:fill="DCE6F1"/>
          </w:tcPr>
          <w:p>
            <w:pPr>
              <w:spacing w:after="0" w:line="240" w:lineRule="auto"/>
              <w:ind w:firstLine="0"/>
              <w:jc w:val="center"/>
            </w:pPr>
            <w:r>
              <w:rPr>
                <w:b/>
                <w:i w:val="0"/>
                <w:sz w:val="20"/>
              </w:rPr>
              <w:t>Типовое применение</w:t>
            </w:r>
          </w:p>
        </w:tc>
      </w:tr>
      <w:tr>
        <w:tc>
          <w:tcPr>
            <w:tcW w:type="dxa" w:w="1662"/>
          </w:tcPr>
          <w:p>
            <w:pPr>
              <w:spacing w:after="0" w:line="240" w:lineRule="auto"/>
              <w:ind w:firstLine="0"/>
              <w:jc w:val="left"/>
            </w:pPr>
            <w:r>
              <w:rPr>
                <w:b w:val="0"/>
                <w:i w:val="0"/>
                <w:sz w:val="20"/>
              </w:rPr>
              <w:t>N (базовый)</w:t>
            </w:r>
          </w:p>
        </w:tc>
        <w:tc>
          <w:tcPr>
            <w:tcW w:type="dxa" w:w="1662"/>
          </w:tcPr>
          <w:p>
            <w:pPr>
              <w:spacing w:after="0" w:line="240" w:lineRule="auto"/>
              <w:ind w:firstLine="0"/>
              <w:jc w:val="center"/>
            </w:pPr>
            <w:r>
              <w:rPr>
                <w:b w:val="0"/>
                <w:i w:val="0"/>
                <w:sz w:val="20"/>
              </w:rPr>
              <w:t>до 80</w:t>
            </w:r>
          </w:p>
        </w:tc>
        <w:tc>
          <w:tcPr>
            <w:tcW w:type="dxa" w:w="1662"/>
          </w:tcPr>
          <w:p>
            <w:pPr>
              <w:spacing w:after="0" w:line="240" w:lineRule="auto"/>
              <w:ind w:firstLine="0"/>
              <w:jc w:val="center"/>
            </w:pPr>
            <w:r>
              <w:rPr>
                <w:b w:val="0"/>
                <w:i w:val="0"/>
                <w:sz w:val="20"/>
              </w:rPr>
              <w:t>30–31</w:t>
            </w:r>
          </w:p>
        </w:tc>
        <w:tc>
          <w:tcPr>
            <w:tcW w:type="dxa" w:w="1662"/>
          </w:tcPr>
          <w:p>
            <w:pPr>
              <w:spacing w:after="0" w:line="240" w:lineRule="auto"/>
              <w:ind w:firstLine="0"/>
              <w:jc w:val="center"/>
            </w:pPr>
            <w:r>
              <w:rPr>
                <w:b w:val="0"/>
                <w:i w:val="0"/>
                <w:sz w:val="20"/>
              </w:rPr>
              <w:t>0</w:t>
            </w:r>
          </w:p>
        </w:tc>
        <w:tc>
          <w:tcPr>
            <w:tcW w:type="dxa" w:w="1662"/>
          </w:tcPr>
          <w:p>
            <w:pPr>
              <w:spacing w:after="0" w:line="240" w:lineRule="auto"/>
              <w:ind w:firstLine="0"/>
              <w:jc w:val="center"/>
            </w:pPr>
            <w:r>
              <w:rPr>
                <w:b w:val="0"/>
                <w:i w:val="0"/>
                <w:sz w:val="20"/>
              </w:rPr>
              <w:t>0</w:t>
            </w:r>
          </w:p>
        </w:tc>
        <w:tc>
          <w:tcPr>
            <w:tcW w:type="dxa" w:w="1662"/>
          </w:tcPr>
          <w:p>
            <w:pPr>
              <w:spacing w:after="0" w:line="240" w:lineRule="auto"/>
              <w:ind w:firstLine="0"/>
              <w:jc w:val="center"/>
            </w:pPr>
            <w:r>
              <w:rPr>
                <w:b w:val="0"/>
                <w:i w:val="0"/>
                <w:sz w:val="20"/>
              </w:rPr>
              <w:t>акустика, бытовая техника</w:t>
            </w:r>
          </w:p>
        </w:tc>
      </w:tr>
      <w:tr>
        <w:tc>
          <w:tcPr>
            <w:tcW w:type="dxa" w:w="1662"/>
          </w:tcPr>
          <w:p>
            <w:pPr>
              <w:spacing w:after="0" w:line="240" w:lineRule="auto"/>
              <w:ind w:firstLine="0"/>
              <w:jc w:val="left"/>
            </w:pPr>
            <w:r>
              <w:rPr>
                <w:b w:val="0"/>
                <w:i w:val="0"/>
                <w:sz w:val="20"/>
              </w:rPr>
              <w:t>M</w:t>
            </w:r>
          </w:p>
        </w:tc>
        <w:tc>
          <w:tcPr>
            <w:tcW w:type="dxa" w:w="1662"/>
          </w:tcPr>
          <w:p>
            <w:pPr>
              <w:spacing w:after="0" w:line="240" w:lineRule="auto"/>
              <w:ind w:firstLine="0"/>
              <w:jc w:val="center"/>
            </w:pPr>
            <w:r>
              <w:rPr>
                <w:b w:val="0"/>
                <w:i w:val="0"/>
                <w:sz w:val="20"/>
              </w:rPr>
              <w:t>до 100</w:t>
            </w:r>
          </w:p>
        </w:tc>
        <w:tc>
          <w:tcPr>
            <w:tcW w:type="dxa" w:w="1662"/>
          </w:tcPr>
          <w:p>
            <w:pPr>
              <w:spacing w:after="0" w:line="240" w:lineRule="auto"/>
              <w:ind w:firstLine="0"/>
              <w:jc w:val="center"/>
            </w:pPr>
            <w:r>
              <w:rPr>
                <w:b w:val="0"/>
                <w:i w:val="0"/>
                <w:sz w:val="20"/>
              </w:rPr>
              <w:t>30</w:t>
            </w:r>
          </w:p>
        </w:tc>
        <w:tc>
          <w:tcPr>
            <w:tcW w:type="dxa" w:w="1662"/>
          </w:tcPr>
          <w:p>
            <w:pPr>
              <w:spacing w:after="0" w:line="240" w:lineRule="auto"/>
              <w:ind w:firstLine="0"/>
              <w:jc w:val="center"/>
            </w:pPr>
            <w:r>
              <w:rPr>
                <w:b w:val="0"/>
                <w:i w:val="0"/>
                <w:sz w:val="20"/>
              </w:rPr>
              <w:t>0,5–1,0</w:t>
            </w:r>
          </w:p>
        </w:tc>
        <w:tc>
          <w:tcPr>
            <w:tcW w:type="dxa" w:w="1662"/>
          </w:tcPr>
          <w:p>
            <w:pPr>
              <w:spacing w:after="0" w:line="240" w:lineRule="auto"/>
              <w:ind w:firstLine="0"/>
              <w:jc w:val="center"/>
            </w:pPr>
            <w:r>
              <w:rPr>
                <w:b w:val="0"/>
                <w:i w:val="0"/>
                <w:sz w:val="20"/>
              </w:rPr>
              <w:t>0</w:t>
            </w:r>
          </w:p>
        </w:tc>
        <w:tc>
          <w:tcPr>
            <w:tcW w:type="dxa" w:w="1662"/>
          </w:tcPr>
          <w:p>
            <w:pPr>
              <w:spacing w:after="0" w:line="240" w:lineRule="auto"/>
              <w:ind w:firstLine="0"/>
              <w:jc w:val="center"/>
            </w:pPr>
            <w:r>
              <w:rPr>
                <w:b w:val="0"/>
                <w:i w:val="0"/>
                <w:sz w:val="20"/>
              </w:rPr>
              <w:t>приводы, насосы</w:t>
            </w:r>
          </w:p>
        </w:tc>
      </w:tr>
      <w:tr>
        <w:tc>
          <w:tcPr>
            <w:tcW w:type="dxa" w:w="1662"/>
          </w:tcPr>
          <w:p>
            <w:pPr>
              <w:spacing w:after="0" w:line="240" w:lineRule="auto"/>
              <w:ind w:firstLine="0"/>
              <w:jc w:val="left"/>
            </w:pPr>
            <w:r>
              <w:rPr>
                <w:b w:val="0"/>
                <w:i w:val="0"/>
                <w:sz w:val="20"/>
              </w:rPr>
              <w:t>H</w:t>
            </w:r>
          </w:p>
        </w:tc>
        <w:tc>
          <w:tcPr>
            <w:tcW w:type="dxa" w:w="1662"/>
          </w:tcPr>
          <w:p>
            <w:pPr>
              <w:spacing w:after="0" w:line="240" w:lineRule="auto"/>
              <w:ind w:firstLine="0"/>
              <w:jc w:val="center"/>
            </w:pPr>
            <w:r>
              <w:rPr>
                <w:b w:val="0"/>
                <w:i w:val="0"/>
                <w:sz w:val="20"/>
              </w:rPr>
              <w:t>до 120</w:t>
            </w:r>
          </w:p>
        </w:tc>
        <w:tc>
          <w:tcPr>
            <w:tcW w:type="dxa" w:w="1662"/>
          </w:tcPr>
          <w:p>
            <w:pPr>
              <w:spacing w:after="0" w:line="240" w:lineRule="auto"/>
              <w:ind w:firstLine="0"/>
              <w:jc w:val="center"/>
            </w:pPr>
            <w:r>
              <w:rPr>
                <w:b w:val="0"/>
                <w:i w:val="0"/>
                <w:sz w:val="20"/>
              </w:rPr>
              <w:t>29,5</w:t>
            </w:r>
          </w:p>
        </w:tc>
        <w:tc>
          <w:tcPr>
            <w:tcW w:type="dxa" w:w="1662"/>
          </w:tcPr>
          <w:p>
            <w:pPr>
              <w:spacing w:after="0" w:line="240" w:lineRule="auto"/>
              <w:ind w:firstLine="0"/>
              <w:jc w:val="center"/>
            </w:pPr>
            <w:r>
              <w:rPr>
                <w:b w:val="0"/>
                <w:i w:val="0"/>
                <w:sz w:val="20"/>
              </w:rPr>
              <w:t>1,5–2,5</w:t>
            </w:r>
          </w:p>
        </w:tc>
        <w:tc>
          <w:tcPr>
            <w:tcW w:type="dxa" w:w="1662"/>
          </w:tcPr>
          <w:p>
            <w:pPr>
              <w:spacing w:after="0" w:line="240" w:lineRule="auto"/>
              <w:ind w:firstLine="0"/>
              <w:jc w:val="center"/>
            </w:pPr>
            <w:r>
              <w:rPr>
                <w:b w:val="0"/>
                <w:i w:val="0"/>
                <w:sz w:val="20"/>
              </w:rPr>
              <w:t>0–0,3</w:t>
            </w:r>
          </w:p>
        </w:tc>
        <w:tc>
          <w:tcPr>
            <w:tcW w:type="dxa" w:w="1662"/>
          </w:tcPr>
          <w:p>
            <w:pPr>
              <w:spacing w:after="0" w:line="240" w:lineRule="auto"/>
              <w:ind w:firstLine="0"/>
              <w:jc w:val="center"/>
            </w:pPr>
            <w:r>
              <w:rPr>
                <w:b w:val="0"/>
                <w:i w:val="0"/>
                <w:sz w:val="20"/>
              </w:rPr>
              <w:t>ВЭУ, промышленные приводы</w:t>
            </w:r>
          </w:p>
        </w:tc>
      </w:tr>
      <w:tr>
        <w:tc>
          <w:tcPr>
            <w:tcW w:type="dxa" w:w="1662"/>
          </w:tcPr>
          <w:p>
            <w:pPr>
              <w:spacing w:after="0" w:line="240" w:lineRule="auto"/>
              <w:ind w:firstLine="0"/>
              <w:jc w:val="left"/>
            </w:pPr>
            <w:r>
              <w:rPr>
                <w:b w:val="0"/>
                <w:i w:val="0"/>
                <w:sz w:val="20"/>
              </w:rPr>
              <w:t>SH</w:t>
            </w:r>
          </w:p>
        </w:tc>
        <w:tc>
          <w:tcPr>
            <w:tcW w:type="dxa" w:w="1662"/>
          </w:tcPr>
          <w:p>
            <w:pPr>
              <w:spacing w:after="0" w:line="240" w:lineRule="auto"/>
              <w:ind w:firstLine="0"/>
              <w:jc w:val="center"/>
            </w:pPr>
            <w:r>
              <w:rPr>
                <w:b w:val="0"/>
                <w:i w:val="0"/>
                <w:sz w:val="20"/>
              </w:rPr>
              <w:t>до 150</w:t>
            </w:r>
          </w:p>
        </w:tc>
        <w:tc>
          <w:tcPr>
            <w:tcW w:type="dxa" w:w="1662"/>
          </w:tcPr>
          <w:p>
            <w:pPr>
              <w:spacing w:after="0" w:line="240" w:lineRule="auto"/>
              <w:ind w:firstLine="0"/>
              <w:jc w:val="center"/>
            </w:pPr>
            <w:r>
              <w:rPr>
                <w:b w:val="0"/>
                <w:i w:val="0"/>
                <w:sz w:val="20"/>
              </w:rPr>
              <w:t>29</w:t>
            </w:r>
          </w:p>
        </w:tc>
        <w:tc>
          <w:tcPr>
            <w:tcW w:type="dxa" w:w="1662"/>
          </w:tcPr>
          <w:p>
            <w:pPr>
              <w:spacing w:after="0" w:line="240" w:lineRule="auto"/>
              <w:ind w:firstLine="0"/>
              <w:jc w:val="center"/>
            </w:pPr>
            <w:r>
              <w:rPr>
                <w:b w:val="0"/>
                <w:i w:val="0"/>
                <w:sz w:val="20"/>
              </w:rPr>
              <w:t>2,5–4,0</w:t>
            </w:r>
          </w:p>
        </w:tc>
        <w:tc>
          <w:tcPr>
            <w:tcW w:type="dxa" w:w="1662"/>
          </w:tcPr>
          <w:p>
            <w:pPr>
              <w:spacing w:after="0" w:line="240" w:lineRule="auto"/>
              <w:ind w:firstLine="0"/>
              <w:jc w:val="center"/>
            </w:pPr>
            <w:r>
              <w:rPr>
                <w:b w:val="0"/>
                <w:i w:val="0"/>
                <w:sz w:val="20"/>
              </w:rPr>
              <w:t>0,3–0,8</w:t>
            </w:r>
          </w:p>
        </w:tc>
        <w:tc>
          <w:tcPr>
            <w:tcW w:type="dxa" w:w="1662"/>
          </w:tcPr>
          <w:p>
            <w:pPr>
              <w:spacing w:after="0" w:line="240" w:lineRule="auto"/>
              <w:ind w:firstLine="0"/>
              <w:jc w:val="center"/>
            </w:pPr>
            <w:r>
              <w:rPr>
                <w:b w:val="0"/>
                <w:i w:val="0"/>
                <w:sz w:val="20"/>
              </w:rPr>
              <w:t>тяговые двигатели EV</w:t>
            </w:r>
          </w:p>
        </w:tc>
      </w:tr>
      <w:tr>
        <w:tc>
          <w:tcPr>
            <w:tcW w:type="dxa" w:w="1662"/>
          </w:tcPr>
          <w:p>
            <w:pPr>
              <w:spacing w:after="0" w:line="240" w:lineRule="auto"/>
              <w:ind w:firstLine="0"/>
              <w:jc w:val="left"/>
            </w:pPr>
            <w:r>
              <w:rPr>
                <w:b w:val="0"/>
                <w:i w:val="0"/>
                <w:sz w:val="20"/>
              </w:rPr>
              <w:t>UH</w:t>
            </w:r>
          </w:p>
        </w:tc>
        <w:tc>
          <w:tcPr>
            <w:tcW w:type="dxa" w:w="1662"/>
          </w:tcPr>
          <w:p>
            <w:pPr>
              <w:spacing w:after="0" w:line="240" w:lineRule="auto"/>
              <w:ind w:firstLine="0"/>
              <w:jc w:val="center"/>
            </w:pPr>
            <w:r>
              <w:rPr>
                <w:b w:val="0"/>
                <w:i w:val="0"/>
                <w:sz w:val="20"/>
              </w:rPr>
              <w:t>до 180</w:t>
            </w:r>
          </w:p>
        </w:tc>
        <w:tc>
          <w:tcPr>
            <w:tcW w:type="dxa" w:w="1662"/>
          </w:tcPr>
          <w:p>
            <w:pPr>
              <w:spacing w:after="0" w:line="240" w:lineRule="auto"/>
              <w:ind w:firstLine="0"/>
              <w:jc w:val="center"/>
            </w:pPr>
            <w:r>
              <w:rPr>
                <w:b w:val="0"/>
                <w:i w:val="0"/>
                <w:sz w:val="20"/>
              </w:rPr>
              <w:t>28,5</w:t>
            </w:r>
          </w:p>
        </w:tc>
        <w:tc>
          <w:tcPr>
            <w:tcW w:type="dxa" w:w="1662"/>
          </w:tcPr>
          <w:p>
            <w:pPr>
              <w:spacing w:after="0" w:line="240" w:lineRule="auto"/>
              <w:ind w:firstLine="0"/>
              <w:jc w:val="center"/>
            </w:pPr>
            <w:r>
              <w:rPr>
                <w:b w:val="0"/>
                <w:i w:val="0"/>
                <w:sz w:val="20"/>
              </w:rPr>
              <w:t>4,0–6,0</w:t>
            </w:r>
          </w:p>
        </w:tc>
        <w:tc>
          <w:tcPr>
            <w:tcW w:type="dxa" w:w="1662"/>
          </w:tcPr>
          <w:p>
            <w:pPr>
              <w:spacing w:after="0" w:line="240" w:lineRule="auto"/>
              <w:ind w:firstLine="0"/>
              <w:jc w:val="center"/>
            </w:pPr>
            <w:r>
              <w:rPr>
                <w:b w:val="0"/>
                <w:i w:val="0"/>
                <w:sz w:val="20"/>
              </w:rPr>
              <w:t>0,8–1,5</w:t>
            </w:r>
          </w:p>
        </w:tc>
        <w:tc>
          <w:tcPr>
            <w:tcW w:type="dxa" w:w="1662"/>
          </w:tcPr>
          <w:p>
            <w:pPr>
              <w:spacing w:after="0" w:line="240" w:lineRule="auto"/>
              <w:ind w:firstLine="0"/>
              <w:jc w:val="center"/>
            </w:pPr>
            <w:r>
              <w:rPr>
                <w:b w:val="0"/>
                <w:i w:val="0"/>
                <w:sz w:val="20"/>
              </w:rPr>
              <w:t>двигатели EV премиум-класса</w:t>
            </w:r>
          </w:p>
        </w:tc>
      </w:tr>
      <w:tr>
        <w:tc>
          <w:tcPr>
            <w:tcW w:type="dxa" w:w="1662"/>
          </w:tcPr>
          <w:p>
            <w:pPr>
              <w:spacing w:after="0" w:line="240" w:lineRule="auto"/>
              <w:ind w:firstLine="0"/>
              <w:jc w:val="left"/>
            </w:pPr>
            <w:r>
              <w:rPr>
                <w:b w:val="0"/>
                <w:i w:val="0"/>
                <w:sz w:val="20"/>
              </w:rPr>
              <w:t>EH/AH</w:t>
            </w:r>
          </w:p>
        </w:tc>
        <w:tc>
          <w:tcPr>
            <w:tcW w:type="dxa" w:w="1662"/>
          </w:tcPr>
          <w:p>
            <w:pPr>
              <w:spacing w:after="0" w:line="240" w:lineRule="auto"/>
              <w:ind w:firstLine="0"/>
              <w:jc w:val="center"/>
            </w:pPr>
            <w:r>
              <w:rPr>
                <w:b w:val="0"/>
                <w:i w:val="0"/>
                <w:sz w:val="20"/>
              </w:rPr>
              <w:t>до 200–230</w:t>
            </w:r>
          </w:p>
        </w:tc>
        <w:tc>
          <w:tcPr>
            <w:tcW w:type="dxa" w:w="1662"/>
          </w:tcPr>
          <w:p>
            <w:pPr>
              <w:spacing w:after="0" w:line="240" w:lineRule="auto"/>
              <w:ind w:firstLine="0"/>
              <w:jc w:val="center"/>
            </w:pPr>
            <w:r>
              <w:rPr>
                <w:b w:val="0"/>
                <w:i w:val="0"/>
                <w:sz w:val="20"/>
              </w:rPr>
              <w:t>28</w:t>
            </w:r>
          </w:p>
        </w:tc>
        <w:tc>
          <w:tcPr>
            <w:tcW w:type="dxa" w:w="1662"/>
          </w:tcPr>
          <w:p>
            <w:pPr>
              <w:spacing w:after="0" w:line="240" w:lineRule="auto"/>
              <w:ind w:firstLine="0"/>
              <w:jc w:val="center"/>
            </w:pPr>
            <w:r>
              <w:rPr>
                <w:b w:val="0"/>
                <w:i w:val="0"/>
                <w:sz w:val="20"/>
              </w:rPr>
              <w:t>6,0–9,0</w:t>
            </w:r>
          </w:p>
        </w:tc>
        <w:tc>
          <w:tcPr>
            <w:tcW w:type="dxa" w:w="1662"/>
          </w:tcPr>
          <w:p>
            <w:pPr>
              <w:spacing w:after="0" w:line="240" w:lineRule="auto"/>
              <w:ind w:firstLine="0"/>
              <w:jc w:val="center"/>
            </w:pPr>
            <w:r>
              <w:rPr>
                <w:b w:val="0"/>
                <w:i w:val="0"/>
                <w:sz w:val="20"/>
              </w:rPr>
              <w:t>1,5–3,0</w:t>
            </w:r>
          </w:p>
        </w:tc>
        <w:tc>
          <w:tcPr>
            <w:tcW w:type="dxa" w:w="1662"/>
          </w:tcPr>
          <w:p>
            <w:pPr>
              <w:spacing w:after="0" w:line="240" w:lineRule="auto"/>
              <w:ind w:firstLine="0"/>
              <w:jc w:val="center"/>
            </w:pPr>
            <w:r>
              <w:rPr>
                <w:b w:val="0"/>
                <w:i w:val="0"/>
                <w:sz w:val="20"/>
              </w:rPr>
              <w:t>авиация, ВПК, космос</w:t>
            </w:r>
          </w:p>
        </w:tc>
      </w:tr>
    </w:tbl>
    <w:p>
      <w:pPr>
        <w:spacing w:after="180"/>
        <w:ind w:firstLine="0"/>
      </w:pPr>
      <w:r>
        <w:rPr>
          <w:i/>
          <w:sz w:val="20"/>
        </w:rPr>
        <w:t>Источник: аналитический центр по данным производителей магнитов и отраслевых публикаций</w:t>
      </w:r>
    </w:p>
    <w:p>
      <w:pPr>
        <w:pStyle w:val="Heading3"/>
      </w:pPr>
      <w:r>
        <w:rPr>
          <w:b w:val="0"/>
          <w:i w:val="0"/>
        </w:rPr>
        <w:t>5.2.2. Электротранспорт</w:t>
      </w:r>
    </w:p>
    <w:p>
      <w:r>
        <w:rPr>
          <w:b w:val="0"/>
          <w:i w:val="0"/>
        </w:rPr>
        <w:t>Наиболее динамичный сегмент спроса. Типовой тяговый двигатель с постоянными магнитами (PMSM) электромобиля класса D содержит 1,2–2,5 кг магнитов, что соответствует 0,35–0,75 кг NdPr и 30–90 г диспрозия и тербия. Гибридные автомобили потребляют 0,6–1,2 кг магнитов, подключаемые гибриды — 1,0–1,8 кг.</w:t>
      </w:r>
    </w:p>
    <w:p>
      <w:r>
        <w:rPr>
          <w:b w:val="0"/>
          <w:i w:val="0"/>
        </w:rPr>
        <w:t>Дополнительный спрос формируют вспомогательные двигатели: электроусилитель руля, компрессор кондиционера, насосы, стеклоподъёмники, вентиляторы, звуковые системы. В современном автомобиле независимо от типа силовой установки насчитывается от 30 до 70 электродвигателей, из которых 8–15 используют редкоземельные магниты. Совокупный расход магнитов на вспомогательные системы составляет 0,3–0,7 кг на автомобиль.</w:t>
      </w:r>
    </w:p>
    <w:p>
      <w:pPr>
        <w:keepNext/>
        <w:spacing w:before="160" w:after="60"/>
        <w:ind w:firstLine="0"/>
        <w:jc w:val="left"/>
      </w:pPr>
      <w:r>
        <w:rPr>
          <w:b/>
          <w:sz w:val="22"/>
        </w:rPr>
        <w:t>Таблица 35. Удельное потребление редкоземельных магнитов в транспортных средствах</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Тип транспортного средства</w:t>
            </w:r>
          </w:p>
        </w:tc>
        <w:tc>
          <w:tcPr>
            <w:tcW w:type="dxa" w:w="1995"/>
            <w:shd w:val="clear" w:fill="DCE6F1"/>
          </w:tcPr>
          <w:p>
            <w:pPr>
              <w:spacing w:after="0" w:line="240" w:lineRule="auto"/>
              <w:ind w:firstLine="0"/>
              <w:jc w:val="center"/>
            </w:pPr>
            <w:r>
              <w:rPr>
                <w:b/>
                <w:i w:val="0"/>
                <w:sz w:val="20"/>
              </w:rPr>
              <w:t>Магниты, кг</w:t>
            </w:r>
          </w:p>
        </w:tc>
        <w:tc>
          <w:tcPr>
            <w:tcW w:type="dxa" w:w="1995"/>
            <w:shd w:val="clear" w:fill="DCE6F1"/>
          </w:tcPr>
          <w:p>
            <w:pPr>
              <w:spacing w:after="0" w:line="240" w:lineRule="auto"/>
              <w:ind w:firstLine="0"/>
              <w:jc w:val="center"/>
            </w:pPr>
            <w:r>
              <w:rPr>
                <w:b/>
                <w:i w:val="0"/>
                <w:sz w:val="20"/>
              </w:rPr>
              <w:t>NdPr, кг</w:t>
            </w:r>
          </w:p>
        </w:tc>
        <w:tc>
          <w:tcPr>
            <w:tcW w:type="dxa" w:w="1995"/>
            <w:shd w:val="clear" w:fill="DCE6F1"/>
          </w:tcPr>
          <w:p>
            <w:pPr>
              <w:spacing w:after="0" w:line="240" w:lineRule="auto"/>
              <w:ind w:firstLine="0"/>
              <w:jc w:val="center"/>
            </w:pPr>
            <w:r>
              <w:rPr>
                <w:b/>
                <w:i w:val="0"/>
                <w:sz w:val="20"/>
              </w:rPr>
              <w:t>Dy+Tb, г</w:t>
            </w:r>
          </w:p>
        </w:tc>
        <w:tc>
          <w:tcPr>
            <w:tcW w:type="dxa" w:w="1995"/>
            <w:shd w:val="clear" w:fill="DCE6F1"/>
          </w:tcPr>
          <w:p>
            <w:pPr>
              <w:spacing w:after="0" w:line="240" w:lineRule="auto"/>
              <w:ind w:firstLine="0"/>
              <w:jc w:val="center"/>
            </w:pPr>
            <w:r>
              <w:rPr>
                <w:b/>
                <w:i w:val="0"/>
                <w:sz w:val="20"/>
              </w:rPr>
              <w:t>Прочие РЗМ, г</w:t>
            </w:r>
          </w:p>
        </w:tc>
      </w:tr>
      <w:tr>
        <w:tc>
          <w:tcPr>
            <w:tcW w:type="dxa" w:w="1995"/>
          </w:tcPr>
          <w:p>
            <w:pPr>
              <w:spacing w:after="0" w:line="240" w:lineRule="auto"/>
              <w:ind w:firstLine="0"/>
              <w:jc w:val="left"/>
            </w:pPr>
            <w:r>
              <w:rPr>
                <w:b w:val="0"/>
                <w:i w:val="0"/>
                <w:sz w:val="20"/>
              </w:rPr>
              <w:t>Автомобиль с ДВС</w:t>
            </w:r>
          </w:p>
        </w:tc>
        <w:tc>
          <w:tcPr>
            <w:tcW w:type="dxa" w:w="1995"/>
          </w:tcPr>
          <w:p>
            <w:pPr>
              <w:spacing w:after="0" w:line="240" w:lineRule="auto"/>
              <w:ind w:firstLine="0"/>
              <w:jc w:val="center"/>
            </w:pPr>
            <w:r>
              <w:rPr>
                <w:b w:val="0"/>
                <w:i w:val="0"/>
                <w:sz w:val="20"/>
              </w:rPr>
              <w:t>0,35</w:t>
            </w:r>
          </w:p>
        </w:tc>
        <w:tc>
          <w:tcPr>
            <w:tcW w:type="dxa" w:w="1995"/>
          </w:tcPr>
          <w:p>
            <w:pPr>
              <w:spacing w:after="0" w:line="240" w:lineRule="auto"/>
              <w:ind w:firstLine="0"/>
              <w:jc w:val="center"/>
            </w:pPr>
            <w:r>
              <w:rPr>
                <w:b w:val="0"/>
                <w:i w:val="0"/>
                <w:sz w:val="20"/>
              </w:rPr>
              <w:t>0,10</w:t>
            </w:r>
          </w:p>
        </w:tc>
        <w:tc>
          <w:tcPr>
            <w:tcW w:type="dxa" w:w="1995"/>
          </w:tcPr>
          <w:p>
            <w:pPr>
              <w:spacing w:after="0" w:line="240" w:lineRule="auto"/>
              <w:ind w:firstLine="0"/>
              <w:jc w:val="center"/>
            </w:pPr>
            <w:r>
              <w:rPr>
                <w:b w:val="0"/>
                <w:i w:val="0"/>
                <w:sz w:val="20"/>
              </w:rPr>
              <w:t>3</w:t>
            </w:r>
          </w:p>
        </w:tc>
        <w:tc>
          <w:tcPr>
            <w:tcW w:type="dxa" w:w="1995"/>
          </w:tcPr>
          <w:p>
            <w:pPr>
              <w:spacing w:after="0" w:line="240" w:lineRule="auto"/>
              <w:ind w:firstLine="0"/>
              <w:jc w:val="center"/>
            </w:pPr>
            <w:r>
              <w:rPr>
                <w:b w:val="0"/>
                <w:i w:val="0"/>
                <w:sz w:val="20"/>
              </w:rPr>
              <w:t>5</w:t>
            </w:r>
          </w:p>
        </w:tc>
      </w:tr>
      <w:tr>
        <w:tc>
          <w:tcPr>
            <w:tcW w:type="dxa" w:w="1995"/>
          </w:tcPr>
          <w:p>
            <w:pPr>
              <w:spacing w:after="0" w:line="240" w:lineRule="auto"/>
              <w:ind w:firstLine="0"/>
              <w:jc w:val="left"/>
            </w:pPr>
            <w:r>
              <w:rPr>
                <w:b w:val="0"/>
                <w:i w:val="0"/>
                <w:sz w:val="20"/>
              </w:rPr>
              <w:t>Гибрид (HEV)</w:t>
            </w:r>
          </w:p>
        </w:tc>
        <w:tc>
          <w:tcPr>
            <w:tcW w:type="dxa" w:w="1995"/>
          </w:tcPr>
          <w:p>
            <w:pPr>
              <w:spacing w:after="0" w:line="240" w:lineRule="auto"/>
              <w:ind w:firstLine="0"/>
              <w:jc w:val="center"/>
            </w:pPr>
            <w:r>
              <w:rPr>
                <w:b w:val="0"/>
                <w:i w:val="0"/>
                <w:sz w:val="20"/>
              </w:rPr>
              <w:t>1,00</w:t>
            </w:r>
          </w:p>
        </w:tc>
        <w:tc>
          <w:tcPr>
            <w:tcW w:type="dxa" w:w="1995"/>
          </w:tcPr>
          <w:p>
            <w:pPr>
              <w:spacing w:after="0" w:line="240" w:lineRule="auto"/>
              <w:ind w:firstLine="0"/>
              <w:jc w:val="center"/>
            </w:pPr>
            <w:r>
              <w:rPr>
                <w:b w:val="0"/>
                <w:i w:val="0"/>
                <w:sz w:val="20"/>
              </w:rPr>
              <w:t>0,30</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15</w:t>
            </w:r>
          </w:p>
        </w:tc>
      </w:tr>
      <w:tr>
        <w:tc>
          <w:tcPr>
            <w:tcW w:type="dxa" w:w="1995"/>
          </w:tcPr>
          <w:p>
            <w:pPr>
              <w:spacing w:after="0" w:line="240" w:lineRule="auto"/>
              <w:ind w:firstLine="0"/>
              <w:jc w:val="left"/>
            </w:pPr>
            <w:r>
              <w:rPr>
                <w:b w:val="0"/>
                <w:i w:val="0"/>
                <w:sz w:val="20"/>
              </w:rPr>
              <w:t>Подключаемый гибрид (PHEV)</w:t>
            </w:r>
          </w:p>
        </w:tc>
        <w:tc>
          <w:tcPr>
            <w:tcW w:type="dxa" w:w="1995"/>
          </w:tcPr>
          <w:p>
            <w:pPr>
              <w:spacing w:after="0" w:line="240" w:lineRule="auto"/>
              <w:ind w:firstLine="0"/>
              <w:jc w:val="center"/>
            </w:pPr>
            <w:r>
              <w:rPr>
                <w:b w:val="0"/>
                <w:i w:val="0"/>
                <w:sz w:val="20"/>
              </w:rPr>
              <w:t>1,50</w:t>
            </w:r>
          </w:p>
        </w:tc>
        <w:tc>
          <w:tcPr>
            <w:tcW w:type="dxa" w:w="1995"/>
          </w:tcPr>
          <w:p>
            <w:pPr>
              <w:spacing w:after="0" w:line="240" w:lineRule="auto"/>
              <w:ind w:firstLine="0"/>
              <w:jc w:val="center"/>
            </w:pPr>
            <w:r>
              <w:rPr>
                <w:b w:val="0"/>
                <w:i w:val="0"/>
                <w:sz w:val="20"/>
              </w:rPr>
              <w:t>0,45</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20</w:t>
            </w:r>
          </w:p>
        </w:tc>
      </w:tr>
      <w:tr>
        <w:tc>
          <w:tcPr>
            <w:tcW w:type="dxa" w:w="1995"/>
          </w:tcPr>
          <w:p>
            <w:pPr>
              <w:spacing w:after="0" w:line="240" w:lineRule="auto"/>
              <w:ind w:firstLine="0"/>
              <w:jc w:val="left"/>
            </w:pPr>
            <w:r>
              <w:rPr>
                <w:b w:val="0"/>
                <w:i w:val="0"/>
                <w:sz w:val="20"/>
              </w:rPr>
              <w:t>Электромобиль класса B–C</w:t>
            </w:r>
          </w:p>
        </w:tc>
        <w:tc>
          <w:tcPr>
            <w:tcW w:type="dxa" w:w="1995"/>
          </w:tcPr>
          <w:p>
            <w:pPr>
              <w:spacing w:after="0" w:line="240" w:lineRule="auto"/>
              <w:ind w:firstLine="0"/>
              <w:jc w:val="center"/>
            </w:pPr>
            <w:r>
              <w:rPr>
                <w:b w:val="0"/>
                <w:i w:val="0"/>
                <w:sz w:val="20"/>
              </w:rPr>
              <w:t>1,40</w:t>
            </w:r>
          </w:p>
        </w:tc>
        <w:tc>
          <w:tcPr>
            <w:tcW w:type="dxa" w:w="1995"/>
          </w:tcPr>
          <w:p>
            <w:pPr>
              <w:spacing w:after="0" w:line="240" w:lineRule="auto"/>
              <w:ind w:firstLine="0"/>
              <w:jc w:val="center"/>
            </w:pPr>
            <w:r>
              <w:rPr>
                <w:b w:val="0"/>
                <w:i w:val="0"/>
                <w:sz w:val="20"/>
              </w:rPr>
              <w:t>0,42</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18</w:t>
            </w:r>
          </w:p>
        </w:tc>
      </w:tr>
      <w:tr>
        <w:tc>
          <w:tcPr>
            <w:tcW w:type="dxa" w:w="1995"/>
          </w:tcPr>
          <w:p>
            <w:pPr>
              <w:spacing w:after="0" w:line="240" w:lineRule="auto"/>
              <w:ind w:firstLine="0"/>
              <w:jc w:val="left"/>
            </w:pPr>
            <w:r>
              <w:rPr>
                <w:b w:val="0"/>
                <w:i w:val="0"/>
                <w:sz w:val="20"/>
              </w:rPr>
              <w:t>Электромобиль класса D–E</w:t>
            </w:r>
          </w:p>
        </w:tc>
        <w:tc>
          <w:tcPr>
            <w:tcW w:type="dxa" w:w="1995"/>
          </w:tcPr>
          <w:p>
            <w:pPr>
              <w:spacing w:after="0" w:line="240" w:lineRule="auto"/>
              <w:ind w:firstLine="0"/>
              <w:jc w:val="center"/>
            </w:pPr>
            <w:r>
              <w:rPr>
                <w:b w:val="0"/>
                <w:i w:val="0"/>
                <w:sz w:val="20"/>
              </w:rPr>
              <w:t>2,20</w:t>
            </w:r>
          </w:p>
        </w:tc>
        <w:tc>
          <w:tcPr>
            <w:tcW w:type="dxa" w:w="1995"/>
          </w:tcPr>
          <w:p>
            <w:pPr>
              <w:spacing w:after="0" w:line="240" w:lineRule="auto"/>
              <w:ind w:firstLine="0"/>
              <w:jc w:val="center"/>
            </w:pPr>
            <w:r>
              <w:rPr>
                <w:b w:val="0"/>
                <w:i w:val="0"/>
                <w:sz w:val="20"/>
              </w:rPr>
              <w:t>0,66</w:t>
            </w:r>
          </w:p>
        </w:tc>
        <w:tc>
          <w:tcPr>
            <w:tcW w:type="dxa" w:w="1995"/>
          </w:tcPr>
          <w:p>
            <w:pPr>
              <w:spacing w:after="0" w:line="240" w:lineRule="auto"/>
              <w:ind w:firstLine="0"/>
              <w:jc w:val="center"/>
            </w:pPr>
            <w:r>
              <w:rPr>
                <w:b w:val="0"/>
                <w:i w:val="0"/>
                <w:sz w:val="20"/>
              </w:rPr>
              <w:t>70</w:t>
            </w:r>
          </w:p>
        </w:tc>
        <w:tc>
          <w:tcPr>
            <w:tcW w:type="dxa" w:w="1995"/>
          </w:tcPr>
          <w:p>
            <w:pPr>
              <w:spacing w:after="0" w:line="240" w:lineRule="auto"/>
              <w:ind w:firstLine="0"/>
              <w:jc w:val="center"/>
            </w:pPr>
            <w:r>
              <w:rPr>
                <w:b w:val="0"/>
                <w:i w:val="0"/>
                <w:sz w:val="20"/>
              </w:rPr>
              <w:t>30</w:t>
            </w:r>
          </w:p>
        </w:tc>
      </w:tr>
      <w:tr>
        <w:tc>
          <w:tcPr>
            <w:tcW w:type="dxa" w:w="1995"/>
          </w:tcPr>
          <w:p>
            <w:pPr>
              <w:spacing w:after="0" w:line="240" w:lineRule="auto"/>
              <w:ind w:firstLine="0"/>
              <w:jc w:val="left"/>
            </w:pPr>
            <w:r>
              <w:rPr>
                <w:b w:val="0"/>
                <w:i w:val="0"/>
                <w:sz w:val="20"/>
              </w:rPr>
              <w:t>Электрический автобус</w:t>
            </w:r>
          </w:p>
        </w:tc>
        <w:tc>
          <w:tcPr>
            <w:tcW w:type="dxa" w:w="1995"/>
          </w:tcPr>
          <w:p>
            <w:pPr>
              <w:spacing w:after="0" w:line="240" w:lineRule="auto"/>
              <w:ind w:firstLine="0"/>
              <w:jc w:val="center"/>
            </w:pPr>
            <w:r>
              <w:rPr>
                <w:b w:val="0"/>
                <w:i w:val="0"/>
                <w:sz w:val="20"/>
              </w:rPr>
              <w:t>12,0</w:t>
            </w:r>
          </w:p>
        </w:tc>
        <w:tc>
          <w:tcPr>
            <w:tcW w:type="dxa" w:w="1995"/>
          </w:tcPr>
          <w:p>
            <w:pPr>
              <w:spacing w:after="0" w:line="240" w:lineRule="auto"/>
              <w:ind w:firstLine="0"/>
              <w:jc w:val="center"/>
            </w:pPr>
            <w:r>
              <w:rPr>
                <w:b w:val="0"/>
                <w:i w:val="0"/>
                <w:sz w:val="20"/>
              </w:rPr>
              <w:t>3,6</w:t>
            </w:r>
          </w:p>
        </w:tc>
        <w:tc>
          <w:tcPr>
            <w:tcW w:type="dxa" w:w="1995"/>
          </w:tcPr>
          <w:p>
            <w:pPr>
              <w:spacing w:after="0" w:line="240" w:lineRule="auto"/>
              <w:ind w:firstLine="0"/>
              <w:jc w:val="center"/>
            </w:pPr>
            <w:r>
              <w:rPr>
                <w:b w:val="0"/>
                <w:i w:val="0"/>
                <w:sz w:val="20"/>
              </w:rPr>
              <w:t>380</w:t>
            </w:r>
          </w:p>
        </w:tc>
        <w:tc>
          <w:tcPr>
            <w:tcW w:type="dxa" w:w="1995"/>
          </w:tcPr>
          <w:p>
            <w:pPr>
              <w:spacing w:after="0" w:line="240" w:lineRule="auto"/>
              <w:ind w:firstLine="0"/>
              <w:jc w:val="center"/>
            </w:pPr>
            <w:r>
              <w:rPr>
                <w:b w:val="0"/>
                <w:i w:val="0"/>
                <w:sz w:val="20"/>
              </w:rPr>
              <w:t>150</w:t>
            </w:r>
          </w:p>
        </w:tc>
      </w:tr>
      <w:tr>
        <w:tc>
          <w:tcPr>
            <w:tcW w:type="dxa" w:w="1995"/>
          </w:tcPr>
          <w:p>
            <w:pPr>
              <w:spacing w:after="0" w:line="240" w:lineRule="auto"/>
              <w:ind w:firstLine="0"/>
              <w:jc w:val="left"/>
            </w:pPr>
            <w:r>
              <w:rPr>
                <w:b w:val="0"/>
                <w:i w:val="0"/>
                <w:sz w:val="20"/>
              </w:rPr>
              <w:t>Электрический грузовик</w:t>
            </w:r>
          </w:p>
        </w:tc>
        <w:tc>
          <w:tcPr>
            <w:tcW w:type="dxa" w:w="1995"/>
          </w:tcPr>
          <w:p>
            <w:pPr>
              <w:spacing w:after="0" w:line="240" w:lineRule="auto"/>
              <w:ind w:firstLine="0"/>
              <w:jc w:val="center"/>
            </w:pPr>
            <w:r>
              <w:rPr>
                <w:b w:val="0"/>
                <w:i w:val="0"/>
                <w:sz w:val="20"/>
              </w:rPr>
              <w:t>18,0</w:t>
            </w:r>
          </w:p>
        </w:tc>
        <w:tc>
          <w:tcPr>
            <w:tcW w:type="dxa" w:w="1995"/>
          </w:tcPr>
          <w:p>
            <w:pPr>
              <w:spacing w:after="0" w:line="240" w:lineRule="auto"/>
              <w:ind w:firstLine="0"/>
              <w:jc w:val="center"/>
            </w:pPr>
            <w:r>
              <w:rPr>
                <w:b w:val="0"/>
                <w:i w:val="0"/>
                <w:sz w:val="20"/>
              </w:rPr>
              <w:t>5,4</w:t>
            </w:r>
          </w:p>
        </w:tc>
        <w:tc>
          <w:tcPr>
            <w:tcW w:type="dxa" w:w="1995"/>
          </w:tcPr>
          <w:p>
            <w:pPr>
              <w:spacing w:after="0" w:line="240" w:lineRule="auto"/>
              <w:ind w:firstLine="0"/>
              <w:jc w:val="center"/>
            </w:pPr>
            <w:r>
              <w:rPr>
                <w:b w:val="0"/>
                <w:i w:val="0"/>
                <w:sz w:val="20"/>
              </w:rPr>
              <w:t>600</w:t>
            </w:r>
          </w:p>
        </w:tc>
        <w:tc>
          <w:tcPr>
            <w:tcW w:type="dxa" w:w="1995"/>
          </w:tcPr>
          <w:p>
            <w:pPr>
              <w:spacing w:after="0" w:line="240" w:lineRule="auto"/>
              <w:ind w:firstLine="0"/>
              <w:jc w:val="center"/>
            </w:pPr>
            <w:r>
              <w:rPr>
                <w:b w:val="0"/>
                <w:i w:val="0"/>
                <w:sz w:val="20"/>
              </w:rPr>
              <w:t>220</w:t>
            </w:r>
          </w:p>
        </w:tc>
      </w:tr>
      <w:tr>
        <w:tc>
          <w:tcPr>
            <w:tcW w:type="dxa" w:w="1995"/>
          </w:tcPr>
          <w:p>
            <w:pPr>
              <w:spacing w:after="0" w:line="240" w:lineRule="auto"/>
              <w:ind w:firstLine="0"/>
              <w:jc w:val="left"/>
            </w:pPr>
            <w:r>
              <w:rPr>
                <w:b w:val="0"/>
                <w:i w:val="0"/>
                <w:sz w:val="20"/>
              </w:rPr>
              <w:t>Электровелосипед / скутер</w:t>
            </w:r>
          </w:p>
        </w:tc>
        <w:tc>
          <w:tcPr>
            <w:tcW w:type="dxa" w:w="1995"/>
          </w:tcPr>
          <w:p>
            <w:pPr>
              <w:spacing w:after="0" w:line="240" w:lineRule="auto"/>
              <w:ind w:firstLine="0"/>
              <w:jc w:val="center"/>
            </w:pPr>
            <w:r>
              <w:rPr>
                <w:b w:val="0"/>
                <w:i w:val="0"/>
                <w:sz w:val="20"/>
              </w:rPr>
              <w:t>0,25</w:t>
            </w:r>
          </w:p>
        </w:tc>
        <w:tc>
          <w:tcPr>
            <w:tcW w:type="dxa" w:w="1995"/>
          </w:tcPr>
          <w:p>
            <w:pPr>
              <w:spacing w:after="0" w:line="240" w:lineRule="auto"/>
              <w:ind w:firstLine="0"/>
              <w:jc w:val="center"/>
            </w:pPr>
            <w:r>
              <w:rPr>
                <w:b w:val="0"/>
                <w:i w:val="0"/>
                <w:sz w:val="20"/>
              </w:rPr>
              <w:t>0,08</w:t>
            </w:r>
          </w:p>
        </w:tc>
        <w:tc>
          <w:tcPr>
            <w:tcW w:type="dxa" w:w="1995"/>
          </w:tcPr>
          <w:p>
            <w:pPr>
              <w:spacing w:after="0" w:line="240" w:lineRule="auto"/>
              <w:ind w:firstLine="0"/>
              <w:jc w:val="center"/>
            </w:pPr>
            <w:r>
              <w:rPr>
                <w:b w:val="0"/>
                <w:i w:val="0"/>
                <w:sz w:val="20"/>
              </w:rPr>
              <w:t>4</w:t>
            </w:r>
          </w:p>
        </w:tc>
        <w:tc>
          <w:tcPr>
            <w:tcW w:type="dxa" w:w="1995"/>
          </w:tcPr>
          <w:p>
            <w:pPr>
              <w:spacing w:after="0" w:line="240" w:lineRule="auto"/>
              <w:ind w:firstLine="0"/>
              <w:jc w:val="center"/>
            </w:pPr>
            <w:r>
              <w:rPr>
                <w:b w:val="0"/>
                <w:i w:val="0"/>
                <w:sz w:val="20"/>
              </w:rPr>
              <w:t>3</w:t>
            </w:r>
          </w:p>
        </w:tc>
      </w:tr>
    </w:tbl>
    <w:p>
      <w:pPr>
        <w:spacing w:after="180"/>
        <w:ind w:firstLine="0"/>
      </w:pPr>
      <w:r>
        <w:rPr>
          <w:i/>
          <w:sz w:val="20"/>
        </w:rPr>
        <w:t>Источник: аналитический центр по данным автопроизводителей, Adamas Intelligence, отраслевых публикаций</w:t>
      </w:r>
    </w:p>
    <w:p>
      <w:pPr>
        <w:keepNext/>
        <w:spacing w:before="160" w:after="60"/>
        <w:ind w:firstLine="0"/>
        <w:jc w:val="left"/>
      </w:pPr>
      <w:r>
        <w:rPr>
          <w:b/>
          <w:sz w:val="22"/>
        </w:rPr>
        <w:t>Рисунок 26. Мировые продажи электромобилей и обусловленный ими спрос на NdPr, 2018–2030 гг.</w:t>
      </w:r>
    </w:p>
    <w:p>
      <w:pPr>
        <w:ind w:firstLine="0"/>
        <w:jc w:val="center"/>
      </w:pPr>
      <w:r>
        <w:drawing>
          <wp:inline xmlns:a="http://schemas.openxmlformats.org/drawingml/2006/main" xmlns:pic="http://schemas.openxmlformats.org/drawingml/2006/picture">
            <wp:extent cx="5580000" cy="2723234"/>
            <wp:docPr id="26" name="Picture 26"/>
            <wp:cNvGraphicFramePr>
              <a:graphicFrameLocks noChangeAspect="1"/>
            </wp:cNvGraphicFramePr>
            <a:graphic>
              <a:graphicData uri="http://schemas.openxmlformats.org/drawingml/2006/picture">
                <pic:pic>
                  <pic:nvPicPr>
                    <pic:cNvPr id="0" name="fig26.png"/>
                    <pic:cNvPicPr/>
                  </pic:nvPicPr>
                  <pic:blipFill>
                    <a:blip r:embed="rId36"/>
                    <a:stretch>
                      <a:fillRect/>
                    </a:stretch>
                  </pic:blipFill>
                  <pic:spPr>
                    <a:xfrm>
                      <a:off x="0" y="0"/>
                      <a:ext cx="5580000" cy="2723234"/>
                    </a:xfrm>
                    <a:prstGeom prst="rect"/>
                  </pic:spPr>
                </pic:pic>
              </a:graphicData>
            </a:graphic>
          </wp:inline>
        </w:drawing>
      </w:r>
    </w:p>
    <w:p>
      <w:pPr>
        <w:spacing w:after="180"/>
        <w:ind w:firstLine="0"/>
      </w:pPr>
      <w:r>
        <w:rPr>
          <w:i/>
          <w:sz w:val="20"/>
        </w:rPr>
        <w:t>Источник: аналитический центр по данным IEA Global EV Outlook, расчёт спроса — собственный</w:t>
      </w:r>
    </w:p>
    <w:p>
      <w:pPr>
        <w:pStyle w:val="Heading3"/>
      </w:pPr>
      <w:r>
        <w:rPr>
          <w:b w:val="0"/>
          <w:i w:val="0"/>
        </w:rPr>
        <w:t>5.2.3. Ветроэнергетика</w:t>
      </w:r>
    </w:p>
    <w:p>
      <w:r>
        <w:rPr>
          <w:b w:val="0"/>
          <w:i w:val="0"/>
        </w:rPr>
        <w:t>Ветроэнергетические установки применяют два принципиально разных типа генераторов. Установки с прямым приводом (direct drive) на постоянных магнитах не имеют мультипликатора, обладают высокой надёжностью и потребляют 500–650 кг магнитов на МВт установленной мощности. Установки с редукторным приводом и асинхронным генератором постоянных магнитов не содержат либо содержат в существенно меньшем количестве (60–120 кг/МВт для среднескоростных гибридных схем).</w:t>
      </w:r>
    </w:p>
    <w:p>
      <w:r>
        <w:rPr>
          <w:b w:val="0"/>
          <w:i w:val="0"/>
        </w:rPr>
        <w:t>Доля прямого привода различается по сегментам: в оффшорной ветроэнергетике она превышает 75% (надёжность критична вследствие стоимости обслуживания), в наземной — составляет 25–35%.</w:t>
      </w:r>
    </w:p>
    <w:p>
      <w:pPr>
        <w:keepNext/>
        <w:spacing w:before="160" w:after="60"/>
        <w:ind w:firstLine="0"/>
        <w:jc w:val="left"/>
      </w:pPr>
      <w:r>
        <w:rPr>
          <w:b/>
          <w:sz w:val="22"/>
        </w:rPr>
        <w:t>Таблица 36. Удельное потребление редкоземельных магнитов в ветроэнергетике</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Тип установки</w:t>
            </w:r>
          </w:p>
        </w:tc>
        <w:tc>
          <w:tcPr>
            <w:tcW w:type="dxa" w:w="2493"/>
            <w:shd w:val="clear" w:fill="DCE6F1"/>
          </w:tcPr>
          <w:p>
            <w:pPr>
              <w:spacing w:after="0" w:line="240" w:lineRule="auto"/>
              <w:ind w:firstLine="0"/>
              <w:jc w:val="center"/>
            </w:pPr>
            <w:r>
              <w:rPr>
                <w:b/>
                <w:i w:val="0"/>
                <w:sz w:val="20"/>
              </w:rPr>
              <w:t>Магниты, кг/МВт</w:t>
            </w:r>
          </w:p>
        </w:tc>
        <w:tc>
          <w:tcPr>
            <w:tcW w:type="dxa" w:w="2493"/>
            <w:shd w:val="clear" w:fill="DCE6F1"/>
          </w:tcPr>
          <w:p>
            <w:pPr>
              <w:spacing w:after="0" w:line="240" w:lineRule="auto"/>
              <w:ind w:firstLine="0"/>
              <w:jc w:val="center"/>
            </w:pPr>
            <w:r>
              <w:rPr>
                <w:b/>
                <w:i w:val="0"/>
                <w:sz w:val="20"/>
              </w:rPr>
              <w:t>NdPr, кг/МВт</w:t>
            </w:r>
          </w:p>
        </w:tc>
        <w:tc>
          <w:tcPr>
            <w:tcW w:type="dxa" w:w="2493"/>
            <w:shd w:val="clear" w:fill="DCE6F1"/>
          </w:tcPr>
          <w:p>
            <w:pPr>
              <w:spacing w:after="0" w:line="240" w:lineRule="auto"/>
              <w:ind w:firstLine="0"/>
              <w:jc w:val="center"/>
            </w:pPr>
            <w:r>
              <w:rPr>
                <w:b/>
                <w:i w:val="0"/>
                <w:sz w:val="20"/>
              </w:rPr>
              <w:t>Dy+Tb, кг/МВт</w:t>
            </w:r>
          </w:p>
        </w:tc>
      </w:tr>
      <w:tr>
        <w:tc>
          <w:tcPr>
            <w:tcW w:type="dxa" w:w="2493"/>
          </w:tcPr>
          <w:p>
            <w:pPr>
              <w:spacing w:after="0" w:line="240" w:lineRule="auto"/>
              <w:ind w:firstLine="0"/>
              <w:jc w:val="left"/>
            </w:pPr>
            <w:r>
              <w:rPr>
                <w:b w:val="0"/>
                <w:i w:val="0"/>
                <w:sz w:val="20"/>
              </w:rPr>
              <w:t>Прямой привод (оффшор)</w:t>
            </w:r>
          </w:p>
        </w:tc>
        <w:tc>
          <w:tcPr>
            <w:tcW w:type="dxa" w:w="2493"/>
          </w:tcPr>
          <w:p>
            <w:pPr>
              <w:spacing w:after="0" w:line="240" w:lineRule="auto"/>
              <w:ind w:firstLine="0"/>
              <w:jc w:val="center"/>
            </w:pPr>
            <w:r>
              <w:rPr>
                <w:b w:val="0"/>
                <w:i w:val="0"/>
                <w:sz w:val="20"/>
              </w:rPr>
              <w:t>620</w:t>
            </w:r>
          </w:p>
        </w:tc>
        <w:tc>
          <w:tcPr>
            <w:tcW w:type="dxa" w:w="2493"/>
          </w:tcPr>
          <w:p>
            <w:pPr>
              <w:spacing w:after="0" w:line="240" w:lineRule="auto"/>
              <w:ind w:firstLine="0"/>
              <w:jc w:val="center"/>
            </w:pPr>
            <w:r>
              <w:rPr>
                <w:b w:val="0"/>
                <w:i w:val="0"/>
                <w:sz w:val="20"/>
              </w:rPr>
              <w:t>186</w:t>
            </w:r>
          </w:p>
        </w:tc>
        <w:tc>
          <w:tcPr>
            <w:tcW w:type="dxa" w:w="2493"/>
          </w:tcPr>
          <w:p>
            <w:pPr>
              <w:spacing w:after="0" w:line="240" w:lineRule="auto"/>
              <w:ind w:firstLine="0"/>
              <w:jc w:val="center"/>
            </w:pPr>
            <w:r>
              <w:rPr>
                <w:b w:val="0"/>
                <w:i w:val="0"/>
                <w:sz w:val="20"/>
              </w:rPr>
              <w:t>12,5</w:t>
            </w:r>
          </w:p>
        </w:tc>
      </w:tr>
      <w:tr>
        <w:tc>
          <w:tcPr>
            <w:tcW w:type="dxa" w:w="2493"/>
          </w:tcPr>
          <w:p>
            <w:pPr>
              <w:spacing w:after="0" w:line="240" w:lineRule="auto"/>
              <w:ind w:firstLine="0"/>
              <w:jc w:val="left"/>
            </w:pPr>
            <w:r>
              <w:rPr>
                <w:b w:val="0"/>
                <w:i w:val="0"/>
                <w:sz w:val="20"/>
              </w:rPr>
              <w:t>Прямой привод (наземная)</w:t>
            </w:r>
          </w:p>
        </w:tc>
        <w:tc>
          <w:tcPr>
            <w:tcW w:type="dxa" w:w="2493"/>
          </w:tcPr>
          <w:p>
            <w:pPr>
              <w:spacing w:after="0" w:line="240" w:lineRule="auto"/>
              <w:ind w:firstLine="0"/>
              <w:jc w:val="center"/>
            </w:pPr>
            <w:r>
              <w:rPr>
                <w:b w:val="0"/>
                <w:i w:val="0"/>
                <w:sz w:val="20"/>
              </w:rPr>
              <w:t>550</w:t>
            </w:r>
          </w:p>
        </w:tc>
        <w:tc>
          <w:tcPr>
            <w:tcW w:type="dxa" w:w="2493"/>
          </w:tcPr>
          <w:p>
            <w:pPr>
              <w:spacing w:after="0" w:line="240" w:lineRule="auto"/>
              <w:ind w:firstLine="0"/>
              <w:jc w:val="center"/>
            </w:pPr>
            <w:r>
              <w:rPr>
                <w:b w:val="0"/>
                <w:i w:val="0"/>
                <w:sz w:val="20"/>
              </w:rPr>
              <w:t>165</w:t>
            </w:r>
          </w:p>
        </w:tc>
        <w:tc>
          <w:tcPr>
            <w:tcW w:type="dxa" w:w="2493"/>
          </w:tcPr>
          <w:p>
            <w:pPr>
              <w:spacing w:after="0" w:line="240" w:lineRule="auto"/>
              <w:ind w:firstLine="0"/>
              <w:jc w:val="center"/>
            </w:pPr>
            <w:r>
              <w:rPr>
                <w:b w:val="0"/>
                <w:i w:val="0"/>
                <w:sz w:val="20"/>
              </w:rPr>
              <w:t>9,0</w:t>
            </w:r>
          </w:p>
        </w:tc>
      </w:tr>
      <w:tr>
        <w:tc>
          <w:tcPr>
            <w:tcW w:type="dxa" w:w="2493"/>
          </w:tcPr>
          <w:p>
            <w:pPr>
              <w:spacing w:after="0" w:line="240" w:lineRule="auto"/>
              <w:ind w:firstLine="0"/>
              <w:jc w:val="left"/>
            </w:pPr>
            <w:r>
              <w:rPr>
                <w:b w:val="0"/>
                <w:i w:val="0"/>
                <w:sz w:val="20"/>
              </w:rPr>
              <w:t>Среднескоростной гибрид</w:t>
            </w:r>
          </w:p>
        </w:tc>
        <w:tc>
          <w:tcPr>
            <w:tcW w:type="dxa" w:w="2493"/>
          </w:tcPr>
          <w:p>
            <w:pPr>
              <w:spacing w:after="0" w:line="240" w:lineRule="auto"/>
              <w:ind w:firstLine="0"/>
              <w:jc w:val="center"/>
            </w:pPr>
            <w:r>
              <w:rPr>
                <w:b w:val="0"/>
                <w:i w:val="0"/>
                <w:sz w:val="20"/>
              </w:rPr>
              <w:t>110</w:t>
            </w:r>
          </w:p>
        </w:tc>
        <w:tc>
          <w:tcPr>
            <w:tcW w:type="dxa" w:w="2493"/>
          </w:tcPr>
          <w:p>
            <w:pPr>
              <w:spacing w:after="0" w:line="240" w:lineRule="auto"/>
              <w:ind w:firstLine="0"/>
              <w:jc w:val="center"/>
            </w:pPr>
            <w:r>
              <w:rPr>
                <w:b w:val="0"/>
                <w:i w:val="0"/>
                <w:sz w:val="20"/>
              </w:rPr>
              <w:t>33</w:t>
            </w:r>
          </w:p>
        </w:tc>
        <w:tc>
          <w:tcPr>
            <w:tcW w:type="dxa" w:w="2493"/>
          </w:tcPr>
          <w:p>
            <w:pPr>
              <w:spacing w:after="0" w:line="240" w:lineRule="auto"/>
              <w:ind w:firstLine="0"/>
              <w:jc w:val="center"/>
            </w:pPr>
            <w:r>
              <w:rPr>
                <w:b w:val="0"/>
                <w:i w:val="0"/>
                <w:sz w:val="20"/>
              </w:rPr>
              <w:t>2,0</w:t>
            </w:r>
          </w:p>
        </w:tc>
      </w:tr>
      <w:tr>
        <w:tc>
          <w:tcPr>
            <w:tcW w:type="dxa" w:w="2493"/>
          </w:tcPr>
          <w:p>
            <w:pPr>
              <w:spacing w:after="0" w:line="240" w:lineRule="auto"/>
              <w:ind w:firstLine="0"/>
              <w:jc w:val="left"/>
            </w:pPr>
            <w:r>
              <w:rPr>
                <w:b w:val="0"/>
                <w:i w:val="0"/>
                <w:sz w:val="20"/>
              </w:rPr>
              <w:t>Редукторный (DFIG)</w:t>
            </w:r>
          </w:p>
        </w:tc>
        <w:tc>
          <w:tcPr>
            <w:tcW w:type="dxa" w:w="2493"/>
          </w:tcPr>
          <w:p>
            <w:pPr>
              <w:spacing w:after="0" w:line="240" w:lineRule="auto"/>
              <w:ind w:firstLine="0"/>
              <w:jc w:val="center"/>
            </w:pPr>
            <w:r>
              <w:rPr>
                <w:b w:val="0"/>
                <w:i w:val="0"/>
                <w:sz w:val="20"/>
              </w:rPr>
              <w:t>0</w:t>
            </w:r>
          </w:p>
        </w:tc>
        <w:tc>
          <w:tcPr>
            <w:tcW w:type="dxa" w:w="2493"/>
          </w:tcPr>
          <w:p>
            <w:pPr>
              <w:spacing w:after="0" w:line="240" w:lineRule="auto"/>
              <w:ind w:firstLine="0"/>
              <w:jc w:val="center"/>
            </w:pPr>
            <w:r>
              <w:rPr>
                <w:b w:val="0"/>
                <w:i w:val="0"/>
                <w:sz w:val="20"/>
              </w:rPr>
              <w:t>0</w:t>
            </w:r>
          </w:p>
        </w:tc>
        <w:tc>
          <w:tcPr>
            <w:tcW w:type="dxa" w:w="2493"/>
          </w:tcPr>
          <w:p>
            <w:pPr>
              <w:spacing w:after="0" w:line="240" w:lineRule="auto"/>
              <w:ind w:firstLine="0"/>
              <w:jc w:val="center"/>
            </w:pPr>
            <w:r>
              <w:rPr>
                <w:b w:val="0"/>
                <w:i w:val="0"/>
                <w:sz w:val="20"/>
              </w:rPr>
              <w:t>0</w:t>
            </w:r>
          </w:p>
        </w:tc>
      </w:tr>
    </w:tbl>
    <w:p>
      <w:pPr>
        <w:spacing w:after="180"/>
        <w:ind w:firstLine="0"/>
      </w:pPr>
      <w:r>
        <w:rPr>
          <w:i/>
          <w:sz w:val="20"/>
        </w:rPr>
        <w:t>Источник: аналитический центр по данным GWEC, производителей ВЭУ (Siemens Gamesa, Vestas, Goldwind, Envision)</w:t>
      </w:r>
    </w:p>
    <w:p>
      <w:pPr>
        <w:keepNext/>
        <w:spacing w:before="160" w:after="60"/>
        <w:ind w:firstLine="0"/>
        <w:jc w:val="left"/>
      </w:pPr>
      <w:r>
        <w:rPr>
          <w:b/>
          <w:sz w:val="22"/>
        </w:rPr>
        <w:t>Рисунок 27. Ввод мощностей ветроэнергетики в мире и спрос на NdPr, 2018–2030 гг.</w:t>
      </w:r>
    </w:p>
    <w:p>
      <w:pPr>
        <w:ind w:firstLine="0"/>
        <w:jc w:val="center"/>
      </w:pPr>
      <w:r>
        <w:drawing>
          <wp:inline xmlns:a="http://schemas.openxmlformats.org/drawingml/2006/main" xmlns:pic="http://schemas.openxmlformats.org/drawingml/2006/picture">
            <wp:extent cx="5580000" cy="2721261"/>
            <wp:docPr id="27" name="Picture 27"/>
            <wp:cNvGraphicFramePr>
              <a:graphicFrameLocks noChangeAspect="1"/>
            </wp:cNvGraphicFramePr>
            <a:graphic>
              <a:graphicData uri="http://schemas.openxmlformats.org/drawingml/2006/picture">
                <pic:pic>
                  <pic:nvPicPr>
                    <pic:cNvPr id="0" name="fig27.png"/>
                    <pic:cNvPicPr/>
                  </pic:nvPicPr>
                  <pic:blipFill>
                    <a:blip r:embed="rId37"/>
                    <a:stretch>
                      <a:fillRect/>
                    </a:stretch>
                  </pic:blipFill>
                  <pic:spPr>
                    <a:xfrm>
                      <a:off x="0" y="0"/>
                      <a:ext cx="5580000" cy="2721261"/>
                    </a:xfrm>
                    <a:prstGeom prst="rect"/>
                  </pic:spPr>
                </pic:pic>
              </a:graphicData>
            </a:graphic>
          </wp:inline>
        </w:drawing>
      </w:r>
    </w:p>
    <w:p>
      <w:pPr>
        <w:spacing w:after="180"/>
        <w:ind w:firstLine="0"/>
      </w:pPr>
      <w:r>
        <w:rPr>
          <w:i/>
          <w:sz w:val="20"/>
        </w:rPr>
        <w:t>Источник: GWEC Global Wind Report; расчёт спроса — аналитический центр</w:t>
      </w:r>
    </w:p>
    <w:p>
      <w:pPr>
        <w:pStyle w:val="Heading3"/>
      </w:pPr>
      <w:r>
        <w:rPr>
          <w:b w:val="0"/>
          <w:i w:val="0"/>
        </w:rPr>
        <w:t>5.2.4. Промышленность, робототехника и бытовая техника</w:t>
      </w:r>
    </w:p>
    <w:p>
      <w:r>
        <w:rPr>
          <w:b w:val="0"/>
          <w:i w:val="0"/>
        </w:rPr>
        <w:t>Сегмент, уступающий транспорту и энергетике по темпам роста, но превосходящий их по устойчивости и разнообразию.</w:t>
      </w:r>
    </w:p>
    <w:p>
      <w:r>
        <w:rPr>
          <w:b/>
          <w:i w:val="0"/>
        </w:rPr>
        <w:t>Промышленные приводы и сервомоторы.</w:t>
      </w:r>
      <w:r>
        <w:rPr>
          <w:b w:val="0"/>
          <w:i w:val="0"/>
        </w:rPr>
        <w:t xml:space="preserve"> Переход на энергоэффективные двигатели классов IE4/IE5, требуемый регуляторными нормами ЕС, Китая и США, невозможен на асинхронной технологии без применения постоянных магнитов. Типовой сервопривод мощностью 5 кВт содержит 0,8–1,5 кг магнитов.</w:t>
      </w:r>
    </w:p>
    <w:p>
      <w:r>
        <w:rPr>
          <w:b/>
          <w:i w:val="0"/>
        </w:rPr>
        <w:t>Робототехника.</w:t>
      </w:r>
      <w:r>
        <w:rPr>
          <w:b w:val="0"/>
          <w:i w:val="0"/>
        </w:rPr>
        <w:t xml:space="preserve"> Промышленный робот содержит 6–10 сервоприводов, суммарно 4–12 кг магнитов. Развитие сегмента человекоподобных роботов, при условии реализации заявленных производственных планов, способно сформировать самостоятельный источник спроса: один антропоморфный робот содержит 20–40 приводов и 2–5 кг магнитов.</w:t>
      </w:r>
    </w:p>
    <w:p>
      <w:r>
        <w:rPr>
          <w:b/>
          <w:i w:val="0"/>
        </w:rPr>
        <w:t>Бытовая техника.</w:t>
      </w:r>
      <w:r>
        <w:rPr>
          <w:b w:val="0"/>
          <w:i w:val="0"/>
        </w:rPr>
        <w:t xml:space="preserve"> Инверторные компрессоры холодильников и кондиционеров, приводы стиральных машин с прямым приводом, пылесосы с высокоскоростными двигателями. Удельный расход невелик (0,05–0,4 кг на изделие), но масштаб производства обеспечивает значимый суммарный объём.</w:t>
      </w:r>
    </w:p>
    <w:p>
      <w:r>
        <w:rPr>
          <w:b/>
          <w:i w:val="0"/>
        </w:rPr>
        <w:t>Электроника.</w:t>
      </w:r>
      <w:r>
        <w:rPr>
          <w:b w:val="0"/>
          <w:i w:val="0"/>
        </w:rPr>
        <w:t xml:space="preserve"> Акустические системы, вибромоторы, приводы объективов, приводы жёстких дисков. Сегмент HDD сокращается вследствие вытеснения твердотельными накопителями, однако рост ёмкости накопителей для центров обработки данных частично компенсирует это сокращение.</w:t>
      </w:r>
    </w:p>
    <w:p>
      <w:pPr>
        <w:keepNext/>
        <w:spacing w:before="160" w:after="60"/>
        <w:ind w:firstLine="0"/>
        <w:jc w:val="left"/>
      </w:pPr>
      <w:r>
        <w:rPr>
          <w:b/>
          <w:sz w:val="22"/>
        </w:rPr>
        <w:t>Таблица 37. Потребление редкоземельных магнитов по сегментам конечного применения, 2024 г.</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Сегмент</w:t>
            </w:r>
          </w:p>
        </w:tc>
        <w:tc>
          <w:tcPr>
            <w:tcW w:type="dxa" w:w="1995"/>
            <w:shd w:val="clear" w:fill="DCE6F1"/>
          </w:tcPr>
          <w:p>
            <w:pPr>
              <w:spacing w:after="0" w:line="240" w:lineRule="auto"/>
              <w:ind w:firstLine="0"/>
              <w:jc w:val="center"/>
            </w:pPr>
            <w:r>
              <w:rPr>
                <w:b/>
                <w:i w:val="0"/>
                <w:sz w:val="20"/>
              </w:rPr>
              <w:t>Магниты, тыс. т</w:t>
            </w:r>
          </w:p>
        </w:tc>
        <w:tc>
          <w:tcPr>
            <w:tcW w:type="dxa" w:w="1995"/>
            <w:shd w:val="clear" w:fill="DCE6F1"/>
          </w:tcPr>
          <w:p>
            <w:pPr>
              <w:spacing w:after="0" w:line="240" w:lineRule="auto"/>
              <w:ind w:firstLine="0"/>
              <w:jc w:val="center"/>
            </w:pPr>
            <w:r>
              <w:rPr>
                <w:b/>
                <w:i w:val="0"/>
                <w:sz w:val="20"/>
              </w:rPr>
              <w:t>Доля, %</w:t>
            </w:r>
          </w:p>
        </w:tc>
        <w:tc>
          <w:tcPr>
            <w:tcW w:type="dxa" w:w="1995"/>
            <w:shd w:val="clear" w:fill="DCE6F1"/>
          </w:tcPr>
          <w:p>
            <w:pPr>
              <w:spacing w:after="0" w:line="240" w:lineRule="auto"/>
              <w:ind w:firstLine="0"/>
              <w:jc w:val="center"/>
            </w:pPr>
            <w:r>
              <w:rPr>
                <w:b/>
                <w:i w:val="0"/>
                <w:sz w:val="20"/>
              </w:rPr>
              <w:t>NdPr, т</w:t>
            </w:r>
          </w:p>
        </w:tc>
        <w:tc>
          <w:tcPr>
            <w:tcW w:type="dxa" w:w="1995"/>
            <w:shd w:val="clear" w:fill="DCE6F1"/>
          </w:tcPr>
          <w:p>
            <w:pPr>
              <w:spacing w:after="0" w:line="240" w:lineRule="auto"/>
              <w:ind w:firstLine="0"/>
              <w:jc w:val="center"/>
            </w:pPr>
            <w:r>
              <w:rPr>
                <w:b/>
                <w:i w:val="0"/>
                <w:sz w:val="20"/>
              </w:rPr>
              <w:t>Dy+Tb, т</w:t>
            </w:r>
          </w:p>
        </w:tc>
      </w:tr>
      <w:tr>
        <w:tc>
          <w:tcPr>
            <w:tcW w:type="dxa" w:w="1995"/>
          </w:tcPr>
          <w:p>
            <w:pPr>
              <w:spacing w:after="0" w:line="240" w:lineRule="auto"/>
              <w:ind w:firstLine="0"/>
              <w:jc w:val="left"/>
            </w:pPr>
            <w:r>
              <w:rPr>
                <w:b w:val="0"/>
                <w:i w:val="0"/>
                <w:sz w:val="20"/>
              </w:rPr>
              <w:t>Электротранспорт</w:t>
            </w:r>
          </w:p>
        </w:tc>
        <w:tc>
          <w:tcPr>
            <w:tcW w:type="dxa" w:w="1995"/>
          </w:tcPr>
          <w:p>
            <w:pPr>
              <w:spacing w:after="0" w:line="240" w:lineRule="auto"/>
              <w:ind w:firstLine="0"/>
              <w:jc w:val="center"/>
            </w:pPr>
            <w:r>
              <w:rPr>
                <w:b w:val="0"/>
                <w:i w:val="0"/>
                <w:sz w:val="20"/>
              </w:rPr>
              <w:t>62,0</w:t>
            </w:r>
          </w:p>
        </w:tc>
        <w:tc>
          <w:tcPr>
            <w:tcW w:type="dxa" w:w="1995"/>
          </w:tcPr>
          <w:p>
            <w:pPr>
              <w:spacing w:after="0" w:line="240" w:lineRule="auto"/>
              <w:ind w:firstLine="0"/>
              <w:jc w:val="center"/>
            </w:pPr>
            <w:r>
              <w:rPr>
                <w:b w:val="0"/>
                <w:i w:val="0"/>
                <w:sz w:val="20"/>
              </w:rPr>
              <w:t>25,2</w:t>
            </w:r>
          </w:p>
        </w:tc>
        <w:tc>
          <w:tcPr>
            <w:tcW w:type="dxa" w:w="1995"/>
          </w:tcPr>
          <w:p>
            <w:pPr>
              <w:spacing w:after="0" w:line="240" w:lineRule="auto"/>
              <w:ind w:firstLine="0"/>
              <w:jc w:val="center"/>
            </w:pPr>
            <w:r>
              <w:rPr>
                <w:b w:val="0"/>
                <w:i w:val="0"/>
                <w:sz w:val="20"/>
              </w:rPr>
              <w:t>18 600</w:t>
            </w:r>
          </w:p>
        </w:tc>
        <w:tc>
          <w:tcPr>
            <w:tcW w:type="dxa" w:w="1995"/>
          </w:tcPr>
          <w:p>
            <w:pPr>
              <w:spacing w:after="0" w:line="240" w:lineRule="auto"/>
              <w:ind w:firstLine="0"/>
              <w:jc w:val="center"/>
            </w:pPr>
            <w:r>
              <w:rPr>
                <w:b w:val="0"/>
                <w:i w:val="0"/>
                <w:sz w:val="20"/>
              </w:rPr>
              <w:t>1 480</w:t>
            </w:r>
          </w:p>
        </w:tc>
      </w:tr>
      <w:tr>
        <w:tc>
          <w:tcPr>
            <w:tcW w:type="dxa" w:w="1995"/>
          </w:tcPr>
          <w:p>
            <w:pPr>
              <w:spacing w:after="0" w:line="240" w:lineRule="auto"/>
              <w:ind w:firstLine="0"/>
              <w:jc w:val="left"/>
            </w:pPr>
            <w:r>
              <w:rPr>
                <w:b w:val="0"/>
                <w:i w:val="0"/>
                <w:sz w:val="20"/>
              </w:rPr>
              <w:t>Прочий транспорт (ДВС, вспом.)</w:t>
            </w:r>
          </w:p>
        </w:tc>
        <w:tc>
          <w:tcPr>
            <w:tcW w:type="dxa" w:w="1995"/>
          </w:tcPr>
          <w:p>
            <w:pPr>
              <w:spacing w:after="0" w:line="240" w:lineRule="auto"/>
              <w:ind w:firstLine="0"/>
              <w:jc w:val="center"/>
            </w:pPr>
            <w:r>
              <w:rPr>
                <w:b w:val="0"/>
                <w:i w:val="0"/>
                <w:sz w:val="20"/>
              </w:rPr>
              <w:t>28,0</w:t>
            </w:r>
          </w:p>
        </w:tc>
        <w:tc>
          <w:tcPr>
            <w:tcW w:type="dxa" w:w="1995"/>
          </w:tcPr>
          <w:p>
            <w:pPr>
              <w:spacing w:after="0" w:line="240" w:lineRule="auto"/>
              <w:ind w:firstLine="0"/>
              <w:jc w:val="center"/>
            </w:pPr>
            <w:r>
              <w:rPr>
                <w:b w:val="0"/>
                <w:i w:val="0"/>
                <w:sz w:val="20"/>
              </w:rPr>
              <w:t>11,4</w:t>
            </w:r>
          </w:p>
        </w:tc>
        <w:tc>
          <w:tcPr>
            <w:tcW w:type="dxa" w:w="1995"/>
          </w:tcPr>
          <w:p>
            <w:pPr>
              <w:spacing w:after="0" w:line="240" w:lineRule="auto"/>
              <w:ind w:firstLine="0"/>
              <w:jc w:val="center"/>
            </w:pPr>
            <w:r>
              <w:rPr>
                <w:b w:val="0"/>
                <w:i w:val="0"/>
                <w:sz w:val="20"/>
              </w:rPr>
              <w:t>8 400</w:t>
            </w:r>
          </w:p>
        </w:tc>
        <w:tc>
          <w:tcPr>
            <w:tcW w:type="dxa" w:w="1995"/>
          </w:tcPr>
          <w:p>
            <w:pPr>
              <w:spacing w:after="0" w:line="240" w:lineRule="auto"/>
              <w:ind w:firstLine="0"/>
              <w:jc w:val="center"/>
            </w:pPr>
            <w:r>
              <w:rPr>
                <w:b w:val="0"/>
                <w:i w:val="0"/>
                <w:sz w:val="20"/>
              </w:rPr>
              <w:t>320</w:t>
            </w:r>
          </w:p>
        </w:tc>
      </w:tr>
      <w:tr>
        <w:tc>
          <w:tcPr>
            <w:tcW w:type="dxa" w:w="1995"/>
          </w:tcPr>
          <w:p>
            <w:pPr>
              <w:spacing w:after="0" w:line="240" w:lineRule="auto"/>
              <w:ind w:firstLine="0"/>
              <w:jc w:val="left"/>
            </w:pPr>
            <w:r>
              <w:rPr>
                <w:b w:val="0"/>
                <w:i w:val="0"/>
                <w:sz w:val="20"/>
              </w:rPr>
              <w:t>Ветроэнергетика</w:t>
            </w:r>
          </w:p>
        </w:tc>
        <w:tc>
          <w:tcPr>
            <w:tcW w:type="dxa" w:w="1995"/>
          </w:tcPr>
          <w:p>
            <w:pPr>
              <w:spacing w:after="0" w:line="240" w:lineRule="auto"/>
              <w:ind w:firstLine="0"/>
              <w:jc w:val="center"/>
            </w:pPr>
            <w:r>
              <w:rPr>
                <w:b w:val="0"/>
                <w:i w:val="0"/>
                <w:sz w:val="20"/>
              </w:rPr>
              <w:t>25,5</w:t>
            </w:r>
          </w:p>
        </w:tc>
        <w:tc>
          <w:tcPr>
            <w:tcW w:type="dxa" w:w="1995"/>
          </w:tcPr>
          <w:p>
            <w:pPr>
              <w:spacing w:after="0" w:line="240" w:lineRule="auto"/>
              <w:ind w:firstLine="0"/>
              <w:jc w:val="center"/>
            </w:pPr>
            <w:r>
              <w:rPr>
                <w:b w:val="0"/>
                <w:i w:val="0"/>
                <w:sz w:val="20"/>
              </w:rPr>
              <w:t>10,4</w:t>
            </w:r>
          </w:p>
        </w:tc>
        <w:tc>
          <w:tcPr>
            <w:tcW w:type="dxa" w:w="1995"/>
          </w:tcPr>
          <w:p>
            <w:pPr>
              <w:spacing w:after="0" w:line="240" w:lineRule="auto"/>
              <w:ind w:firstLine="0"/>
              <w:jc w:val="center"/>
            </w:pPr>
            <w:r>
              <w:rPr>
                <w:b w:val="0"/>
                <w:i w:val="0"/>
                <w:sz w:val="20"/>
              </w:rPr>
              <w:t>7 650</w:t>
            </w:r>
          </w:p>
        </w:tc>
        <w:tc>
          <w:tcPr>
            <w:tcW w:type="dxa" w:w="1995"/>
          </w:tcPr>
          <w:p>
            <w:pPr>
              <w:spacing w:after="0" w:line="240" w:lineRule="auto"/>
              <w:ind w:firstLine="0"/>
              <w:jc w:val="center"/>
            </w:pPr>
            <w:r>
              <w:rPr>
                <w:b w:val="0"/>
                <w:i w:val="0"/>
                <w:sz w:val="20"/>
              </w:rPr>
              <w:t>460</w:t>
            </w:r>
          </w:p>
        </w:tc>
      </w:tr>
      <w:tr>
        <w:tc>
          <w:tcPr>
            <w:tcW w:type="dxa" w:w="1995"/>
          </w:tcPr>
          <w:p>
            <w:pPr>
              <w:spacing w:after="0" w:line="240" w:lineRule="auto"/>
              <w:ind w:firstLine="0"/>
              <w:jc w:val="left"/>
            </w:pPr>
            <w:r>
              <w:rPr>
                <w:b w:val="0"/>
                <w:i w:val="0"/>
                <w:sz w:val="20"/>
              </w:rPr>
              <w:t>Промышленные приводы, робототехника</w:t>
            </w:r>
          </w:p>
        </w:tc>
        <w:tc>
          <w:tcPr>
            <w:tcW w:type="dxa" w:w="1995"/>
          </w:tcPr>
          <w:p>
            <w:pPr>
              <w:spacing w:after="0" w:line="240" w:lineRule="auto"/>
              <w:ind w:firstLine="0"/>
              <w:jc w:val="center"/>
            </w:pPr>
            <w:r>
              <w:rPr>
                <w:b w:val="0"/>
                <w:i w:val="0"/>
                <w:sz w:val="20"/>
              </w:rPr>
              <w:t>41,0</w:t>
            </w:r>
          </w:p>
        </w:tc>
        <w:tc>
          <w:tcPr>
            <w:tcW w:type="dxa" w:w="1995"/>
          </w:tcPr>
          <w:p>
            <w:pPr>
              <w:spacing w:after="0" w:line="240" w:lineRule="auto"/>
              <w:ind w:firstLine="0"/>
              <w:jc w:val="center"/>
            </w:pPr>
            <w:r>
              <w:rPr>
                <w:b w:val="0"/>
                <w:i w:val="0"/>
                <w:sz w:val="20"/>
              </w:rPr>
              <w:t>16,7</w:t>
            </w:r>
          </w:p>
        </w:tc>
        <w:tc>
          <w:tcPr>
            <w:tcW w:type="dxa" w:w="1995"/>
          </w:tcPr>
          <w:p>
            <w:pPr>
              <w:spacing w:after="0" w:line="240" w:lineRule="auto"/>
              <w:ind w:firstLine="0"/>
              <w:jc w:val="center"/>
            </w:pPr>
            <w:r>
              <w:rPr>
                <w:b w:val="0"/>
                <w:i w:val="0"/>
                <w:sz w:val="20"/>
              </w:rPr>
              <w:t>12 300</w:t>
            </w:r>
          </w:p>
        </w:tc>
        <w:tc>
          <w:tcPr>
            <w:tcW w:type="dxa" w:w="1995"/>
          </w:tcPr>
          <w:p>
            <w:pPr>
              <w:spacing w:after="0" w:line="240" w:lineRule="auto"/>
              <w:ind w:firstLine="0"/>
              <w:jc w:val="center"/>
            </w:pPr>
            <w:r>
              <w:rPr>
                <w:b w:val="0"/>
                <w:i w:val="0"/>
                <w:sz w:val="20"/>
              </w:rPr>
              <w:t>590</w:t>
            </w:r>
          </w:p>
        </w:tc>
      </w:tr>
      <w:tr>
        <w:tc>
          <w:tcPr>
            <w:tcW w:type="dxa" w:w="1995"/>
          </w:tcPr>
          <w:p>
            <w:pPr>
              <w:spacing w:after="0" w:line="240" w:lineRule="auto"/>
              <w:ind w:firstLine="0"/>
              <w:jc w:val="left"/>
            </w:pPr>
            <w:r>
              <w:rPr>
                <w:b w:val="0"/>
                <w:i w:val="0"/>
                <w:sz w:val="20"/>
              </w:rPr>
              <w:t>Бытовая техника и HVAC</w:t>
            </w:r>
          </w:p>
        </w:tc>
        <w:tc>
          <w:tcPr>
            <w:tcW w:type="dxa" w:w="1995"/>
          </w:tcPr>
          <w:p>
            <w:pPr>
              <w:spacing w:after="0" w:line="240" w:lineRule="auto"/>
              <w:ind w:firstLine="0"/>
              <w:jc w:val="center"/>
            </w:pPr>
            <w:r>
              <w:rPr>
                <w:b w:val="0"/>
                <w:i w:val="0"/>
                <w:sz w:val="20"/>
              </w:rPr>
              <w:t>39,0</w:t>
            </w:r>
          </w:p>
        </w:tc>
        <w:tc>
          <w:tcPr>
            <w:tcW w:type="dxa" w:w="1995"/>
          </w:tcPr>
          <w:p>
            <w:pPr>
              <w:spacing w:after="0" w:line="240" w:lineRule="auto"/>
              <w:ind w:firstLine="0"/>
              <w:jc w:val="center"/>
            </w:pPr>
            <w:r>
              <w:rPr>
                <w:b w:val="0"/>
                <w:i w:val="0"/>
                <w:sz w:val="20"/>
              </w:rPr>
              <w:t>15,9</w:t>
            </w:r>
          </w:p>
        </w:tc>
        <w:tc>
          <w:tcPr>
            <w:tcW w:type="dxa" w:w="1995"/>
          </w:tcPr>
          <w:p>
            <w:pPr>
              <w:spacing w:after="0" w:line="240" w:lineRule="auto"/>
              <w:ind w:firstLine="0"/>
              <w:jc w:val="center"/>
            </w:pPr>
            <w:r>
              <w:rPr>
                <w:b w:val="0"/>
                <w:i w:val="0"/>
                <w:sz w:val="20"/>
              </w:rPr>
              <w:t>11 700</w:t>
            </w:r>
          </w:p>
        </w:tc>
        <w:tc>
          <w:tcPr>
            <w:tcW w:type="dxa" w:w="1995"/>
          </w:tcPr>
          <w:p>
            <w:pPr>
              <w:spacing w:after="0" w:line="240" w:lineRule="auto"/>
              <w:ind w:firstLine="0"/>
              <w:jc w:val="center"/>
            </w:pPr>
            <w:r>
              <w:rPr>
                <w:b w:val="0"/>
                <w:i w:val="0"/>
                <w:sz w:val="20"/>
              </w:rPr>
              <w:t>380</w:t>
            </w:r>
          </w:p>
        </w:tc>
      </w:tr>
      <w:tr>
        <w:tc>
          <w:tcPr>
            <w:tcW w:type="dxa" w:w="1995"/>
          </w:tcPr>
          <w:p>
            <w:pPr>
              <w:spacing w:after="0" w:line="240" w:lineRule="auto"/>
              <w:ind w:firstLine="0"/>
              <w:jc w:val="left"/>
            </w:pPr>
            <w:r>
              <w:rPr>
                <w:b w:val="0"/>
                <w:i w:val="0"/>
                <w:sz w:val="20"/>
              </w:rPr>
              <w:t>Электроника и акустика</w:t>
            </w:r>
          </w:p>
        </w:tc>
        <w:tc>
          <w:tcPr>
            <w:tcW w:type="dxa" w:w="1995"/>
          </w:tcPr>
          <w:p>
            <w:pPr>
              <w:spacing w:after="0" w:line="240" w:lineRule="auto"/>
              <w:ind w:firstLine="0"/>
              <w:jc w:val="center"/>
            </w:pPr>
            <w:r>
              <w:rPr>
                <w:b w:val="0"/>
                <w:i w:val="0"/>
                <w:sz w:val="20"/>
              </w:rPr>
              <w:t>32,0</w:t>
            </w:r>
          </w:p>
        </w:tc>
        <w:tc>
          <w:tcPr>
            <w:tcW w:type="dxa" w:w="1995"/>
          </w:tcPr>
          <w:p>
            <w:pPr>
              <w:spacing w:after="0" w:line="240" w:lineRule="auto"/>
              <w:ind w:firstLine="0"/>
              <w:jc w:val="center"/>
            </w:pPr>
            <w:r>
              <w:rPr>
                <w:b w:val="0"/>
                <w:i w:val="0"/>
                <w:sz w:val="20"/>
              </w:rPr>
              <w:t>13,0</w:t>
            </w:r>
          </w:p>
        </w:tc>
        <w:tc>
          <w:tcPr>
            <w:tcW w:type="dxa" w:w="1995"/>
          </w:tcPr>
          <w:p>
            <w:pPr>
              <w:spacing w:after="0" w:line="240" w:lineRule="auto"/>
              <w:ind w:firstLine="0"/>
              <w:jc w:val="center"/>
            </w:pPr>
            <w:r>
              <w:rPr>
                <w:b w:val="0"/>
                <w:i w:val="0"/>
                <w:sz w:val="20"/>
              </w:rPr>
              <w:t>9 600</w:t>
            </w:r>
          </w:p>
        </w:tc>
        <w:tc>
          <w:tcPr>
            <w:tcW w:type="dxa" w:w="1995"/>
          </w:tcPr>
          <w:p>
            <w:pPr>
              <w:spacing w:after="0" w:line="240" w:lineRule="auto"/>
              <w:ind w:firstLine="0"/>
              <w:jc w:val="center"/>
            </w:pPr>
            <w:r>
              <w:rPr>
                <w:b w:val="0"/>
                <w:i w:val="0"/>
                <w:sz w:val="20"/>
              </w:rPr>
              <w:t>210</w:t>
            </w:r>
          </w:p>
        </w:tc>
      </w:tr>
      <w:tr>
        <w:tc>
          <w:tcPr>
            <w:tcW w:type="dxa" w:w="1995"/>
          </w:tcPr>
          <w:p>
            <w:pPr>
              <w:spacing w:after="0" w:line="240" w:lineRule="auto"/>
              <w:ind w:firstLine="0"/>
              <w:jc w:val="left"/>
            </w:pPr>
            <w:r>
              <w:rPr>
                <w:b w:val="0"/>
                <w:i w:val="0"/>
                <w:sz w:val="20"/>
              </w:rPr>
              <w:t>Медицина, ВПК, аэрокосмос</w:t>
            </w:r>
          </w:p>
        </w:tc>
        <w:tc>
          <w:tcPr>
            <w:tcW w:type="dxa" w:w="1995"/>
          </w:tcPr>
          <w:p>
            <w:pPr>
              <w:spacing w:after="0" w:line="240" w:lineRule="auto"/>
              <w:ind w:firstLine="0"/>
              <w:jc w:val="center"/>
            </w:pPr>
            <w:r>
              <w:rPr>
                <w:b w:val="0"/>
                <w:i w:val="0"/>
                <w:sz w:val="20"/>
              </w:rPr>
              <w:t>9,0</w:t>
            </w:r>
          </w:p>
        </w:tc>
        <w:tc>
          <w:tcPr>
            <w:tcW w:type="dxa" w:w="1995"/>
          </w:tcPr>
          <w:p>
            <w:pPr>
              <w:spacing w:after="0" w:line="240" w:lineRule="auto"/>
              <w:ind w:firstLine="0"/>
              <w:jc w:val="center"/>
            </w:pPr>
            <w:r>
              <w:rPr>
                <w:b w:val="0"/>
                <w:i w:val="0"/>
                <w:sz w:val="20"/>
              </w:rPr>
              <w:t>3,7</w:t>
            </w:r>
          </w:p>
        </w:tc>
        <w:tc>
          <w:tcPr>
            <w:tcW w:type="dxa" w:w="1995"/>
          </w:tcPr>
          <w:p>
            <w:pPr>
              <w:spacing w:after="0" w:line="240" w:lineRule="auto"/>
              <w:ind w:firstLine="0"/>
              <w:jc w:val="center"/>
            </w:pPr>
            <w:r>
              <w:rPr>
                <w:b w:val="0"/>
                <w:i w:val="0"/>
                <w:sz w:val="20"/>
              </w:rPr>
              <w:t>2 700</w:t>
            </w:r>
          </w:p>
        </w:tc>
        <w:tc>
          <w:tcPr>
            <w:tcW w:type="dxa" w:w="1995"/>
          </w:tcPr>
          <w:p>
            <w:pPr>
              <w:spacing w:after="0" w:line="240" w:lineRule="auto"/>
              <w:ind w:firstLine="0"/>
              <w:jc w:val="center"/>
            </w:pPr>
            <w:r>
              <w:rPr>
                <w:b w:val="0"/>
                <w:i w:val="0"/>
                <w:sz w:val="20"/>
              </w:rPr>
              <w:t>340</w:t>
            </w:r>
          </w:p>
        </w:tc>
      </w:tr>
      <w:tr>
        <w:tc>
          <w:tcPr>
            <w:tcW w:type="dxa" w:w="1995"/>
          </w:tcPr>
          <w:p>
            <w:pPr>
              <w:spacing w:after="0" w:line="240" w:lineRule="auto"/>
              <w:ind w:firstLine="0"/>
              <w:jc w:val="left"/>
            </w:pPr>
            <w:r>
              <w:rPr>
                <w:b w:val="0"/>
                <w:i w:val="0"/>
                <w:sz w:val="20"/>
              </w:rPr>
              <w:t>Прочее</w:t>
            </w:r>
          </w:p>
        </w:tc>
        <w:tc>
          <w:tcPr>
            <w:tcW w:type="dxa" w:w="1995"/>
          </w:tcPr>
          <w:p>
            <w:pPr>
              <w:spacing w:after="0" w:line="240" w:lineRule="auto"/>
              <w:ind w:firstLine="0"/>
              <w:jc w:val="center"/>
            </w:pPr>
            <w:r>
              <w:rPr>
                <w:b w:val="0"/>
                <w:i w:val="0"/>
                <w:sz w:val="20"/>
              </w:rPr>
              <w:t>9,3</w:t>
            </w:r>
          </w:p>
        </w:tc>
        <w:tc>
          <w:tcPr>
            <w:tcW w:type="dxa" w:w="1995"/>
          </w:tcPr>
          <w:p>
            <w:pPr>
              <w:spacing w:after="0" w:line="240" w:lineRule="auto"/>
              <w:ind w:firstLine="0"/>
              <w:jc w:val="center"/>
            </w:pPr>
            <w:r>
              <w:rPr>
                <w:b w:val="0"/>
                <w:i w:val="0"/>
                <w:sz w:val="20"/>
              </w:rPr>
              <w:t>3,7</w:t>
            </w:r>
          </w:p>
        </w:tc>
        <w:tc>
          <w:tcPr>
            <w:tcW w:type="dxa" w:w="1995"/>
          </w:tcPr>
          <w:p>
            <w:pPr>
              <w:spacing w:after="0" w:line="240" w:lineRule="auto"/>
              <w:ind w:firstLine="0"/>
              <w:jc w:val="center"/>
            </w:pPr>
            <w:r>
              <w:rPr>
                <w:b w:val="0"/>
                <w:i w:val="0"/>
                <w:sz w:val="20"/>
              </w:rPr>
              <w:t>2 800</w:t>
            </w:r>
          </w:p>
        </w:tc>
        <w:tc>
          <w:tcPr>
            <w:tcW w:type="dxa" w:w="1995"/>
          </w:tcPr>
          <w:p>
            <w:pPr>
              <w:spacing w:after="0" w:line="240" w:lineRule="auto"/>
              <w:ind w:firstLine="0"/>
              <w:jc w:val="center"/>
            </w:pPr>
            <w:r>
              <w:rPr>
                <w:b w:val="0"/>
                <w:i w:val="0"/>
                <w:sz w:val="20"/>
              </w:rPr>
              <w:t>120</w:t>
            </w:r>
          </w:p>
        </w:tc>
      </w:tr>
      <w:tr>
        <w:tc>
          <w:tcPr>
            <w:tcW w:type="dxa" w:w="1995"/>
          </w:tcPr>
          <w:p>
            <w:pPr>
              <w:spacing w:after="0" w:line="240" w:lineRule="auto"/>
              <w:ind w:firstLine="0"/>
              <w:jc w:val="left"/>
            </w:pPr>
            <w:r>
              <w:rPr>
                <w:b/>
                <w:i w:val="0"/>
                <w:sz w:val="20"/>
              </w:rPr>
              <w:t>Всего</w:t>
            </w:r>
          </w:p>
        </w:tc>
        <w:tc>
          <w:tcPr>
            <w:tcW w:type="dxa" w:w="1995"/>
          </w:tcPr>
          <w:p>
            <w:pPr>
              <w:spacing w:after="0" w:line="240" w:lineRule="auto"/>
              <w:ind w:firstLine="0"/>
              <w:jc w:val="center"/>
            </w:pPr>
            <w:r>
              <w:rPr>
                <w:b/>
                <w:i w:val="0"/>
                <w:sz w:val="20"/>
              </w:rPr>
              <w:t>245,8</w:t>
            </w:r>
          </w:p>
        </w:tc>
        <w:tc>
          <w:tcPr>
            <w:tcW w:type="dxa" w:w="1995"/>
          </w:tcPr>
          <w:p>
            <w:pPr>
              <w:spacing w:after="0" w:line="240" w:lineRule="auto"/>
              <w:ind w:firstLine="0"/>
              <w:jc w:val="center"/>
            </w:pPr>
            <w:r>
              <w:rPr>
                <w:b/>
                <w:i w:val="0"/>
                <w:sz w:val="20"/>
              </w:rPr>
              <w:t>100,0</w:t>
            </w:r>
          </w:p>
        </w:tc>
        <w:tc>
          <w:tcPr>
            <w:tcW w:type="dxa" w:w="1995"/>
          </w:tcPr>
          <w:p>
            <w:pPr>
              <w:spacing w:after="0" w:line="240" w:lineRule="auto"/>
              <w:ind w:firstLine="0"/>
              <w:jc w:val="center"/>
            </w:pPr>
            <w:r>
              <w:rPr>
                <w:b/>
                <w:i w:val="0"/>
                <w:sz w:val="20"/>
              </w:rPr>
              <w:t>73 750</w:t>
            </w:r>
          </w:p>
        </w:tc>
        <w:tc>
          <w:tcPr>
            <w:tcW w:type="dxa" w:w="1995"/>
          </w:tcPr>
          <w:p>
            <w:pPr>
              <w:spacing w:after="0" w:line="240" w:lineRule="auto"/>
              <w:ind w:firstLine="0"/>
              <w:jc w:val="center"/>
            </w:pPr>
            <w:r>
              <w:rPr>
                <w:b/>
                <w:i w:val="0"/>
                <w:sz w:val="20"/>
              </w:rPr>
              <w:t>3 900</w:t>
            </w:r>
          </w:p>
        </w:tc>
      </w:tr>
    </w:tbl>
    <w:p>
      <w:pPr>
        <w:spacing w:after="180"/>
        <w:ind w:firstLine="0"/>
      </w:pPr>
      <w:r>
        <w:rPr>
          <w:i/>
          <w:sz w:val="20"/>
        </w:rPr>
        <w:t>Источник: аналитический центр по данным Adamas Intelligence и отраслевых ассоциаций</w:t>
      </w:r>
    </w:p>
    <w:p>
      <w:pPr>
        <w:keepNext/>
        <w:spacing w:before="160" w:after="60"/>
        <w:ind w:firstLine="0"/>
        <w:jc w:val="left"/>
      </w:pPr>
      <w:r>
        <w:rPr>
          <w:b/>
          <w:sz w:val="22"/>
        </w:rPr>
        <w:t>Рисунок 28. Структура потребления редкоземельных магнитов по сегментам конечного применения, 2024 г., %</w:t>
      </w:r>
    </w:p>
    <w:p>
      <w:pPr>
        <w:ind w:firstLine="0"/>
        <w:jc w:val="center"/>
      </w:pPr>
      <w:r>
        <w:drawing>
          <wp:inline xmlns:a="http://schemas.openxmlformats.org/drawingml/2006/main" xmlns:pic="http://schemas.openxmlformats.org/drawingml/2006/picture">
            <wp:extent cx="5580000" cy="3600000"/>
            <wp:docPr id="28" name="Picture 28"/>
            <wp:cNvGraphicFramePr>
              <a:graphicFrameLocks noChangeAspect="1"/>
            </wp:cNvGraphicFramePr>
            <a:graphic>
              <a:graphicData uri="http://schemas.openxmlformats.org/drawingml/2006/picture">
                <pic:pic>
                  <pic:nvPicPr>
                    <pic:cNvPr id="0" name="fig28.png"/>
                    <pic:cNvPicPr/>
                  </pic:nvPicPr>
                  <pic:blipFill>
                    <a:blip r:embed="rId38"/>
                    <a:stretch>
                      <a:fillRect/>
                    </a:stretch>
                  </pic:blipFill>
                  <pic:spPr>
                    <a:xfrm>
                      <a:off x="0" y="0"/>
                      <a:ext cx="5580000" cy="3600000"/>
                    </a:xfrm>
                    <a:prstGeom prst="rect"/>
                  </pic:spPr>
                </pic:pic>
              </a:graphicData>
            </a:graphic>
          </wp:inline>
        </w:drawing>
      </w:r>
    </w:p>
    <w:p>
      <w:pPr>
        <w:spacing w:after="180"/>
        <w:ind w:firstLine="0"/>
      </w:pPr>
      <w:r>
        <w:rPr>
          <w:i/>
          <w:sz w:val="20"/>
        </w:rPr>
        <w:t>Источник: аналитический центр (табл. 37)</w:t>
      </w:r>
    </w:p>
    <w:p>
      <w:pPr>
        <w:pStyle w:val="Heading2"/>
      </w:pPr>
      <w:r>
        <w:rPr>
          <w:b w:val="0"/>
          <w:i w:val="0"/>
        </w:rPr>
        <w:t>5.3. Катализаторы</w:t>
      </w:r>
    </w:p>
    <w:p>
      <w:pPr>
        <w:pStyle w:val="Heading3"/>
      </w:pPr>
      <w:r>
        <w:rPr>
          <w:b w:val="0"/>
          <w:i w:val="0"/>
        </w:rPr>
        <w:t>5.3.1. Катализаторы каталитического крекинга (FCC)</w:t>
      </w:r>
    </w:p>
    <w:p>
      <w:r>
        <w:rPr>
          <w:b w:val="0"/>
          <w:i w:val="0"/>
        </w:rPr>
        <w:t>Крупнейшее по объёму направление применения лантана. Цеолитные катализаторы крекинга содержат 1,5–4,0% оксидов редких земель (преимущественно лантана с добавкой церия), стабилизирующих структуру цеолита Y и повышающих выход бензиновых фракций.</w:t>
      </w:r>
    </w:p>
    <w:p>
      <w:r>
        <w:rPr>
          <w:b w:val="0"/>
          <w:i w:val="0"/>
        </w:rPr>
        <w:t>Мировое потребление катализаторов FCC составляет порядка 700–800 тыс. т в год, что соответствует потреблению 14–20 тыс. т TREO. Сегмент характеризуется стабильностью и низкой ценовой эластичностью: доля стоимости редких земель в цене катализатора невелика, а замена технологически затруднена.</w:t>
      </w:r>
    </w:p>
    <w:p>
      <w:r>
        <w:rPr>
          <w:b w:val="0"/>
          <w:i w:val="0"/>
        </w:rPr>
        <w:t>Долгосрочная перспектива сегмента определяется динамикой нефтепереработки. Базовый прогноз предполагает стабилизацию с последующим медленным снижением после 2030 г. по мере сокращения спроса на моторные топлива в развитых странах при частичной компенсации ростом в Азии и на Ближнем Востоке.</w:t>
      </w:r>
    </w:p>
    <w:p>
      <w:pPr>
        <w:pStyle w:val="Heading3"/>
      </w:pPr>
      <w:r>
        <w:rPr>
          <w:b w:val="0"/>
          <w:i w:val="0"/>
        </w:rPr>
        <w:t>5.3.2. Автомобильные катализаторы</w:t>
      </w:r>
    </w:p>
    <w:p>
      <w:r>
        <w:rPr>
          <w:b w:val="0"/>
          <w:i w:val="0"/>
        </w:rPr>
        <w:t>Оксид церия в составе трёхмаршрутных нейтрализаторов выполняет функцию кислородного буфера (oxygen storage capacity), обеспечивая работу катализатора в условиях изменяющегося состава смеси. Содержание CeO₂ в блоке составляет 20–80 г. Мировое потребление — порядка 8–10 тыс. т CeO₂ в год.</w:t>
      </w:r>
    </w:p>
    <w:p>
      <w:r>
        <w:rPr>
          <w:b w:val="0"/>
          <w:i w:val="0"/>
        </w:rPr>
        <w:t>Сегмент структурно сокращается по мере электрификации автопарка, однако ужесточение норм (Евро-7, Китай-7) частично компенсирует падение за счёт увеличения загрузки на одно изделие.</w:t>
      </w:r>
    </w:p>
    <w:p>
      <w:pPr>
        <w:keepNext/>
        <w:spacing w:before="160" w:after="60"/>
        <w:ind w:firstLine="0"/>
        <w:jc w:val="left"/>
      </w:pPr>
      <w:r>
        <w:rPr>
          <w:b/>
          <w:sz w:val="22"/>
        </w:rPr>
        <w:t>Таблица 38. Потребление редкоземельных элементов в каталитических системах, 2020–2030 гг., т TREO</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Направление</w:t>
            </w:r>
          </w:p>
        </w:tc>
        <w:tc>
          <w:tcPr>
            <w:tcW w:type="dxa" w:w="1662"/>
            <w:shd w:val="clear" w:fill="DCE6F1"/>
          </w:tcPr>
          <w:p>
            <w:pPr>
              <w:spacing w:after="0" w:line="240" w:lineRule="auto"/>
              <w:ind w:firstLine="0"/>
              <w:jc w:val="center"/>
            </w:pPr>
            <w:r>
              <w:rPr>
                <w:b/>
                <w:i w:val="0"/>
                <w:sz w:val="20"/>
              </w:rPr>
              <w:t>2020</w:t>
            </w:r>
          </w:p>
        </w:tc>
        <w:tc>
          <w:tcPr>
            <w:tcW w:type="dxa" w:w="1662"/>
            <w:shd w:val="clear" w:fill="DCE6F1"/>
          </w:tcPr>
          <w:p>
            <w:pPr>
              <w:spacing w:after="0" w:line="240" w:lineRule="auto"/>
              <w:ind w:firstLine="0"/>
              <w:jc w:val="center"/>
            </w:pPr>
            <w:r>
              <w:rPr>
                <w:b/>
                <w:i w:val="0"/>
                <w:sz w:val="20"/>
              </w:rPr>
              <w:t>2022</w:t>
            </w:r>
          </w:p>
        </w:tc>
        <w:tc>
          <w:tcPr>
            <w:tcW w:type="dxa" w:w="1662"/>
            <w:shd w:val="clear" w:fill="DCE6F1"/>
          </w:tcPr>
          <w:p>
            <w:pPr>
              <w:spacing w:after="0" w:line="240" w:lineRule="auto"/>
              <w:ind w:firstLine="0"/>
              <w:jc w:val="center"/>
            </w:pPr>
            <w:r>
              <w:rPr>
                <w:b/>
                <w:i w:val="0"/>
                <w:sz w:val="20"/>
              </w:rPr>
              <w:t>2024</w:t>
            </w:r>
          </w:p>
        </w:tc>
        <w:tc>
          <w:tcPr>
            <w:tcW w:type="dxa" w:w="1662"/>
            <w:shd w:val="clear" w:fill="DCE6F1"/>
          </w:tcPr>
          <w:p>
            <w:pPr>
              <w:spacing w:after="0" w:line="240" w:lineRule="auto"/>
              <w:ind w:firstLine="0"/>
              <w:jc w:val="center"/>
            </w:pPr>
            <w:r>
              <w:rPr>
                <w:b/>
                <w:i w:val="0"/>
                <w:sz w:val="20"/>
              </w:rPr>
              <w:t>2027 (пр.)</w:t>
            </w:r>
          </w:p>
        </w:tc>
        <w:tc>
          <w:tcPr>
            <w:tcW w:type="dxa" w:w="1662"/>
            <w:shd w:val="clear" w:fill="DCE6F1"/>
          </w:tcPr>
          <w:p>
            <w:pPr>
              <w:spacing w:after="0" w:line="240" w:lineRule="auto"/>
              <w:ind w:firstLine="0"/>
              <w:jc w:val="center"/>
            </w:pPr>
            <w:r>
              <w:rPr>
                <w:b/>
                <w:i w:val="0"/>
                <w:sz w:val="20"/>
              </w:rPr>
              <w:t>2030 (пр.)</w:t>
            </w:r>
          </w:p>
        </w:tc>
      </w:tr>
      <w:tr>
        <w:tc>
          <w:tcPr>
            <w:tcW w:type="dxa" w:w="1662"/>
          </w:tcPr>
          <w:p>
            <w:pPr>
              <w:spacing w:after="0" w:line="240" w:lineRule="auto"/>
              <w:ind w:firstLine="0"/>
              <w:jc w:val="left"/>
            </w:pPr>
            <w:r>
              <w:rPr>
                <w:b w:val="0"/>
                <w:i w:val="0"/>
                <w:sz w:val="20"/>
              </w:rPr>
              <w:t>Катализаторы FCC (La, Ce)</w:t>
            </w:r>
          </w:p>
        </w:tc>
        <w:tc>
          <w:tcPr>
            <w:tcW w:type="dxa" w:w="1662"/>
          </w:tcPr>
          <w:p>
            <w:pPr>
              <w:spacing w:after="0" w:line="240" w:lineRule="auto"/>
              <w:ind w:firstLine="0"/>
              <w:jc w:val="center"/>
            </w:pPr>
            <w:r>
              <w:rPr>
                <w:b w:val="0"/>
                <w:i w:val="0"/>
                <w:sz w:val="20"/>
              </w:rPr>
              <w:t>16 500</w:t>
            </w:r>
          </w:p>
        </w:tc>
        <w:tc>
          <w:tcPr>
            <w:tcW w:type="dxa" w:w="1662"/>
          </w:tcPr>
          <w:p>
            <w:pPr>
              <w:spacing w:after="0" w:line="240" w:lineRule="auto"/>
              <w:ind w:firstLine="0"/>
              <w:jc w:val="center"/>
            </w:pPr>
            <w:r>
              <w:rPr>
                <w:b w:val="0"/>
                <w:i w:val="0"/>
                <w:sz w:val="20"/>
              </w:rPr>
              <w:t>17 000</w:t>
            </w:r>
          </w:p>
        </w:tc>
        <w:tc>
          <w:tcPr>
            <w:tcW w:type="dxa" w:w="1662"/>
          </w:tcPr>
          <w:p>
            <w:pPr>
              <w:spacing w:after="0" w:line="240" w:lineRule="auto"/>
              <w:ind w:firstLine="0"/>
              <w:jc w:val="center"/>
            </w:pPr>
            <w:r>
              <w:rPr>
                <w:b w:val="0"/>
                <w:i w:val="0"/>
                <w:sz w:val="20"/>
              </w:rPr>
              <w:t>17 500</w:t>
            </w:r>
          </w:p>
        </w:tc>
        <w:tc>
          <w:tcPr>
            <w:tcW w:type="dxa" w:w="1662"/>
          </w:tcPr>
          <w:p>
            <w:pPr>
              <w:spacing w:after="0" w:line="240" w:lineRule="auto"/>
              <w:ind w:firstLine="0"/>
              <w:jc w:val="center"/>
            </w:pPr>
            <w:r>
              <w:rPr>
                <w:b w:val="0"/>
                <w:i w:val="0"/>
                <w:sz w:val="20"/>
              </w:rPr>
              <w:t>17 200</w:t>
            </w:r>
          </w:p>
        </w:tc>
        <w:tc>
          <w:tcPr>
            <w:tcW w:type="dxa" w:w="1662"/>
          </w:tcPr>
          <w:p>
            <w:pPr>
              <w:spacing w:after="0" w:line="240" w:lineRule="auto"/>
              <w:ind w:firstLine="0"/>
              <w:jc w:val="center"/>
            </w:pPr>
            <w:r>
              <w:rPr>
                <w:b w:val="0"/>
                <w:i w:val="0"/>
                <w:sz w:val="20"/>
              </w:rPr>
              <w:t>16 500</w:t>
            </w:r>
          </w:p>
        </w:tc>
      </w:tr>
      <w:tr>
        <w:tc>
          <w:tcPr>
            <w:tcW w:type="dxa" w:w="1662"/>
          </w:tcPr>
          <w:p>
            <w:pPr>
              <w:spacing w:after="0" w:line="240" w:lineRule="auto"/>
              <w:ind w:firstLine="0"/>
              <w:jc w:val="left"/>
            </w:pPr>
            <w:r>
              <w:rPr>
                <w:b w:val="0"/>
                <w:i w:val="0"/>
                <w:sz w:val="20"/>
              </w:rPr>
              <w:t>Автомобильные катализаторы (Ce)</w:t>
            </w:r>
          </w:p>
        </w:tc>
        <w:tc>
          <w:tcPr>
            <w:tcW w:type="dxa" w:w="1662"/>
          </w:tcPr>
          <w:p>
            <w:pPr>
              <w:spacing w:after="0" w:line="240" w:lineRule="auto"/>
              <w:ind w:firstLine="0"/>
              <w:jc w:val="center"/>
            </w:pPr>
            <w:r>
              <w:rPr>
                <w:b w:val="0"/>
                <w:i w:val="0"/>
                <w:sz w:val="20"/>
              </w:rPr>
              <w:t>8 200</w:t>
            </w:r>
          </w:p>
        </w:tc>
        <w:tc>
          <w:tcPr>
            <w:tcW w:type="dxa" w:w="1662"/>
          </w:tcPr>
          <w:p>
            <w:pPr>
              <w:spacing w:after="0" w:line="240" w:lineRule="auto"/>
              <w:ind w:firstLine="0"/>
              <w:jc w:val="center"/>
            </w:pPr>
            <w:r>
              <w:rPr>
                <w:b w:val="0"/>
                <w:i w:val="0"/>
                <w:sz w:val="20"/>
              </w:rPr>
              <w:t>8 400</w:t>
            </w:r>
          </w:p>
        </w:tc>
        <w:tc>
          <w:tcPr>
            <w:tcW w:type="dxa" w:w="1662"/>
          </w:tcPr>
          <w:p>
            <w:pPr>
              <w:spacing w:after="0" w:line="240" w:lineRule="auto"/>
              <w:ind w:firstLine="0"/>
              <w:jc w:val="center"/>
            </w:pPr>
            <w:r>
              <w:rPr>
                <w:b w:val="0"/>
                <w:i w:val="0"/>
                <w:sz w:val="20"/>
              </w:rPr>
              <w:t>8 000</w:t>
            </w:r>
          </w:p>
        </w:tc>
        <w:tc>
          <w:tcPr>
            <w:tcW w:type="dxa" w:w="1662"/>
          </w:tcPr>
          <w:p>
            <w:pPr>
              <w:spacing w:after="0" w:line="240" w:lineRule="auto"/>
              <w:ind w:firstLine="0"/>
              <w:jc w:val="center"/>
            </w:pPr>
            <w:r>
              <w:rPr>
                <w:b w:val="0"/>
                <w:i w:val="0"/>
                <w:sz w:val="20"/>
              </w:rPr>
              <w:t>7 600</w:t>
            </w:r>
          </w:p>
        </w:tc>
        <w:tc>
          <w:tcPr>
            <w:tcW w:type="dxa" w:w="1662"/>
          </w:tcPr>
          <w:p>
            <w:pPr>
              <w:spacing w:after="0" w:line="240" w:lineRule="auto"/>
              <w:ind w:firstLine="0"/>
              <w:jc w:val="center"/>
            </w:pPr>
            <w:r>
              <w:rPr>
                <w:b w:val="0"/>
                <w:i w:val="0"/>
                <w:sz w:val="20"/>
              </w:rPr>
              <w:t>7 000</w:t>
            </w:r>
          </w:p>
        </w:tc>
      </w:tr>
      <w:tr>
        <w:tc>
          <w:tcPr>
            <w:tcW w:type="dxa" w:w="1662"/>
          </w:tcPr>
          <w:p>
            <w:pPr>
              <w:spacing w:after="0" w:line="240" w:lineRule="auto"/>
              <w:ind w:firstLine="0"/>
              <w:jc w:val="left"/>
            </w:pPr>
            <w:r>
              <w:rPr>
                <w:b w:val="0"/>
                <w:i w:val="0"/>
                <w:sz w:val="20"/>
              </w:rPr>
              <w:t>Катализаторы очистки промвыбросов</w:t>
            </w:r>
          </w:p>
        </w:tc>
        <w:tc>
          <w:tcPr>
            <w:tcW w:type="dxa" w:w="1662"/>
          </w:tcPr>
          <w:p>
            <w:pPr>
              <w:spacing w:after="0" w:line="240" w:lineRule="auto"/>
              <w:ind w:firstLine="0"/>
              <w:jc w:val="center"/>
            </w:pPr>
            <w:r>
              <w:rPr>
                <w:b w:val="0"/>
                <w:i w:val="0"/>
                <w:sz w:val="20"/>
              </w:rPr>
              <w:t>800</w:t>
            </w:r>
          </w:p>
        </w:tc>
        <w:tc>
          <w:tcPr>
            <w:tcW w:type="dxa" w:w="1662"/>
          </w:tcPr>
          <w:p>
            <w:pPr>
              <w:spacing w:after="0" w:line="240" w:lineRule="auto"/>
              <w:ind w:firstLine="0"/>
              <w:jc w:val="center"/>
            </w:pPr>
            <w:r>
              <w:rPr>
                <w:b w:val="0"/>
                <w:i w:val="0"/>
                <w:sz w:val="20"/>
              </w:rPr>
              <w:t>950</w:t>
            </w:r>
          </w:p>
        </w:tc>
        <w:tc>
          <w:tcPr>
            <w:tcW w:type="dxa" w:w="1662"/>
          </w:tcPr>
          <w:p>
            <w:pPr>
              <w:spacing w:after="0" w:line="240" w:lineRule="auto"/>
              <w:ind w:firstLine="0"/>
              <w:jc w:val="center"/>
            </w:pPr>
            <w:r>
              <w:rPr>
                <w:b w:val="0"/>
                <w:i w:val="0"/>
                <w:sz w:val="20"/>
              </w:rPr>
              <w:t>1 000</w:t>
            </w:r>
          </w:p>
        </w:tc>
        <w:tc>
          <w:tcPr>
            <w:tcW w:type="dxa" w:w="1662"/>
          </w:tcPr>
          <w:p>
            <w:pPr>
              <w:spacing w:after="0" w:line="240" w:lineRule="auto"/>
              <w:ind w:firstLine="0"/>
              <w:jc w:val="center"/>
            </w:pPr>
            <w:r>
              <w:rPr>
                <w:b w:val="0"/>
                <w:i w:val="0"/>
                <w:sz w:val="20"/>
              </w:rPr>
              <w:t>1 200</w:t>
            </w:r>
          </w:p>
        </w:tc>
        <w:tc>
          <w:tcPr>
            <w:tcW w:type="dxa" w:w="1662"/>
          </w:tcPr>
          <w:p>
            <w:pPr>
              <w:spacing w:after="0" w:line="240" w:lineRule="auto"/>
              <w:ind w:firstLine="0"/>
              <w:jc w:val="center"/>
            </w:pPr>
            <w:r>
              <w:rPr>
                <w:b w:val="0"/>
                <w:i w:val="0"/>
                <w:sz w:val="20"/>
              </w:rPr>
              <w:t>1 500</w:t>
            </w:r>
          </w:p>
        </w:tc>
      </w:tr>
      <w:tr>
        <w:tc>
          <w:tcPr>
            <w:tcW w:type="dxa" w:w="1662"/>
          </w:tcPr>
          <w:p>
            <w:pPr>
              <w:spacing w:after="0" w:line="240" w:lineRule="auto"/>
              <w:ind w:firstLine="0"/>
              <w:jc w:val="left"/>
            </w:pPr>
            <w:r>
              <w:rPr>
                <w:b/>
                <w:i w:val="0"/>
                <w:sz w:val="20"/>
              </w:rPr>
              <w:t>Всего</w:t>
            </w:r>
          </w:p>
        </w:tc>
        <w:tc>
          <w:tcPr>
            <w:tcW w:type="dxa" w:w="1662"/>
          </w:tcPr>
          <w:p>
            <w:pPr>
              <w:spacing w:after="0" w:line="240" w:lineRule="auto"/>
              <w:ind w:firstLine="0"/>
              <w:jc w:val="center"/>
            </w:pPr>
            <w:r>
              <w:rPr>
                <w:b/>
                <w:i w:val="0"/>
                <w:sz w:val="20"/>
              </w:rPr>
              <w:t>25 500</w:t>
            </w:r>
          </w:p>
        </w:tc>
        <w:tc>
          <w:tcPr>
            <w:tcW w:type="dxa" w:w="1662"/>
          </w:tcPr>
          <w:p>
            <w:pPr>
              <w:spacing w:after="0" w:line="240" w:lineRule="auto"/>
              <w:ind w:firstLine="0"/>
              <w:jc w:val="center"/>
            </w:pPr>
            <w:r>
              <w:rPr>
                <w:b/>
                <w:i w:val="0"/>
                <w:sz w:val="20"/>
              </w:rPr>
              <w:t>26 350</w:t>
            </w:r>
          </w:p>
        </w:tc>
        <w:tc>
          <w:tcPr>
            <w:tcW w:type="dxa" w:w="1662"/>
          </w:tcPr>
          <w:p>
            <w:pPr>
              <w:spacing w:after="0" w:line="240" w:lineRule="auto"/>
              <w:ind w:firstLine="0"/>
              <w:jc w:val="center"/>
            </w:pPr>
            <w:r>
              <w:rPr>
                <w:b/>
                <w:i w:val="0"/>
                <w:sz w:val="20"/>
              </w:rPr>
              <w:t>26 500</w:t>
            </w:r>
          </w:p>
        </w:tc>
        <w:tc>
          <w:tcPr>
            <w:tcW w:type="dxa" w:w="1662"/>
          </w:tcPr>
          <w:p>
            <w:pPr>
              <w:spacing w:after="0" w:line="240" w:lineRule="auto"/>
              <w:ind w:firstLine="0"/>
              <w:jc w:val="center"/>
            </w:pPr>
            <w:r>
              <w:rPr>
                <w:b/>
                <w:i w:val="0"/>
                <w:sz w:val="20"/>
              </w:rPr>
              <w:t>26 000</w:t>
            </w:r>
          </w:p>
        </w:tc>
        <w:tc>
          <w:tcPr>
            <w:tcW w:type="dxa" w:w="1662"/>
          </w:tcPr>
          <w:p>
            <w:pPr>
              <w:spacing w:after="0" w:line="240" w:lineRule="auto"/>
              <w:ind w:firstLine="0"/>
              <w:jc w:val="center"/>
            </w:pPr>
            <w:r>
              <w:rPr>
                <w:b/>
                <w:i w:val="0"/>
                <w:sz w:val="20"/>
              </w:rPr>
              <w:t>25 000</w:t>
            </w:r>
          </w:p>
        </w:tc>
      </w:tr>
    </w:tbl>
    <w:p>
      <w:pPr>
        <w:spacing w:after="180"/>
        <w:ind w:firstLine="0"/>
      </w:pPr>
      <w:r>
        <w:rPr>
          <w:i/>
          <w:sz w:val="20"/>
        </w:rPr>
        <w:t>Источник: аналитический центр по данным производителей катализаторов (BASF, Albemarle, Grace, Johnson Matthey), отраслевых обзоров</w:t>
      </w:r>
    </w:p>
    <w:p>
      <w:pPr>
        <w:pStyle w:val="Heading2"/>
      </w:pPr>
      <w:r>
        <w:rPr>
          <w:b w:val="0"/>
          <w:i w:val="0"/>
        </w:rPr>
        <w:t>5.4. Полировальные материалы</w:t>
      </w:r>
    </w:p>
    <w:p>
      <w:r>
        <w:rPr>
          <w:b w:val="0"/>
          <w:i w:val="0"/>
        </w:rPr>
        <w:t>Оксид церия — основной абразивный материал для финишной полировки оптического и технического стекла. Ключевые применения: полировка стекла дисплеев (смартфоны, планшеты, мониторы, телевизоры), оптики, полупроводниковых пластин (химико-механическая планаризация, CMP), автомобильного стекла.</w:t>
      </w:r>
    </w:p>
    <w:p>
      <w:r>
        <w:rPr>
          <w:b w:val="0"/>
          <w:i w:val="0"/>
        </w:rPr>
        <w:t>Сегмент демонстрирует устойчивый рост, обусловленный увеличением площади полируемых поверхностей: рост диагоналей дисплеев, распространение стеклянных корпусов устройств, увеличение диаметра полупроводниковых пластин, распространение многокамерных оптических систем в мобильных устройствах.</w:t>
      </w:r>
    </w:p>
    <w:p>
      <w:r>
        <w:rPr>
          <w:b w:val="0"/>
          <w:i w:val="0"/>
        </w:rPr>
        <w:t>Особенностью сегмента является высокая степень рециклинга в КНР: полировальные шламы содержат 15–40% CeO₂ и перерабатываются на специализированных предприятиях, что снижает потребность в первичном сырье на 20–30%.</w:t>
      </w:r>
    </w:p>
    <w:p>
      <w:pPr>
        <w:keepNext/>
        <w:spacing w:before="160" w:after="60"/>
        <w:ind w:firstLine="0"/>
        <w:jc w:val="left"/>
      </w:pPr>
      <w:r>
        <w:rPr>
          <w:b/>
          <w:sz w:val="22"/>
        </w:rPr>
        <w:t>Таблица 39. Потребление редкоземельных полировальных материалов, 2020–2030 гг., т TREO</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Направление</w:t>
            </w:r>
          </w:p>
        </w:tc>
        <w:tc>
          <w:tcPr>
            <w:tcW w:type="dxa" w:w="1662"/>
            <w:shd w:val="clear" w:fill="DCE6F1"/>
          </w:tcPr>
          <w:p>
            <w:pPr>
              <w:spacing w:after="0" w:line="240" w:lineRule="auto"/>
              <w:ind w:firstLine="0"/>
              <w:jc w:val="center"/>
            </w:pPr>
            <w:r>
              <w:rPr>
                <w:b/>
                <w:i w:val="0"/>
                <w:sz w:val="20"/>
              </w:rPr>
              <w:t>2020</w:t>
            </w:r>
          </w:p>
        </w:tc>
        <w:tc>
          <w:tcPr>
            <w:tcW w:type="dxa" w:w="1662"/>
            <w:shd w:val="clear" w:fill="DCE6F1"/>
          </w:tcPr>
          <w:p>
            <w:pPr>
              <w:spacing w:after="0" w:line="240" w:lineRule="auto"/>
              <w:ind w:firstLine="0"/>
              <w:jc w:val="center"/>
            </w:pPr>
            <w:r>
              <w:rPr>
                <w:b/>
                <w:i w:val="0"/>
                <w:sz w:val="20"/>
              </w:rPr>
              <w:t>2022</w:t>
            </w:r>
          </w:p>
        </w:tc>
        <w:tc>
          <w:tcPr>
            <w:tcW w:type="dxa" w:w="1662"/>
            <w:shd w:val="clear" w:fill="DCE6F1"/>
          </w:tcPr>
          <w:p>
            <w:pPr>
              <w:spacing w:after="0" w:line="240" w:lineRule="auto"/>
              <w:ind w:firstLine="0"/>
              <w:jc w:val="center"/>
            </w:pPr>
            <w:r>
              <w:rPr>
                <w:b/>
                <w:i w:val="0"/>
                <w:sz w:val="20"/>
              </w:rPr>
              <w:t>2024</w:t>
            </w:r>
          </w:p>
        </w:tc>
        <w:tc>
          <w:tcPr>
            <w:tcW w:type="dxa" w:w="1662"/>
            <w:shd w:val="clear" w:fill="DCE6F1"/>
          </w:tcPr>
          <w:p>
            <w:pPr>
              <w:spacing w:after="0" w:line="240" w:lineRule="auto"/>
              <w:ind w:firstLine="0"/>
              <w:jc w:val="center"/>
            </w:pPr>
            <w:r>
              <w:rPr>
                <w:b/>
                <w:i w:val="0"/>
                <w:sz w:val="20"/>
              </w:rPr>
              <w:t>2027 (пр.)</w:t>
            </w:r>
          </w:p>
        </w:tc>
        <w:tc>
          <w:tcPr>
            <w:tcW w:type="dxa" w:w="1662"/>
            <w:shd w:val="clear" w:fill="DCE6F1"/>
          </w:tcPr>
          <w:p>
            <w:pPr>
              <w:spacing w:after="0" w:line="240" w:lineRule="auto"/>
              <w:ind w:firstLine="0"/>
              <w:jc w:val="center"/>
            </w:pPr>
            <w:r>
              <w:rPr>
                <w:b/>
                <w:i w:val="0"/>
                <w:sz w:val="20"/>
              </w:rPr>
              <w:t>2030 (пр.)</w:t>
            </w:r>
          </w:p>
        </w:tc>
      </w:tr>
      <w:tr>
        <w:tc>
          <w:tcPr>
            <w:tcW w:type="dxa" w:w="1662"/>
          </w:tcPr>
          <w:p>
            <w:pPr>
              <w:spacing w:after="0" w:line="240" w:lineRule="auto"/>
              <w:ind w:firstLine="0"/>
              <w:jc w:val="left"/>
            </w:pPr>
            <w:r>
              <w:rPr>
                <w:b w:val="0"/>
                <w:i w:val="0"/>
                <w:sz w:val="20"/>
              </w:rPr>
              <w:t>Дисплеи и потребительская электроника</w:t>
            </w:r>
          </w:p>
        </w:tc>
        <w:tc>
          <w:tcPr>
            <w:tcW w:type="dxa" w:w="1662"/>
          </w:tcPr>
          <w:p>
            <w:pPr>
              <w:spacing w:after="0" w:line="240" w:lineRule="auto"/>
              <w:ind w:firstLine="0"/>
              <w:jc w:val="center"/>
            </w:pPr>
            <w:r>
              <w:rPr>
                <w:b w:val="0"/>
                <w:i w:val="0"/>
                <w:sz w:val="20"/>
              </w:rPr>
              <w:t>11 500</w:t>
            </w:r>
          </w:p>
        </w:tc>
        <w:tc>
          <w:tcPr>
            <w:tcW w:type="dxa" w:w="1662"/>
          </w:tcPr>
          <w:p>
            <w:pPr>
              <w:spacing w:after="0" w:line="240" w:lineRule="auto"/>
              <w:ind w:firstLine="0"/>
              <w:jc w:val="center"/>
            </w:pPr>
            <w:r>
              <w:rPr>
                <w:b w:val="0"/>
                <w:i w:val="0"/>
                <w:sz w:val="20"/>
              </w:rPr>
              <w:t>12 300</w:t>
            </w:r>
          </w:p>
        </w:tc>
        <w:tc>
          <w:tcPr>
            <w:tcW w:type="dxa" w:w="1662"/>
          </w:tcPr>
          <w:p>
            <w:pPr>
              <w:spacing w:after="0" w:line="240" w:lineRule="auto"/>
              <w:ind w:firstLine="0"/>
              <w:jc w:val="center"/>
            </w:pPr>
            <w:r>
              <w:rPr>
                <w:b w:val="0"/>
                <w:i w:val="0"/>
                <w:sz w:val="20"/>
              </w:rPr>
              <w:t>13 200</w:t>
            </w:r>
          </w:p>
        </w:tc>
        <w:tc>
          <w:tcPr>
            <w:tcW w:type="dxa" w:w="1662"/>
          </w:tcPr>
          <w:p>
            <w:pPr>
              <w:spacing w:after="0" w:line="240" w:lineRule="auto"/>
              <w:ind w:firstLine="0"/>
              <w:jc w:val="center"/>
            </w:pPr>
            <w:r>
              <w:rPr>
                <w:b w:val="0"/>
                <w:i w:val="0"/>
                <w:sz w:val="20"/>
              </w:rPr>
              <w:t>14 800</w:t>
            </w:r>
          </w:p>
        </w:tc>
        <w:tc>
          <w:tcPr>
            <w:tcW w:type="dxa" w:w="1662"/>
          </w:tcPr>
          <w:p>
            <w:pPr>
              <w:spacing w:after="0" w:line="240" w:lineRule="auto"/>
              <w:ind w:firstLine="0"/>
              <w:jc w:val="center"/>
            </w:pPr>
            <w:r>
              <w:rPr>
                <w:b w:val="0"/>
                <w:i w:val="0"/>
                <w:sz w:val="20"/>
              </w:rPr>
              <w:t>16 500</w:t>
            </w:r>
          </w:p>
        </w:tc>
      </w:tr>
      <w:tr>
        <w:tc>
          <w:tcPr>
            <w:tcW w:type="dxa" w:w="1662"/>
          </w:tcPr>
          <w:p>
            <w:pPr>
              <w:spacing w:after="0" w:line="240" w:lineRule="auto"/>
              <w:ind w:firstLine="0"/>
              <w:jc w:val="left"/>
            </w:pPr>
            <w:r>
              <w:rPr>
                <w:b w:val="0"/>
                <w:i w:val="0"/>
                <w:sz w:val="20"/>
              </w:rPr>
              <w:t>Оптика и точное приборостроение</w:t>
            </w:r>
          </w:p>
        </w:tc>
        <w:tc>
          <w:tcPr>
            <w:tcW w:type="dxa" w:w="1662"/>
          </w:tcPr>
          <w:p>
            <w:pPr>
              <w:spacing w:after="0" w:line="240" w:lineRule="auto"/>
              <w:ind w:firstLine="0"/>
              <w:jc w:val="center"/>
            </w:pPr>
            <w:r>
              <w:rPr>
                <w:b w:val="0"/>
                <w:i w:val="0"/>
                <w:sz w:val="20"/>
              </w:rPr>
              <w:t>3 800</w:t>
            </w:r>
          </w:p>
        </w:tc>
        <w:tc>
          <w:tcPr>
            <w:tcW w:type="dxa" w:w="1662"/>
          </w:tcPr>
          <w:p>
            <w:pPr>
              <w:spacing w:after="0" w:line="240" w:lineRule="auto"/>
              <w:ind w:firstLine="0"/>
              <w:jc w:val="center"/>
            </w:pPr>
            <w:r>
              <w:rPr>
                <w:b w:val="0"/>
                <w:i w:val="0"/>
                <w:sz w:val="20"/>
              </w:rPr>
              <w:t>4 000</w:t>
            </w:r>
          </w:p>
        </w:tc>
        <w:tc>
          <w:tcPr>
            <w:tcW w:type="dxa" w:w="1662"/>
          </w:tcPr>
          <w:p>
            <w:pPr>
              <w:spacing w:after="0" w:line="240" w:lineRule="auto"/>
              <w:ind w:firstLine="0"/>
              <w:jc w:val="center"/>
            </w:pPr>
            <w:r>
              <w:rPr>
                <w:b w:val="0"/>
                <w:i w:val="0"/>
                <w:sz w:val="20"/>
              </w:rPr>
              <w:t>4 300</w:t>
            </w:r>
          </w:p>
        </w:tc>
        <w:tc>
          <w:tcPr>
            <w:tcW w:type="dxa" w:w="1662"/>
          </w:tcPr>
          <w:p>
            <w:pPr>
              <w:spacing w:after="0" w:line="240" w:lineRule="auto"/>
              <w:ind w:firstLine="0"/>
              <w:jc w:val="center"/>
            </w:pPr>
            <w:r>
              <w:rPr>
                <w:b w:val="0"/>
                <w:i w:val="0"/>
                <w:sz w:val="20"/>
              </w:rPr>
              <w:t>4 700</w:t>
            </w:r>
          </w:p>
        </w:tc>
        <w:tc>
          <w:tcPr>
            <w:tcW w:type="dxa" w:w="1662"/>
          </w:tcPr>
          <w:p>
            <w:pPr>
              <w:spacing w:after="0" w:line="240" w:lineRule="auto"/>
              <w:ind w:firstLine="0"/>
              <w:jc w:val="center"/>
            </w:pPr>
            <w:r>
              <w:rPr>
                <w:b w:val="0"/>
                <w:i w:val="0"/>
                <w:sz w:val="20"/>
              </w:rPr>
              <w:t>5 100</w:t>
            </w:r>
          </w:p>
        </w:tc>
      </w:tr>
      <w:tr>
        <w:tc>
          <w:tcPr>
            <w:tcW w:type="dxa" w:w="1662"/>
          </w:tcPr>
          <w:p>
            <w:pPr>
              <w:spacing w:after="0" w:line="240" w:lineRule="auto"/>
              <w:ind w:firstLine="0"/>
              <w:jc w:val="left"/>
            </w:pPr>
            <w:r>
              <w:rPr>
                <w:b w:val="0"/>
                <w:i w:val="0"/>
                <w:sz w:val="20"/>
              </w:rPr>
              <w:t>Полупроводниковая CMP</w:t>
            </w:r>
          </w:p>
        </w:tc>
        <w:tc>
          <w:tcPr>
            <w:tcW w:type="dxa" w:w="1662"/>
          </w:tcPr>
          <w:p>
            <w:pPr>
              <w:spacing w:after="0" w:line="240" w:lineRule="auto"/>
              <w:ind w:firstLine="0"/>
              <w:jc w:val="center"/>
            </w:pPr>
            <w:r>
              <w:rPr>
                <w:b w:val="0"/>
                <w:i w:val="0"/>
                <w:sz w:val="20"/>
              </w:rPr>
              <w:t>2 400</w:t>
            </w:r>
          </w:p>
        </w:tc>
        <w:tc>
          <w:tcPr>
            <w:tcW w:type="dxa" w:w="1662"/>
          </w:tcPr>
          <w:p>
            <w:pPr>
              <w:spacing w:after="0" w:line="240" w:lineRule="auto"/>
              <w:ind w:firstLine="0"/>
              <w:jc w:val="center"/>
            </w:pPr>
            <w:r>
              <w:rPr>
                <w:b w:val="0"/>
                <w:i w:val="0"/>
                <w:sz w:val="20"/>
              </w:rPr>
              <w:t>2 800</w:t>
            </w:r>
          </w:p>
        </w:tc>
        <w:tc>
          <w:tcPr>
            <w:tcW w:type="dxa" w:w="1662"/>
          </w:tcPr>
          <w:p>
            <w:pPr>
              <w:spacing w:after="0" w:line="240" w:lineRule="auto"/>
              <w:ind w:firstLine="0"/>
              <w:jc w:val="center"/>
            </w:pPr>
            <w:r>
              <w:rPr>
                <w:b w:val="0"/>
                <w:i w:val="0"/>
                <w:sz w:val="20"/>
              </w:rPr>
              <w:t>3 300</w:t>
            </w:r>
          </w:p>
        </w:tc>
        <w:tc>
          <w:tcPr>
            <w:tcW w:type="dxa" w:w="1662"/>
          </w:tcPr>
          <w:p>
            <w:pPr>
              <w:spacing w:after="0" w:line="240" w:lineRule="auto"/>
              <w:ind w:firstLine="0"/>
              <w:jc w:val="center"/>
            </w:pPr>
            <w:r>
              <w:rPr>
                <w:b w:val="0"/>
                <w:i w:val="0"/>
                <w:sz w:val="20"/>
              </w:rPr>
              <w:t>4 000</w:t>
            </w:r>
          </w:p>
        </w:tc>
        <w:tc>
          <w:tcPr>
            <w:tcW w:type="dxa" w:w="1662"/>
          </w:tcPr>
          <w:p>
            <w:pPr>
              <w:spacing w:after="0" w:line="240" w:lineRule="auto"/>
              <w:ind w:firstLine="0"/>
              <w:jc w:val="center"/>
            </w:pPr>
            <w:r>
              <w:rPr>
                <w:b w:val="0"/>
                <w:i w:val="0"/>
                <w:sz w:val="20"/>
              </w:rPr>
              <w:t>4 700</w:t>
            </w:r>
          </w:p>
        </w:tc>
      </w:tr>
      <w:tr>
        <w:tc>
          <w:tcPr>
            <w:tcW w:type="dxa" w:w="1662"/>
          </w:tcPr>
          <w:p>
            <w:pPr>
              <w:spacing w:after="0" w:line="240" w:lineRule="auto"/>
              <w:ind w:firstLine="0"/>
              <w:jc w:val="left"/>
            </w:pPr>
            <w:r>
              <w:rPr>
                <w:b w:val="0"/>
                <w:i w:val="0"/>
                <w:sz w:val="20"/>
              </w:rPr>
              <w:t>Автомобильное и строительное стекло</w:t>
            </w:r>
          </w:p>
        </w:tc>
        <w:tc>
          <w:tcPr>
            <w:tcW w:type="dxa" w:w="1662"/>
          </w:tcPr>
          <w:p>
            <w:pPr>
              <w:spacing w:after="0" w:line="240" w:lineRule="auto"/>
              <w:ind w:firstLine="0"/>
              <w:jc w:val="center"/>
            </w:pPr>
            <w:r>
              <w:rPr>
                <w:b w:val="0"/>
                <w:i w:val="0"/>
                <w:sz w:val="20"/>
              </w:rPr>
              <w:t>3 300</w:t>
            </w:r>
          </w:p>
        </w:tc>
        <w:tc>
          <w:tcPr>
            <w:tcW w:type="dxa" w:w="1662"/>
          </w:tcPr>
          <w:p>
            <w:pPr>
              <w:spacing w:after="0" w:line="240" w:lineRule="auto"/>
              <w:ind w:firstLine="0"/>
              <w:jc w:val="center"/>
            </w:pPr>
            <w:r>
              <w:rPr>
                <w:b w:val="0"/>
                <w:i w:val="0"/>
                <w:sz w:val="20"/>
              </w:rPr>
              <w:t>3 100</w:t>
            </w:r>
          </w:p>
        </w:tc>
        <w:tc>
          <w:tcPr>
            <w:tcW w:type="dxa" w:w="1662"/>
          </w:tcPr>
          <w:p>
            <w:pPr>
              <w:spacing w:after="0" w:line="240" w:lineRule="auto"/>
              <w:ind w:firstLine="0"/>
              <w:jc w:val="center"/>
            </w:pPr>
            <w:r>
              <w:rPr>
                <w:b w:val="0"/>
                <w:i w:val="0"/>
                <w:sz w:val="20"/>
              </w:rPr>
              <w:t>3 200</w:t>
            </w:r>
          </w:p>
        </w:tc>
        <w:tc>
          <w:tcPr>
            <w:tcW w:type="dxa" w:w="1662"/>
          </w:tcPr>
          <w:p>
            <w:pPr>
              <w:spacing w:after="0" w:line="240" w:lineRule="auto"/>
              <w:ind w:firstLine="0"/>
              <w:jc w:val="center"/>
            </w:pPr>
            <w:r>
              <w:rPr>
                <w:b w:val="0"/>
                <w:i w:val="0"/>
                <w:sz w:val="20"/>
              </w:rPr>
              <w:t>3 000</w:t>
            </w:r>
          </w:p>
        </w:tc>
        <w:tc>
          <w:tcPr>
            <w:tcW w:type="dxa" w:w="1662"/>
          </w:tcPr>
          <w:p>
            <w:pPr>
              <w:spacing w:after="0" w:line="240" w:lineRule="auto"/>
              <w:ind w:firstLine="0"/>
              <w:jc w:val="center"/>
            </w:pPr>
            <w:r>
              <w:rPr>
                <w:b w:val="0"/>
                <w:i w:val="0"/>
                <w:sz w:val="20"/>
              </w:rPr>
              <w:t>2 700</w:t>
            </w:r>
          </w:p>
        </w:tc>
      </w:tr>
      <w:tr>
        <w:tc>
          <w:tcPr>
            <w:tcW w:type="dxa" w:w="1662"/>
          </w:tcPr>
          <w:p>
            <w:pPr>
              <w:spacing w:after="0" w:line="240" w:lineRule="auto"/>
              <w:ind w:firstLine="0"/>
              <w:jc w:val="left"/>
            </w:pPr>
            <w:r>
              <w:rPr>
                <w:b/>
                <w:i w:val="0"/>
                <w:sz w:val="20"/>
              </w:rPr>
              <w:t>Всего</w:t>
            </w:r>
          </w:p>
        </w:tc>
        <w:tc>
          <w:tcPr>
            <w:tcW w:type="dxa" w:w="1662"/>
          </w:tcPr>
          <w:p>
            <w:pPr>
              <w:spacing w:after="0" w:line="240" w:lineRule="auto"/>
              <w:ind w:firstLine="0"/>
              <w:jc w:val="center"/>
            </w:pPr>
            <w:r>
              <w:rPr>
                <w:b/>
                <w:i w:val="0"/>
                <w:sz w:val="20"/>
              </w:rPr>
              <w:t>21 000</w:t>
            </w:r>
          </w:p>
        </w:tc>
        <w:tc>
          <w:tcPr>
            <w:tcW w:type="dxa" w:w="1662"/>
          </w:tcPr>
          <w:p>
            <w:pPr>
              <w:spacing w:after="0" w:line="240" w:lineRule="auto"/>
              <w:ind w:firstLine="0"/>
              <w:jc w:val="center"/>
            </w:pPr>
            <w:r>
              <w:rPr>
                <w:b/>
                <w:i w:val="0"/>
                <w:sz w:val="20"/>
              </w:rPr>
              <w:t>22 200</w:t>
            </w:r>
          </w:p>
        </w:tc>
        <w:tc>
          <w:tcPr>
            <w:tcW w:type="dxa" w:w="1662"/>
          </w:tcPr>
          <w:p>
            <w:pPr>
              <w:spacing w:after="0" w:line="240" w:lineRule="auto"/>
              <w:ind w:firstLine="0"/>
              <w:jc w:val="center"/>
            </w:pPr>
            <w:r>
              <w:rPr>
                <w:b/>
                <w:i w:val="0"/>
                <w:sz w:val="20"/>
              </w:rPr>
              <w:t>24 000</w:t>
            </w:r>
          </w:p>
        </w:tc>
        <w:tc>
          <w:tcPr>
            <w:tcW w:type="dxa" w:w="1662"/>
          </w:tcPr>
          <w:p>
            <w:pPr>
              <w:spacing w:after="0" w:line="240" w:lineRule="auto"/>
              <w:ind w:firstLine="0"/>
              <w:jc w:val="center"/>
            </w:pPr>
            <w:r>
              <w:rPr>
                <w:b/>
                <w:i w:val="0"/>
                <w:sz w:val="20"/>
              </w:rPr>
              <w:t>26 500</w:t>
            </w:r>
          </w:p>
        </w:tc>
        <w:tc>
          <w:tcPr>
            <w:tcW w:type="dxa" w:w="1662"/>
          </w:tcPr>
          <w:p>
            <w:pPr>
              <w:spacing w:after="0" w:line="240" w:lineRule="auto"/>
              <w:ind w:firstLine="0"/>
              <w:jc w:val="center"/>
            </w:pPr>
            <w:r>
              <w:rPr>
                <w:b/>
                <w:i w:val="0"/>
                <w:sz w:val="20"/>
              </w:rPr>
              <w:t>29 000</w:t>
            </w:r>
          </w:p>
        </w:tc>
      </w:tr>
    </w:tbl>
    <w:p>
      <w:pPr>
        <w:spacing w:after="180"/>
        <w:ind w:firstLine="0"/>
      </w:pPr>
      <w:r>
        <w:rPr>
          <w:i/>
          <w:sz w:val="20"/>
        </w:rPr>
        <w:t>Источник: аналитический центр по данным производителей (Solvay, AGC, Showa Denko, китайских предприятий)</w:t>
      </w:r>
    </w:p>
    <w:p>
      <w:pPr>
        <w:pStyle w:val="Heading2"/>
      </w:pPr>
      <w:r>
        <w:rPr>
          <w:b w:val="0"/>
          <w:i w:val="0"/>
        </w:rPr>
        <w:t>5.5. Металлургия, сплавы и керамика</w:t>
      </w:r>
    </w:p>
    <w:p>
      <w:r>
        <w:rPr>
          <w:b/>
          <w:i w:val="0"/>
        </w:rPr>
        <w:t>Модифицирование сталей и чугунов.</w:t>
      </w:r>
      <w:r>
        <w:rPr>
          <w:b w:val="0"/>
          <w:i w:val="0"/>
        </w:rPr>
        <w:t xml:space="preserve"> Мишметалл (сплав природного состава: 50% Ce, 25% La, 15–18% Nd, 5% Pr) и ферроцерий применяются для десульфурации, раскисления и модифицирования неметаллических включений. Расход составляет 0,5–2,0 кг на тонну стали в специальных марках. Направление обеспечивает утилизацию избыточных церия и лантана, что имеет значение с точки зрения проблемы баланса корзины.</w:t>
      </w:r>
    </w:p>
    <w:p>
      <w:r>
        <w:rPr>
          <w:b/>
          <w:i w:val="0"/>
        </w:rPr>
        <w:t>Легирование алюминиевых и магниевых сплавов.</w:t>
      </w:r>
      <w:r>
        <w:rPr>
          <w:b w:val="0"/>
          <w:i w:val="0"/>
        </w:rPr>
        <w:t xml:space="preserve"> Добавки церия, лантана и иттрия повышают жаропрочность и коррозионную стойкость. Перспективное направление — алюминиево-цериевые сплавы (Al–Ce), сохраняющие прочность при 300 °C и рассматриваемые как способ создания массового рынка для избыточного церия.</w:t>
      </w:r>
    </w:p>
    <w:p>
      <w:r>
        <w:rPr>
          <w:b/>
          <w:i w:val="0"/>
        </w:rPr>
        <w:t>Пирофорные сплавы.</w:t>
      </w:r>
      <w:r>
        <w:rPr>
          <w:b w:val="0"/>
          <w:i w:val="0"/>
        </w:rPr>
        <w:t xml:space="preserve"> Ферроцерий (кремни зажигалок) — исторически первое промышленное применение редких земель, сохраняющее нишевый спрос.</w:t>
      </w:r>
    </w:p>
    <w:p>
      <w:r>
        <w:rPr>
          <w:b/>
          <w:i w:val="0"/>
        </w:rPr>
        <w:t>Керамика.</w:t>
      </w:r>
      <w:r>
        <w:rPr>
          <w:b w:val="0"/>
          <w:i w:val="0"/>
        </w:rPr>
        <w:t xml:space="preserve"> Диоксид циркония, стабилизированный оксидом иттрия (YSZ) — конструкционная керамика, термобарьерные покрытия лопаток газовых турбин, твердооксидные топливные элементы, кислородные датчики. Потребление иттрия в этом направлении — крупнейшее среди применений элемента.</w:t>
      </w:r>
    </w:p>
    <w:p>
      <w:pPr>
        <w:keepNext/>
        <w:spacing w:before="160" w:after="60"/>
        <w:ind w:firstLine="0"/>
        <w:jc w:val="left"/>
      </w:pPr>
      <w:r>
        <w:rPr>
          <w:b/>
          <w:sz w:val="22"/>
        </w:rPr>
        <w:t>Таблица 40. Потребление РЗМ в металлургии, сплавах и керамике, 2024 г., т TREO</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Направление</w:t>
            </w:r>
          </w:p>
        </w:tc>
        <w:tc>
          <w:tcPr>
            <w:tcW w:type="dxa" w:w="3324"/>
            <w:shd w:val="clear" w:fill="DCE6F1"/>
          </w:tcPr>
          <w:p>
            <w:pPr>
              <w:spacing w:after="0" w:line="240" w:lineRule="auto"/>
              <w:ind w:firstLine="0"/>
              <w:jc w:val="center"/>
            </w:pPr>
            <w:r>
              <w:rPr>
                <w:b/>
                <w:i w:val="0"/>
                <w:sz w:val="20"/>
              </w:rPr>
              <w:t>Объём, т TREO</w:t>
            </w:r>
          </w:p>
        </w:tc>
        <w:tc>
          <w:tcPr>
            <w:tcW w:type="dxa" w:w="3324"/>
            <w:shd w:val="clear" w:fill="DCE6F1"/>
          </w:tcPr>
          <w:p>
            <w:pPr>
              <w:spacing w:after="0" w:line="240" w:lineRule="auto"/>
              <w:ind w:firstLine="0"/>
              <w:jc w:val="center"/>
            </w:pPr>
            <w:r>
              <w:rPr>
                <w:b/>
                <w:i w:val="0"/>
                <w:sz w:val="20"/>
              </w:rPr>
              <w:t>Основные элементы</w:t>
            </w:r>
          </w:p>
        </w:tc>
      </w:tr>
      <w:tr>
        <w:tc>
          <w:tcPr>
            <w:tcW w:type="dxa" w:w="3324"/>
          </w:tcPr>
          <w:p>
            <w:pPr>
              <w:spacing w:after="0" w:line="240" w:lineRule="auto"/>
              <w:ind w:firstLine="0"/>
              <w:jc w:val="left"/>
            </w:pPr>
            <w:r>
              <w:rPr>
                <w:b w:val="0"/>
                <w:i w:val="0"/>
                <w:sz w:val="20"/>
              </w:rPr>
              <w:t>Модифицирование стали и чугуна</w:t>
            </w:r>
          </w:p>
        </w:tc>
        <w:tc>
          <w:tcPr>
            <w:tcW w:type="dxa" w:w="3324"/>
          </w:tcPr>
          <w:p>
            <w:pPr>
              <w:spacing w:after="0" w:line="240" w:lineRule="auto"/>
              <w:ind w:firstLine="0"/>
              <w:jc w:val="center"/>
            </w:pPr>
            <w:r>
              <w:rPr>
                <w:b w:val="0"/>
                <w:i w:val="0"/>
                <w:sz w:val="20"/>
              </w:rPr>
              <w:t>9 500</w:t>
            </w:r>
          </w:p>
        </w:tc>
        <w:tc>
          <w:tcPr>
            <w:tcW w:type="dxa" w:w="3324"/>
          </w:tcPr>
          <w:p>
            <w:pPr>
              <w:spacing w:after="0" w:line="240" w:lineRule="auto"/>
              <w:ind w:firstLine="0"/>
              <w:jc w:val="center"/>
            </w:pPr>
            <w:r>
              <w:rPr>
                <w:b w:val="0"/>
                <w:i w:val="0"/>
                <w:sz w:val="20"/>
              </w:rPr>
              <w:t>Ce, La (мишметалл)</w:t>
            </w:r>
          </w:p>
        </w:tc>
      </w:tr>
      <w:tr>
        <w:tc>
          <w:tcPr>
            <w:tcW w:type="dxa" w:w="3324"/>
          </w:tcPr>
          <w:p>
            <w:pPr>
              <w:spacing w:after="0" w:line="240" w:lineRule="auto"/>
              <w:ind w:firstLine="0"/>
              <w:jc w:val="left"/>
            </w:pPr>
            <w:r>
              <w:rPr>
                <w:b w:val="0"/>
                <w:i w:val="0"/>
                <w:sz w:val="20"/>
              </w:rPr>
              <w:t>Легирование алюминия и магния</w:t>
            </w:r>
          </w:p>
        </w:tc>
        <w:tc>
          <w:tcPr>
            <w:tcW w:type="dxa" w:w="3324"/>
          </w:tcPr>
          <w:p>
            <w:pPr>
              <w:spacing w:after="0" w:line="240" w:lineRule="auto"/>
              <w:ind w:firstLine="0"/>
              <w:jc w:val="center"/>
            </w:pPr>
            <w:r>
              <w:rPr>
                <w:b w:val="0"/>
                <w:i w:val="0"/>
                <w:sz w:val="20"/>
              </w:rPr>
              <w:t>6 200</w:t>
            </w:r>
          </w:p>
        </w:tc>
        <w:tc>
          <w:tcPr>
            <w:tcW w:type="dxa" w:w="3324"/>
          </w:tcPr>
          <w:p>
            <w:pPr>
              <w:spacing w:after="0" w:line="240" w:lineRule="auto"/>
              <w:ind w:firstLine="0"/>
              <w:jc w:val="center"/>
            </w:pPr>
            <w:r>
              <w:rPr>
                <w:b w:val="0"/>
                <w:i w:val="0"/>
                <w:sz w:val="20"/>
              </w:rPr>
              <w:t>Ce, La, Y, Nd</w:t>
            </w:r>
          </w:p>
        </w:tc>
      </w:tr>
      <w:tr>
        <w:tc>
          <w:tcPr>
            <w:tcW w:type="dxa" w:w="3324"/>
          </w:tcPr>
          <w:p>
            <w:pPr>
              <w:spacing w:after="0" w:line="240" w:lineRule="auto"/>
              <w:ind w:firstLine="0"/>
              <w:jc w:val="left"/>
            </w:pPr>
            <w:r>
              <w:rPr>
                <w:b w:val="0"/>
                <w:i w:val="0"/>
                <w:sz w:val="20"/>
              </w:rPr>
              <w:t>Пирофорные сплавы</w:t>
            </w:r>
          </w:p>
        </w:tc>
        <w:tc>
          <w:tcPr>
            <w:tcW w:type="dxa" w:w="3324"/>
          </w:tcPr>
          <w:p>
            <w:pPr>
              <w:spacing w:after="0" w:line="240" w:lineRule="auto"/>
              <w:ind w:firstLine="0"/>
              <w:jc w:val="center"/>
            </w:pPr>
            <w:r>
              <w:rPr>
                <w:b w:val="0"/>
                <w:i w:val="0"/>
                <w:sz w:val="20"/>
              </w:rPr>
              <w:t>1 800</w:t>
            </w:r>
          </w:p>
        </w:tc>
        <w:tc>
          <w:tcPr>
            <w:tcW w:type="dxa" w:w="3324"/>
          </w:tcPr>
          <w:p>
            <w:pPr>
              <w:spacing w:after="0" w:line="240" w:lineRule="auto"/>
              <w:ind w:firstLine="0"/>
              <w:jc w:val="center"/>
            </w:pPr>
            <w:r>
              <w:rPr>
                <w:b w:val="0"/>
                <w:i w:val="0"/>
                <w:sz w:val="20"/>
              </w:rPr>
              <w:t>Ce, La</w:t>
            </w:r>
          </w:p>
        </w:tc>
      </w:tr>
      <w:tr>
        <w:tc>
          <w:tcPr>
            <w:tcW w:type="dxa" w:w="3324"/>
          </w:tcPr>
          <w:p>
            <w:pPr>
              <w:spacing w:after="0" w:line="240" w:lineRule="auto"/>
              <w:ind w:firstLine="0"/>
              <w:jc w:val="left"/>
            </w:pPr>
            <w:r>
              <w:rPr>
                <w:b w:val="0"/>
                <w:i w:val="0"/>
                <w:sz w:val="20"/>
              </w:rPr>
              <w:t>Прочая металлургия</w:t>
            </w:r>
          </w:p>
        </w:tc>
        <w:tc>
          <w:tcPr>
            <w:tcW w:type="dxa" w:w="3324"/>
          </w:tcPr>
          <w:p>
            <w:pPr>
              <w:spacing w:after="0" w:line="240" w:lineRule="auto"/>
              <w:ind w:firstLine="0"/>
              <w:jc w:val="center"/>
            </w:pPr>
            <w:r>
              <w:rPr>
                <w:b w:val="0"/>
                <w:i w:val="0"/>
                <w:sz w:val="20"/>
              </w:rPr>
              <w:t>4 500</w:t>
            </w:r>
          </w:p>
        </w:tc>
        <w:tc>
          <w:tcPr>
            <w:tcW w:type="dxa" w:w="3324"/>
          </w:tcPr>
          <w:p>
            <w:pPr>
              <w:spacing w:after="0" w:line="240" w:lineRule="auto"/>
              <w:ind w:firstLine="0"/>
              <w:jc w:val="center"/>
            </w:pPr>
            <w:r>
              <w:rPr>
                <w:b w:val="0"/>
                <w:i w:val="0"/>
                <w:sz w:val="20"/>
              </w:rPr>
              <w:t>Ce, La, Y</w:t>
            </w:r>
          </w:p>
        </w:tc>
      </w:tr>
      <w:tr>
        <w:tc>
          <w:tcPr>
            <w:tcW w:type="dxa" w:w="3324"/>
          </w:tcPr>
          <w:p>
            <w:pPr>
              <w:spacing w:after="0" w:line="240" w:lineRule="auto"/>
              <w:ind w:firstLine="0"/>
              <w:jc w:val="left"/>
            </w:pPr>
            <w:r>
              <w:rPr>
                <w:b w:val="0"/>
                <w:i w:val="0"/>
                <w:sz w:val="20"/>
              </w:rPr>
              <w:t>Керамика YSZ и покрытия</w:t>
            </w:r>
          </w:p>
        </w:tc>
        <w:tc>
          <w:tcPr>
            <w:tcW w:type="dxa" w:w="3324"/>
          </w:tcPr>
          <w:p>
            <w:pPr>
              <w:spacing w:after="0" w:line="240" w:lineRule="auto"/>
              <w:ind w:firstLine="0"/>
              <w:jc w:val="center"/>
            </w:pPr>
            <w:r>
              <w:rPr>
                <w:b w:val="0"/>
                <w:i w:val="0"/>
                <w:sz w:val="20"/>
              </w:rPr>
              <w:t>5 400</w:t>
            </w:r>
          </w:p>
        </w:tc>
        <w:tc>
          <w:tcPr>
            <w:tcW w:type="dxa" w:w="3324"/>
          </w:tcPr>
          <w:p>
            <w:pPr>
              <w:spacing w:after="0" w:line="240" w:lineRule="auto"/>
              <w:ind w:firstLine="0"/>
              <w:jc w:val="center"/>
            </w:pPr>
            <w:r>
              <w:rPr>
                <w:b w:val="0"/>
                <w:i w:val="0"/>
                <w:sz w:val="20"/>
              </w:rPr>
              <w:t>Y</w:t>
            </w:r>
          </w:p>
        </w:tc>
      </w:tr>
      <w:tr>
        <w:tc>
          <w:tcPr>
            <w:tcW w:type="dxa" w:w="3324"/>
          </w:tcPr>
          <w:p>
            <w:pPr>
              <w:spacing w:after="0" w:line="240" w:lineRule="auto"/>
              <w:ind w:firstLine="0"/>
              <w:jc w:val="left"/>
            </w:pPr>
            <w:r>
              <w:rPr>
                <w:b w:val="0"/>
                <w:i w:val="0"/>
                <w:sz w:val="20"/>
              </w:rPr>
              <w:t>Прочая техническая керамика</w:t>
            </w:r>
          </w:p>
        </w:tc>
        <w:tc>
          <w:tcPr>
            <w:tcW w:type="dxa" w:w="3324"/>
          </w:tcPr>
          <w:p>
            <w:pPr>
              <w:spacing w:after="0" w:line="240" w:lineRule="auto"/>
              <w:ind w:firstLine="0"/>
              <w:jc w:val="center"/>
            </w:pPr>
            <w:r>
              <w:rPr>
                <w:b w:val="0"/>
                <w:i w:val="0"/>
                <w:sz w:val="20"/>
              </w:rPr>
              <w:t>4 600</w:t>
            </w:r>
          </w:p>
        </w:tc>
        <w:tc>
          <w:tcPr>
            <w:tcW w:type="dxa" w:w="3324"/>
          </w:tcPr>
          <w:p>
            <w:pPr>
              <w:spacing w:after="0" w:line="240" w:lineRule="auto"/>
              <w:ind w:firstLine="0"/>
              <w:jc w:val="center"/>
            </w:pPr>
            <w:r>
              <w:rPr>
                <w:b w:val="0"/>
                <w:i w:val="0"/>
                <w:sz w:val="20"/>
              </w:rPr>
              <w:t>Y, La, Ce, Gd</w:t>
            </w:r>
          </w:p>
        </w:tc>
      </w:tr>
      <w:tr>
        <w:tc>
          <w:tcPr>
            <w:tcW w:type="dxa" w:w="3324"/>
          </w:tcPr>
          <w:p>
            <w:pPr>
              <w:spacing w:after="0" w:line="240" w:lineRule="auto"/>
              <w:ind w:firstLine="0"/>
              <w:jc w:val="left"/>
            </w:pPr>
            <w:r>
              <w:rPr>
                <w:b/>
                <w:i w:val="0"/>
                <w:sz w:val="20"/>
              </w:rPr>
              <w:t>Всего</w:t>
            </w:r>
          </w:p>
        </w:tc>
        <w:tc>
          <w:tcPr>
            <w:tcW w:type="dxa" w:w="3324"/>
          </w:tcPr>
          <w:p>
            <w:pPr>
              <w:spacing w:after="0" w:line="240" w:lineRule="auto"/>
              <w:ind w:firstLine="0"/>
              <w:jc w:val="center"/>
            </w:pPr>
            <w:r>
              <w:rPr>
                <w:b/>
                <w:i w:val="0"/>
                <w:sz w:val="20"/>
              </w:rPr>
              <w:t>32 000</w:t>
            </w:r>
          </w:p>
        </w:tc>
        <w:tc>
          <w:tcPr>
            <w:tcW w:type="dxa" w:w="3324"/>
          </w:tcPr>
          <w:p>
            <w:pPr>
              <w:spacing w:after="0" w:line="240" w:lineRule="auto"/>
              <w:ind w:firstLine="0"/>
              <w:jc w:val="center"/>
            </w:pPr>
          </w:p>
        </w:tc>
      </w:tr>
    </w:tbl>
    <w:p>
      <w:pPr>
        <w:spacing w:after="180"/>
        <w:ind w:firstLine="0"/>
      </w:pPr>
      <w:r>
        <w:rPr>
          <w:i/>
          <w:sz w:val="20"/>
        </w:rPr>
        <w:t>Источник: аналитический центр</w:t>
      </w:r>
    </w:p>
    <w:p>
      <w:pPr>
        <w:pStyle w:val="Heading2"/>
      </w:pPr>
      <w:r>
        <w:rPr>
          <w:b w:val="0"/>
          <w:i w:val="0"/>
        </w:rPr>
        <w:t>5.6. Стекло, оптика, люминофоры и лазеры</w:t>
      </w:r>
    </w:p>
    <w:p>
      <w:r>
        <w:rPr>
          <w:b/>
          <w:i w:val="0"/>
        </w:rPr>
        <w:t>Оптическое стекло.</w:t>
      </w:r>
      <w:r>
        <w:rPr>
          <w:b w:val="0"/>
          <w:i w:val="0"/>
        </w:rPr>
        <w:t xml:space="preserve"> Оксид лантана — компонент высокопреломляющих оптических стёкол с низкой дисперсией (кроны и флинты типа LaK, LaF, LaSF), составляющих основу современной фотографической и приборной оптики. Содержание La₂O₃ в таких стёклах достигает 20–40%. Оксид церия применяется как обесцвечиватель и стабилизатор к УФ-излучению, оксид эрбия — для окрашивания, оксид неодима — для дидимовых стёкол защитных очков.</w:t>
      </w:r>
    </w:p>
    <w:p>
      <w:r>
        <w:rPr>
          <w:b/>
          <w:i w:val="0"/>
        </w:rPr>
        <w:t>Люминофоры.</w:t>
      </w:r>
      <w:r>
        <w:rPr>
          <w:b w:val="0"/>
          <w:i w:val="0"/>
        </w:rPr>
        <w:t xml:space="preserve"> Исторически крупный сегмент (иттрий, европий, тербий, гадолиний, церий) резко сократился: трёхполосные люминофоры компактных люминесцентных ламп содержали до 25% редких земель, тогда как светодиодная техника использует люминофоры на основе иттрий-алюминиевого граната с церием (YAG:Ce) в количествах, меньших на порядок. Сохраняющиеся направления — сцинтилляционные материалы для медицинской и промышленной томографии (LSO, GSO, GAGG), рентгеновские усиливающие экраны, детекторы.</w:t>
      </w:r>
    </w:p>
    <w:p>
      <w:r>
        <w:rPr>
          <w:b/>
          <w:i w:val="0"/>
        </w:rPr>
        <w:t>Лазерная техника.</w:t>
      </w:r>
      <w:r>
        <w:rPr>
          <w:b w:val="0"/>
          <w:i w:val="0"/>
        </w:rPr>
        <w:t xml:space="preserve"> Активные среды на основе неодима (Nd:YAG, Nd:стекло), иттербия (Yb:волоконные лазеры), эрбия (Er:волокно для телекоммуникаций и медицины), гольмия и тулия (медицинские лазеры). Объёмы потребления невелики (сотни тонн), однако удельная стоимость и критичность высоки.</w:t>
      </w:r>
    </w:p>
    <w:p>
      <w:pPr>
        <w:keepNext/>
        <w:spacing w:before="160" w:after="60"/>
        <w:ind w:firstLine="0"/>
        <w:jc w:val="left"/>
      </w:pPr>
      <w:r>
        <w:rPr>
          <w:b/>
          <w:sz w:val="22"/>
        </w:rPr>
        <w:t>Таблица 41. Потребление РЗМ в оптике, люминофорах и лазерной технике, 2024 г.</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Направление</w:t>
            </w:r>
          </w:p>
        </w:tc>
        <w:tc>
          <w:tcPr>
            <w:tcW w:type="dxa" w:w="3324"/>
            <w:shd w:val="clear" w:fill="DCE6F1"/>
          </w:tcPr>
          <w:p>
            <w:pPr>
              <w:spacing w:after="0" w:line="240" w:lineRule="auto"/>
              <w:ind w:firstLine="0"/>
              <w:jc w:val="center"/>
            </w:pPr>
            <w:r>
              <w:rPr>
                <w:b/>
                <w:i w:val="0"/>
                <w:sz w:val="20"/>
              </w:rPr>
              <w:t>Объём, т TREO</w:t>
            </w:r>
          </w:p>
        </w:tc>
        <w:tc>
          <w:tcPr>
            <w:tcW w:type="dxa" w:w="3324"/>
            <w:shd w:val="clear" w:fill="DCE6F1"/>
          </w:tcPr>
          <w:p>
            <w:pPr>
              <w:spacing w:after="0" w:line="240" w:lineRule="auto"/>
              <w:ind w:firstLine="0"/>
              <w:jc w:val="center"/>
            </w:pPr>
            <w:r>
              <w:rPr>
                <w:b/>
                <w:i w:val="0"/>
                <w:sz w:val="20"/>
              </w:rPr>
              <w:t>Основные элементы</w:t>
            </w:r>
          </w:p>
        </w:tc>
      </w:tr>
      <w:tr>
        <w:tc>
          <w:tcPr>
            <w:tcW w:type="dxa" w:w="3324"/>
          </w:tcPr>
          <w:p>
            <w:pPr>
              <w:spacing w:after="0" w:line="240" w:lineRule="auto"/>
              <w:ind w:firstLine="0"/>
              <w:jc w:val="left"/>
            </w:pPr>
            <w:r>
              <w:rPr>
                <w:b w:val="0"/>
                <w:i w:val="0"/>
                <w:sz w:val="20"/>
              </w:rPr>
              <w:t>Оптическое и специальное стекло</w:t>
            </w:r>
          </w:p>
        </w:tc>
        <w:tc>
          <w:tcPr>
            <w:tcW w:type="dxa" w:w="3324"/>
          </w:tcPr>
          <w:p>
            <w:pPr>
              <w:spacing w:after="0" w:line="240" w:lineRule="auto"/>
              <w:ind w:firstLine="0"/>
              <w:jc w:val="center"/>
            </w:pPr>
            <w:r>
              <w:rPr>
                <w:b w:val="0"/>
                <w:i w:val="0"/>
                <w:sz w:val="20"/>
              </w:rPr>
              <w:t>12 500</w:t>
            </w:r>
          </w:p>
        </w:tc>
        <w:tc>
          <w:tcPr>
            <w:tcW w:type="dxa" w:w="3324"/>
          </w:tcPr>
          <w:p>
            <w:pPr>
              <w:spacing w:after="0" w:line="240" w:lineRule="auto"/>
              <w:ind w:firstLine="0"/>
              <w:jc w:val="center"/>
            </w:pPr>
            <w:r>
              <w:rPr>
                <w:b w:val="0"/>
                <w:i w:val="0"/>
                <w:sz w:val="20"/>
              </w:rPr>
              <w:t>La, Ce, Nd, Er, Gd</w:t>
            </w:r>
          </w:p>
        </w:tc>
      </w:tr>
      <w:tr>
        <w:tc>
          <w:tcPr>
            <w:tcW w:type="dxa" w:w="3324"/>
          </w:tcPr>
          <w:p>
            <w:pPr>
              <w:spacing w:after="0" w:line="240" w:lineRule="auto"/>
              <w:ind w:firstLine="0"/>
              <w:jc w:val="left"/>
            </w:pPr>
            <w:r>
              <w:rPr>
                <w:b w:val="0"/>
                <w:i w:val="0"/>
                <w:sz w:val="20"/>
              </w:rPr>
              <w:t>Люминофоры светодиодные</w:t>
            </w:r>
          </w:p>
        </w:tc>
        <w:tc>
          <w:tcPr>
            <w:tcW w:type="dxa" w:w="3324"/>
          </w:tcPr>
          <w:p>
            <w:pPr>
              <w:spacing w:after="0" w:line="240" w:lineRule="auto"/>
              <w:ind w:firstLine="0"/>
              <w:jc w:val="center"/>
            </w:pPr>
            <w:r>
              <w:rPr>
                <w:b w:val="0"/>
                <w:i w:val="0"/>
                <w:sz w:val="20"/>
              </w:rPr>
              <w:t>1 400</w:t>
            </w:r>
          </w:p>
        </w:tc>
        <w:tc>
          <w:tcPr>
            <w:tcW w:type="dxa" w:w="3324"/>
          </w:tcPr>
          <w:p>
            <w:pPr>
              <w:spacing w:after="0" w:line="240" w:lineRule="auto"/>
              <w:ind w:firstLine="0"/>
              <w:jc w:val="center"/>
            </w:pPr>
            <w:r>
              <w:rPr>
                <w:b w:val="0"/>
                <w:i w:val="0"/>
                <w:sz w:val="20"/>
              </w:rPr>
              <w:t>Y, Ce, Eu, Tb</w:t>
            </w:r>
          </w:p>
        </w:tc>
      </w:tr>
      <w:tr>
        <w:tc>
          <w:tcPr>
            <w:tcW w:type="dxa" w:w="3324"/>
          </w:tcPr>
          <w:p>
            <w:pPr>
              <w:spacing w:after="0" w:line="240" w:lineRule="auto"/>
              <w:ind w:firstLine="0"/>
              <w:jc w:val="left"/>
            </w:pPr>
            <w:r>
              <w:rPr>
                <w:b w:val="0"/>
                <w:i w:val="0"/>
                <w:sz w:val="20"/>
              </w:rPr>
              <w:t>Сцинтилляторы и детекторы</w:t>
            </w:r>
          </w:p>
        </w:tc>
        <w:tc>
          <w:tcPr>
            <w:tcW w:type="dxa" w:w="3324"/>
          </w:tcPr>
          <w:p>
            <w:pPr>
              <w:spacing w:after="0" w:line="240" w:lineRule="auto"/>
              <w:ind w:firstLine="0"/>
              <w:jc w:val="center"/>
            </w:pPr>
            <w:r>
              <w:rPr>
                <w:b w:val="0"/>
                <w:i w:val="0"/>
                <w:sz w:val="20"/>
              </w:rPr>
              <w:t>900</w:t>
            </w:r>
          </w:p>
        </w:tc>
        <w:tc>
          <w:tcPr>
            <w:tcW w:type="dxa" w:w="3324"/>
          </w:tcPr>
          <w:p>
            <w:pPr>
              <w:spacing w:after="0" w:line="240" w:lineRule="auto"/>
              <w:ind w:firstLine="0"/>
              <w:jc w:val="center"/>
            </w:pPr>
            <w:r>
              <w:rPr>
                <w:b w:val="0"/>
                <w:i w:val="0"/>
                <w:sz w:val="20"/>
              </w:rPr>
              <w:t>Lu, Gd, Y, Ce</w:t>
            </w:r>
          </w:p>
        </w:tc>
      </w:tr>
      <w:tr>
        <w:tc>
          <w:tcPr>
            <w:tcW w:type="dxa" w:w="3324"/>
          </w:tcPr>
          <w:p>
            <w:pPr>
              <w:spacing w:after="0" w:line="240" w:lineRule="auto"/>
              <w:ind w:firstLine="0"/>
              <w:jc w:val="left"/>
            </w:pPr>
            <w:r>
              <w:rPr>
                <w:b w:val="0"/>
                <w:i w:val="0"/>
                <w:sz w:val="20"/>
              </w:rPr>
              <w:t>Люминофоры прочие (остаточный спрос)</w:t>
            </w:r>
          </w:p>
        </w:tc>
        <w:tc>
          <w:tcPr>
            <w:tcW w:type="dxa" w:w="3324"/>
          </w:tcPr>
          <w:p>
            <w:pPr>
              <w:spacing w:after="0" w:line="240" w:lineRule="auto"/>
              <w:ind w:firstLine="0"/>
              <w:jc w:val="center"/>
            </w:pPr>
            <w:r>
              <w:rPr>
                <w:b w:val="0"/>
                <w:i w:val="0"/>
                <w:sz w:val="20"/>
              </w:rPr>
              <w:t>700</w:t>
            </w:r>
          </w:p>
        </w:tc>
        <w:tc>
          <w:tcPr>
            <w:tcW w:type="dxa" w:w="3324"/>
          </w:tcPr>
          <w:p>
            <w:pPr>
              <w:spacing w:after="0" w:line="240" w:lineRule="auto"/>
              <w:ind w:firstLine="0"/>
              <w:jc w:val="center"/>
            </w:pPr>
            <w:r>
              <w:rPr>
                <w:b w:val="0"/>
                <w:i w:val="0"/>
                <w:sz w:val="20"/>
              </w:rPr>
              <w:t>Y, Eu, Tb</w:t>
            </w:r>
          </w:p>
        </w:tc>
      </w:tr>
      <w:tr>
        <w:tc>
          <w:tcPr>
            <w:tcW w:type="dxa" w:w="3324"/>
          </w:tcPr>
          <w:p>
            <w:pPr>
              <w:spacing w:after="0" w:line="240" w:lineRule="auto"/>
              <w:ind w:firstLine="0"/>
              <w:jc w:val="left"/>
            </w:pPr>
            <w:r>
              <w:rPr>
                <w:b w:val="0"/>
                <w:i w:val="0"/>
                <w:sz w:val="20"/>
              </w:rPr>
              <w:t>Лазерные материалы</w:t>
            </w:r>
          </w:p>
        </w:tc>
        <w:tc>
          <w:tcPr>
            <w:tcW w:type="dxa" w:w="3324"/>
          </w:tcPr>
          <w:p>
            <w:pPr>
              <w:spacing w:after="0" w:line="240" w:lineRule="auto"/>
              <w:ind w:firstLine="0"/>
              <w:jc w:val="center"/>
            </w:pPr>
            <w:r>
              <w:rPr>
                <w:b w:val="0"/>
                <w:i w:val="0"/>
                <w:sz w:val="20"/>
              </w:rPr>
              <w:t>500</w:t>
            </w:r>
          </w:p>
        </w:tc>
        <w:tc>
          <w:tcPr>
            <w:tcW w:type="dxa" w:w="3324"/>
          </w:tcPr>
          <w:p>
            <w:pPr>
              <w:spacing w:after="0" w:line="240" w:lineRule="auto"/>
              <w:ind w:firstLine="0"/>
              <w:jc w:val="center"/>
            </w:pPr>
            <w:r>
              <w:rPr>
                <w:b w:val="0"/>
                <w:i w:val="0"/>
                <w:sz w:val="20"/>
              </w:rPr>
              <w:t>Nd, Yb, Er, Ho, Tm</w:t>
            </w:r>
          </w:p>
        </w:tc>
      </w:tr>
      <w:tr>
        <w:tc>
          <w:tcPr>
            <w:tcW w:type="dxa" w:w="3324"/>
          </w:tcPr>
          <w:p>
            <w:pPr>
              <w:spacing w:after="0" w:line="240" w:lineRule="auto"/>
              <w:ind w:firstLine="0"/>
              <w:jc w:val="left"/>
            </w:pPr>
            <w:r>
              <w:rPr>
                <w:b/>
                <w:i w:val="0"/>
                <w:sz w:val="20"/>
              </w:rPr>
              <w:t>Всего</w:t>
            </w:r>
          </w:p>
        </w:tc>
        <w:tc>
          <w:tcPr>
            <w:tcW w:type="dxa" w:w="3324"/>
          </w:tcPr>
          <w:p>
            <w:pPr>
              <w:spacing w:after="0" w:line="240" w:lineRule="auto"/>
              <w:ind w:firstLine="0"/>
              <w:jc w:val="center"/>
            </w:pPr>
            <w:r>
              <w:rPr>
                <w:b/>
                <w:i w:val="0"/>
                <w:sz w:val="20"/>
              </w:rPr>
              <w:t>16 000</w:t>
            </w:r>
          </w:p>
        </w:tc>
        <w:tc>
          <w:tcPr>
            <w:tcW w:type="dxa" w:w="3324"/>
          </w:tcPr>
          <w:p>
            <w:pPr>
              <w:spacing w:after="0" w:line="240" w:lineRule="auto"/>
              <w:ind w:firstLine="0"/>
              <w:jc w:val="center"/>
            </w:pPr>
          </w:p>
        </w:tc>
      </w:tr>
    </w:tbl>
    <w:p>
      <w:pPr>
        <w:spacing w:after="180"/>
        <w:ind w:firstLine="0"/>
      </w:pPr>
      <w:r>
        <w:rPr>
          <w:i/>
          <w:sz w:val="20"/>
        </w:rPr>
        <w:t>Источник: аналитический центр</w:t>
      </w:r>
    </w:p>
    <w:p>
      <w:pPr>
        <w:pStyle w:val="Heading2"/>
      </w:pPr>
      <w:r>
        <w:rPr>
          <w:b w:val="0"/>
          <w:i w:val="0"/>
        </w:rPr>
        <w:t>5.7. Прочие направления применения</w:t>
      </w:r>
    </w:p>
    <w:p>
      <w:r>
        <w:rPr>
          <w:b/>
          <w:i w:val="0"/>
        </w:rPr>
        <w:t>Аккумуляторы NiMH.</w:t>
      </w:r>
      <w:r>
        <w:rPr>
          <w:b w:val="0"/>
          <w:i w:val="0"/>
        </w:rPr>
        <w:t xml:space="preserve"> Отрицательный электрод выполняется из водородопоглощающего сплава типа AB₅ на основе мишметалла (La, Ce, Nd, Pr) с никелем и кобальтом. Содержание РЗМ — 25–33% массы сплава. Сегмент сокращается по мере вытеснения литий-ионной технологией, сохраняя позиции в гибридных автомобилях отдельных производителей и в промышленных применениях.</w:t>
      </w:r>
    </w:p>
    <w:p>
      <w:r>
        <w:rPr>
          <w:b/>
          <w:i w:val="0"/>
        </w:rPr>
        <w:t>Атомная техника.</w:t>
      </w:r>
      <w:r>
        <w:rPr>
          <w:b w:val="0"/>
          <w:i w:val="0"/>
        </w:rPr>
        <w:t xml:space="preserve"> Гадолиний — выгорающий поглотитель в ядерном топливе (Gd₂O₃ в составе таблеток UO₂), самарий и европий — материалы органов регулирования. Иттрий и церий — компоненты материалов для обращения с отработавшим топливом.</w:t>
      </w:r>
    </w:p>
    <w:p>
      <w:r>
        <w:rPr>
          <w:b/>
          <w:i w:val="0"/>
        </w:rPr>
        <w:t>Медицина.</w:t>
      </w:r>
      <w:r>
        <w:rPr>
          <w:b w:val="0"/>
          <w:i w:val="0"/>
        </w:rPr>
        <w:t xml:space="preserve"> Гадолиниевые контрастные средства для магнитно-резонансной томографии, лютеций-177 в радиофармацевтике (терапия нейроэндокринных опухолей и рака предстательной железы) — быстрорастущее направление с высокой добавленной стоимостью, иттрий-90 в радиоэмболизации.</w:t>
      </w:r>
    </w:p>
    <w:p>
      <w:r>
        <w:rPr>
          <w:b/>
          <w:i w:val="0"/>
        </w:rPr>
        <w:t>Сельское хозяйство.</w:t>
      </w:r>
      <w:r>
        <w:rPr>
          <w:b w:val="0"/>
          <w:i w:val="0"/>
        </w:rPr>
        <w:t xml:space="preserve"> Микроудобрения на основе РЗМ, применяемые преимущественно в КНР.</w:t>
      </w:r>
    </w:p>
    <w:p>
      <w:r>
        <w:rPr>
          <w:b/>
          <w:i w:val="0"/>
        </w:rPr>
        <w:t>Водородная энергетика.</w:t>
      </w:r>
      <w:r>
        <w:rPr>
          <w:b w:val="0"/>
          <w:i w:val="0"/>
        </w:rPr>
        <w:t xml:space="preserve"> Твердооксидные электролизёры и топливные элементы на основе YSZ и церийсодержащих электролитов; интерметаллиды для хранения водорода.</w:t>
      </w:r>
    </w:p>
    <w:p>
      <w:pPr>
        <w:keepNext/>
        <w:spacing w:before="160" w:after="60"/>
        <w:ind w:firstLine="0"/>
        <w:jc w:val="left"/>
      </w:pPr>
      <w:r>
        <w:rPr>
          <w:b/>
          <w:sz w:val="22"/>
        </w:rPr>
        <w:t>Таблица 42. Поэлементная структура мирового потребления РЗМ, 2024 г., т оксида</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Элемент</w:t>
            </w:r>
          </w:p>
        </w:tc>
        <w:tc>
          <w:tcPr>
            <w:tcW w:type="dxa" w:w="1425"/>
            <w:shd w:val="clear" w:fill="DCE6F1"/>
          </w:tcPr>
          <w:p>
            <w:pPr>
              <w:spacing w:after="0" w:line="240" w:lineRule="auto"/>
              <w:ind w:firstLine="0"/>
              <w:jc w:val="center"/>
            </w:pPr>
            <w:r>
              <w:rPr>
                <w:b/>
                <w:i w:val="0"/>
                <w:sz w:val="20"/>
              </w:rPr>
              <w:t>Магниты</w:t>
            </w:r>
          </w:p>
        </w:tc>
        <w:tc>
          <w:tcPr>
            <w:tcW w:type="dxa" w:w="1425"/>
            <w:shd w:val="clear" w:fill="DCE6F1"/>
          </w:tcPr>
          <w:p>
            <w:pPr>
              <w:spacing w:after="0" w:line="240" w:lineRule="auto"/>
              <w:ind w:firstLine="0"/>
              <w:jc w:val="center"/>
            </w:pPr>
            <w:r>
              <w:rPr>
                <w:b/>
                <w:i w:val="0"/>
                <w:sz w:val="20"/>
              </w:rPr>
              <w:t>Катализаторы</w:t>
            </w:r>
          </w:p>
        </w:tc>
        <w:tc>
          <w:tcPr>
            <w:tcW w:type="dxa" w:w="1425"/>
            <w:shd w:val="clear" w:fill="DCE6F1"/>
          </w:tcPr>
          <w:p>
            <w:pPr>
              <w:spacing w:after="0" w:line="240" w:lineRule="auto"/>
              <w:ind w:firstLine="0"/>
              <w:jc w:val="center"/>
            </w:pPr>
            <w:r>
              <w:rPr>
                <w:b/>
                <w:i w:val="0"/>
                <w:sz w:val="20"/>
              </w:rPr>
              <w:t>Полировка</w:t>
            </w:r>
          </w:p>
        </w:tc>
        <w:tc>
          <w:tcPr>
            <w:tcW w:type="dxa" w:w="1425"/>
            <w:shd w:val="clear" w:fill="DCE6F1"/>
          </w:tcPr>
          <w:p>
            <w:pPr>
              <w:spacing w:after="0" w:line="240" w:lineRule="auto"/>
              <w:ind w:firstLine="0"/>
              <w:jc w:val="center"/>
            </w:pPr>
            <w:r>
              <w:rPr>
                <w:b/>
                <w:i w:val="0"/>
                <w:sz w:val="20"/>
              </w:rPr>
              <w:t>Металлургия</w:t>
            </w:r>
          </w:p>
        </w:tc>
        <w:tc>
          <w:tcPr>
            <w:tcW w:type="dxa" w:w="1425"/>
            <w:shd w:val="clear" w:fill="DCE6F1"/>
          </w:tcPr>
          <w:p>
            <w:pPr>
              <w:spacing w:after="0" w:line="240" w:lineRule="auto"/>
              <w:ind w:firstLine="0"/>
              <w:jc w:val="center"/>
            </w:pPr>
            <w:r>
              <w:rPr>
                <w:b/>
                <w:i w:val="0"/>
                <w:sz w:val="20"/>
              </w:rPr>
              <w:t>Прочие</w:t>
            </w:r>
          </w:p>
        </w:tc>
        <w:tc>
          <w:tcPr>
            <w:tcW w:type="dxa" w:w="1425"/>
            <w:shd w:val="clear" w:fill="DCE6F1"/>
          </w:tcPr>
          <w:p>
            <w:pPr>
              <w:spacing w:after="0" w:line="240" w:lineRule="auto"/>
              <w:ind w:firstLine="0"/>
              <w:jc w:val="center"/>
            </w:pPr>
            <w:r>
              <w:rPr>
                <w:b/>
                <w:i w:val="0"/>
                <w:sz w:val="20"/>
              </w:rPr>
              <w:t>Всего</w:t>
            </w:r>
          </w:p>
        </w:tc>
      </w:tr>
      <w:tr>
        <w:tc>
          <w:tcPr>
            <w:tcW w:type="dxa" w:w="1425"/>
          </w:tcPr>
          <w:p>
            <w:pPr>
              <w:spacing w:after="0" w:line="240" w:lineRule="auto"/>
              <w:ind w:firstLine="0"/>
              <w:jc w:val="left"/>
            </w:pPr>
            <w:r>
              <w:rPr>
                <w:b w:val="0"/>
                <w:i w:val="0"/>
                <w:sz w:val="20"/>
              </w:rPr>
              <w:t>La₂O₃</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17 000</w:t>
            </w:r>
          </w:p>
        </w:tc>
        <w:tc>
          <w:tcPr>
            <w:tcW w:type="dxa" w:w="1425"/>
          </w:tcPr>
          <w:p>
            <w:pPr>
              <w:spacing w:after="0" w:line="240" w:lineRule="auto"/>
              <w:ind w:firstLine="0"/>
              <w:jc w:val="center"/>
            </w:pPr>
            <w:r>
              <w:rPr>
                <w:b w:val="0"/>
                <w:i w:val="0"/>
                <w:sz w:val="20"/>
              </w:rPr>
              <w:t>4 800</w:t>
            </w:r>
          </w:p>
        </w:tc>
        <w:tc>
          <w:tcPr>
            <w:tcW w:type="dxa" w:w="1425"/>
          </w:tcPr>
          <w:p>
            <w:pPr>
              <w:spacing w:after="0" w:line="240" w:lineRule="auto"/>
              <w:ind w:firstLine="0"/>
              <w:jc w:val="center"/>
            </w:pPr>
            <w:r>
              <w:rPr>
                <w:b w:val="0"/>
                <w:i w:val="0"/>
                <w:sz w:val="20"/>
              </w:rPr>
              <w:t>12 500</w:t>
            </w:r>
          </w:p>
        </w:tc>
        <w:tc>
          <w:tcPr>
            <w:tcW w:type="dxa" w:w="1425"/>
          </w:tcPr>
          <w:p>
            <w:pPr>
              <w:spacing w:after="0" w:line="240" w:lineRule="auto"/>
              <w:ind w:firstLine="0"/>
              <w:jc w:val="center"/>
            </w:pPr>
            <w:r>
              <w:rPr>
                <w:b w:val="0"/>
                <w:i w:val="0"/>
                <w:sz w:val="20"/>
              </w:rPr>
              <w:t>20 700</w:t>
            </w:r>
          </w:p>
        </w:tc>
        <w:tc>
          <w:tcPr>
            <w:tcW w:type="dxa" w:w="1425"/>
          </w:tcPr>
          <w:p>
            <w:pPr>
              <w:spacing w:after="0" w:line="240" w:lineRule="auto"/>
              <w:ind w:firstLine="0"/>
              <w:jc w:val="center"/>
            </w:pPr>
            <w:r>
              <w:rPr>
                <w:b w:val="0"/>
                <w:i w:val="0"/>
                <w:sz w:val="20"/>
              </w:rPr>
              <w:t>55 000</w:t>
            </w:r>
          </w:p>
        </w:tc>
      </w:tr>
      <w:tr>
        <w:tc>
          <w:tcPr>
            <w:tcW w:type="dxa" w:w="1425"/>
          </w:tcPr>
          <w:p>
            <w:pPr>
              <w:spacing w:after="0" w:line="240" w:lineRule="auto"/>
              <w:ind w:firstLine="0"/>
              <w:jc w:val="left"/>
            </w:pPr>
            <w:r>
              <w:rPr>
                <w:b w:val="0"/>
                <w:i w:val="0"/>
                <w:sz w:val="20"/>
              </w:rPr>
              <w:t>CeO₂</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9 000</w:t>
            </w:r>
          </w:p>
        </w:tc>
        <w:tc>
          <w:tcPr>
            <w:tcW w:type="dxa" w:w="1425"/>
          </w:tcPr>
          <w:p>
            <w:pPr>
              <w:spacing w:after="0" w:line="240" w:lineRule="auto"/>
              <w:ind w:firstLine="0"/>
              <w:jc w:val="center"/>
            </w:pPr>
            <w:r>
              <w:rPr>
                <w:b w:val="0"/>
                <w:i w:val="0"/>
                <w:sz w:val="20"/>
              </w:rPr>
              <w:t>18 500</w:t>
            </w:r>
          </w:p>
        </w:tc>
        <w:tc>
          <w:tcPr>
            <w:tcW w:type="dxa" w:w="1425"/>
          </w:tcPr>
          <w:p>
            <w:pPr>
              <w:spacing w:after="0" w:line="240" w:lineRule="auto"/>
              <w:ind w:firstLine="0"/>
              <w:jc w:val="center"/>
            </w:pPr>
            <w:r>
              <w:rPr>
                <w:b w:val="0"/>
                <w:i w:val="0"/>
                <w:sz w:val="20"/>
              </w:rPr>
              <w:t>14 800</w:t>
            </w:r>
          </w:p>
        </w:tc>
        <w:tc>
          <w:tcPr>
            <w:tcW w:type="dxa" w:w="1425"/>
          </w:tcPr>
          <w:p>
            <w:pPr>
              <w:spacing w:after="0" w:line="240" w:lineRule="auto"/>
              <w:ind w:firstLine="0"/>
              <w:jc w:val="center"/>
            </w:pPr>
            <w:r>
              <w:rPr>
                <w:b w:val="0"/>
                <w:i w:val="0"/>
                <w:sz w:val="20"/>
              </w:rPr>
              <w:t>19 700</w:t>
            </w:r>
          </w:p>
        </w:tc>
        <w:tc>
          <w:tcPr>
            <w:tcW w:type="dxa" w:w="1425"/>
          </w:tcPr>
          <w:p>
            <w:pPr>
              <w:spacing w:after="0" w:line="240" w:lineRule="auto"/>
              <w:ind w:firstLine="0"/>
              <w:jc w:val="center"/>
            </w:pPr>
            <w:r>
              <w:rPr>
                <w:b w:val="0"/>
                <w:i w:val="0"/>
                <w:sz w:val="20"/>
              </w:rPr>
              <w:t>62 000</w:t>
            </w:r>
          </w:p>
        </w:tc>
      </w:tr>
      <w:tr>
        <w:tc>
          <w:tcPr>
            <w:tcW w:type="dxa" w:w="1425"/>
          </w:tcPr>
          <w:p>
            <w:pPr>
              <w:spacing w:after="0" w:line="240" w:lineRule="auto"/>
              <w:ind w:firstLine="0"/>
              <w:jc w:val="left"/>
            </w:pPr>
            <w:r>
              <w:rPr>
                <w:b w:val="0"/>
                <w:i w:val="0"/>
                <w:sz w:val="20"/>
              </w:rPr>
              <w:t>Pr₆O₁₁</w:t>
            </w:r>
          </w:p>
        </w:tc>
        <w:tc>
          <w:tcPr>
            <w:tcW w:type="dxa" w:w="1425"/>
          </w:tcPr>
          <w:p>
            <w:pPr>
              <w:spacing w:after="0" w:line="240" w:lineRule="auto"/>
              <w:ind w:firstLine="0"/>
              <w:jc w:val="center"/>
            </w:pPr>
            <w:r>
              <w:rPr>
                <w:b w:val="0"/>
                <w:i w:val="0"/>
                <w:sz w:val="20"/>
              </w:rPr>
              <w:t>10 900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700</w:t>
            </w:r>
          </w:p>
        </w:tc>
        <w:tc>
          <w:tcPr>
            <w:tcW w:type="dxa" w:w="1425"/>
          </w:tcPr>
          <w:p>
            <w:pPr>
              <w:spacing w:after="0" w:line="240" w:lineRule="auto"/>
              <w:ind w:firstLine="0"/>
              <w:jc w:val="center"/>
            </w:pPr>
            <w:r>
              <w:rPr>
                <w:b w:val="0"/>
                <w:i w:val="0"/>
                <w:sz w:val="20"/>
              </w:rPr>
              <w:t>400</w:t>
            </w:r>
          </w:p>
        </w:tc>
        <w:tc>
          <w:tcPr>
            <w:tcW w:type="dxa" w:w="1425"/>
          </w:tcPr>
          <w:p>
            <w:pPr>
              <w:spacing w:after="0" w:line="240" w:lineRule="auto"/>
              <w:ind w:firstLine="0"/>
              <w:jc w:val="center"/>
            </w:pPr>
            <w:r>
              <w:rPr>
                <w:b w:val="0"/>
                <w:i w:val="0"/>
                <w:sz w:val="20"/>
              </w:rPr>
              <w:t>12 000</w:t>
            </w:r>
          </w:p>
        </w:tc>
      </w:tr>
      <w:tr>
        <w:tc>
          <w:tcPr>
            <w:tcW w:type="dxa" w:w="1425"/>
          </w:tcPr>
          <w:p>
            <w:pPr>
              <w:spacing w:after="0" w:line="240" w:lineRule="auto"/>
              <w:ind w:firstLine="0"/>
              <w:jc w:val="left"/>
            </w:pPr>
            <w:r>
              <w:rPr>
                <w:b w:val="0"/>
                <w:i w:val="0"/>
                <w:sz w:val="20"/>
              </w:rPr>
              <w:t>Nd₂O₃</w:t>
            </w:r>
          </w:p>
        </w:tc>
        <w:tc>
          <w:tcPr>
            <w:tcW w:type="dxa" w:w="1425"/>
          </w:tcPr>
          <w:p>
            <w:pPr>
              <w:spacing w:after="0" w:line="240" w:lineRule="auto"/>
              <w:ind w:firstLine="0"/>
              <w:jc w:val="center"/>
            </w:pPr>
            <w:r>
              <w:rPr>
                <w:b w:val="0"/>
                <w:i w:val="0"/>
                <w:sz w:val="20"/>
              </w:rPr>
              <w:t>40 200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1 900</w:t>
            </w:r>
          </w:p>
        </w:tc>
        <w:tc>
          <w:tcPr>
            <w:tcW w:type="dxa" w:w="1425"/>
          </w:tcPr>
          <w:p>
            <w:pPr>
              <w:spacing w:after="0" w:line="240" w:lineRule="auto"/>
              <w:ind w:firstLine="0"/>
              <w:jc w:val="center"/>
            </w:pPr>
            <w:r>
              <w:rPr>
                <w:b w:val="0"/>
                <w:i w:val="0"/>
                <w:sz w:val="20"/>
              </w:rPr>
              <w:t>900</w:t>
            </w:r>
          </w:p>
        </w:tc>
        <w:tc>
          <w:tcPr>
            <w:tcW w:type="dxa" w:w="1425"/>
          </w:tcPr>
          <w:p>
            <w:pPr>
              <w:spacing w:after="0" w:line="240" w:lineRule="auto"/>
              <w:ind w:firstLine="0"/>
              <w:jc w:val="center"/>
            </w:pPr>
            <w:r>
              <w:rPr>
                <w:b w:val="0"/>
                <w:i w:val="0"/>
                <w:sz w:val="20"/>
              </w:rPr>
              <w:t>43 000</w:t>
            </w:r>
          </w:p>
        </w:tc>
      </w:tr>
      <w:tr>
        <w:tc>
          <w:tcPr>
            <w:tcW w:type="dxa" w:w="1425"/>
          </w:tcPr>
          <w:p>
            <w:pPr>
              <w:spacing w:after="0" w:line="240" w:lineRule="auto"/>
              <w:ind w:firstLine="0"/>
              <w:jc w:val="left"/>
            </w:pPr>
            <w:r>
              <w:rPr>
                <w:b w:val="0"/>
                <w:i w:val="0"/>
                <w:sz w:val="20"/>
              </w:rPr>
              <w:t>Sm₂O₃</w:t>
            </w:r>
          </w:p>
        </w:tc>
        <w:tc>
          <w:tcPr>
            <w:tcW w:type="dxa" w:w="1425"/>
          </w:tcPr>
          <w:p>
            <w:pPr>
              <w:spacing w:after="0" w:line="240" w:lineRule="auto"/>
              <w:ind w:firstLine="0"/>
              <w:jc w:val="center"/>
            </w:pPr>
            <w:r>
              <w:rPr>
                <w:b w:val="0"/>
                <w:i w:val="0"/>
                <w:sz w:val="20"/>
              </w:rPr>
              <w:t>2 400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300</w:t>
            </w:r>
          </w:p>
        </w:tc>
        <w:tc>
          <w:tcPr>
            <w:tcW w:type="dxa" w:w="1425"/>
          </w:tcPr>
          <w:p>
            <w:pPr>
              <w:spacing w:after="0" w:line="240" w:lineRule="auto"/>
              <w:ind w:firstLine="0"/>
              <w:jc w:val="center"/>
            </w:pPr>
            <w:r>
              <w:rPr>
                <w:b w:val="0"/>
                <w:i w:val="0"/>
                <w:sz w:val="20"/>
              </w:rPr>
              <w:t>500</w:t>
            </w:r>
          </w:p>
        </w:tc>
        <w:tc>
          <w:tcPr>
            <w:tcW w:type="dxa" w:w="1425"/>
          </w:tcPr>
          <w:p>
            <w:pPr>
              <w:spacing w:after="0" w:line="240" w:lineRule="auto"/>
              <w:ind w:firstLine="0"/>
              <w:jc w:val="center"/>
            </w:pPr>
            <w:r>
              <w:rPr>
                <w:b w:val="0"/>
                <w:i w:val="0"/>
                <w:sz w:val="20"/>
              </w:rPr>
              <w:t>3 200</w:t>
            </w:r>
          </w:p>
        </w:tc>
      </w:tr>
      <w:tr>
        <w:tc>
          <w:tcPr>
            <w:tcW w:type="dxa" w:w="1425"/>
          </w:tcPr>
          <w:p>
            <w:pPr>
              <w:spacing w:after="0" w:line="240" w:lineRule="auto"/>
              <w:ind w:firstLine="0"/>
              <w:jc w:val="left"/>
            </w:pPr>
            <w:r>
              <w:rPr>
                <w:b w:val="0"/>
                <w:i w:val="0"/>
                <w:sz w:val="20"/>
              </w:rPr>
              <w:t>Eu₂O₃</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320</w:t>
            </w:r>
          </w:p>
        </w:tc>
        <w:tc>
          <w:tcPr>
            <w:tcW w:type="dxa" w:w="1425"/>
          </w:tcPr>
          <w:p>
            <w:pPr>
              <w:spacing w:after="0" w:line="240" w:lineRule="auto"/>
              <w:ind w:firstLine="0"/>
              <w:jc w:val="center"/>
            </w:pPr>
            <w:r>
              <w:rPr>
                <w:b w:val="0"/>
                <w:i w:val="0"/>
                <w:sz w:val="20"/>
              </w:rPr>
              <w:t>320</w:t>
            </w:r>
          </w:p>
        </w:tc>
      </w:tr>
      <w:tr>
        <w:tc>
          <w:tcPr>
            <w:tcW w:type="dxa" w:w="1425"/>
          </w:tcPr>
          <w:p>
            <w:pPr>
              <w:spacing w:after="0" w:line="240" w:lineRule="auto"/>
              <w:ind w:firstLine="0"/>
              <w:jc w:val="left"/>
            </w:pPr>
            <w:r>
              <w:rPr>
                <w:b w:val="0"/>
                <w:i w:val="0"/>
                <w:sz w:val="20"/>
              </w:rPr>
              <w:t>Gd₂O₃</w:t>
            </w:r>
          </w:p>
        </w:tc>
        <w:tc>
          <w:tcPr>
            <w:tcW w:type="dxa" w:w="1425"/>
          </w:tcPr>
          <w:p>
            <w:pPr>
              <w:spacing w:after="0" w:line="240" w:lineRule="auto"/>
              <w:ind w:firstLine="0"/>
              <w:jc w:val="center"/>
            </w:pPr>
            <w:r>
              <w:rPr>
                <w:b w:val="0"/>
                <w:i w:val="0"/>
                <w:sz w:val="20"/>
              </w:rPr>
              <w:t>1 800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400</w:t>
            </w:r>
          </w:p>
        </w:tc>
        <w:tc>
          <w:tcPr>
            <w:tcW w:type="dxa" w:w="1425"/>
          </w:tcPr>
          <w:p>
            <w:pPr>
              <w:spacing w:after="0" w:line="240" w:lineRule="auto"/>
              <w:ind w:firstLine="0"/>
              <w:jc w:val="center"/>
            </w:pPr>
            <w:r>
              <w:rPr>
                <w:b w:val="0"/>
                <w:i w:val="0"/>
                <w:sz w:val="20"/>
              </w:rPr>
              <w:t>1 900</w:t>
            </w:r>
          </w:p>
        </w:tc>
        <w:tc>
          <w:tcPr>
            <w:tcW w:type="dxa" w:w="1425"/>
          </w:tcPr>
          <w:p>
            <w:pPr>
              <w:spacing w:after="0" w:line="240" w:lineRule="auto"/>
              <w:ind w:firstLine="0"/>
              <w:jc w:val="center"/>
            </w:pPr>
            <w:r>
              <w:rPr>
                <w:b w:val="0"/>
                <w:i w:val="0"/>
                <w:sz w:val="20"/>
              </w:rPr>
              <w:t>4 100</w:t>
            </w:r>
          </w:p>
        </w:tc>
      </w:tr>
      <w:tr>
        <w:tc>
          <w:tcPr>
            <w:tcW w:type="dxa" w:w="1425"/>
          </w:tcPr>
          <w:p>
            <w:pPr>
              <w:spacing w:after="0" w:line="240" w:lineRule="auto"/>
              <w:ind w:firstLine="0"/>
              <w:jc w:val="left"/>
            </w:pPr>
            <w:r>
              <w:rPr>
                <w:b w:val="0"/>
                <w:i w:val="0"/>
                <w:sz w:val="20"/>
              </w:rPr>
              <w:t>Tb₄O₇</w:t>
            </w:r>
          </w:p>
        </w:tc>
        <w:tc>
          <w:tcPr>
            <w:tcW w:type="dxa" w:w="1425"/>
          </w:tcPr>
          <w:p>
            <w:pPr>
              <w:spacing w:after="0" w:line="240" w:lineRule="auto"/>
              <w:ind w:firstLine="0"/>
              <w:jc w:val="center"/>
            </w:pPr>
            <w:r>
              <w:rPr>
                <w:b w:val="0"/>
                <w:i w:val="0"/>
                <w:sz w:val="20"/>
              </w:rPr>
              <w:t>750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150</w:t>
            </w:r>
          </w:p>
        </w:tc>
        <w:tc>
          <w:tcPr>
            <w:tcW w:type="dxa" w:w="1425"/>
          </w:tcPr>
          <w:p>
            <w:pPr>
              <w:spacing w:after="0" w:line="240" w:lineRule="auto"/>
              <w:ind w:firstLine="0"/>
              <w:jc w:val="center"/>
            </w:pPr>
            <w:r>
              <w:rPr>
                <w:b w:val="0"/>
                <w:i w:val="0"/>
                <w:sz w:val="20"/>
              </w:rPr>
              <w:t>900</w:t>
            </w:r>
          </w:p>
        </w:tc>
      </w:tr>
      <w:tr>
        <w:tc>
          <w:tcPr>
            <w:tcW w:type="dxa" w:w="1425"/>
          </w:tcPr>
          <w:p>
            <w:pPr>
              <w:spacing w:after="0" w:line="240" w:lineRule="auto"/>
              <w:ind w:firstLine="0"/>
              <w:jc w:val="left"/>
            </w:pPr>
            <w:r>
              <w:rPr>
                <w:b w:val="0"/>
                <w:i w:val="0"/>
                <w:sz w:val="20"/>
              </w:rPr>
              <w:t>Dy₂O₃</w:t>
            </w:r>
          </w:p>
        </w:tc>
        <w:tc>
          <w:tcPr>
            <w:tcW w:type="dxa" w:w="1425"/>
          </w:tcPr>
          <w:p>
            <w:pPr>
              <w:spacing w:after="0" w:line="240" w:lineRule="auto"/>
              <w:ind w:firstLine="0"/>
              <w:jc w:val="center"/>
            </w:pPr>
            <w:r>
              <w:rPr>
                <w:b w:val="0"/>
                <w:i w:val="0"/>
                <w:sz w:val="20"/>
              </w:rPr>
              <w:t>3 150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50</w:t>
            </w:r>
          </w:p>
        </w:tc>
        <w:tc>
          <w:tcPr>
            <w:tcW w:type="dxa" w:w="1425"/>
          </w:tcPr>
          <w:p>
            <w:pPr>
              <w:spacing w:after="0" w:line="240" w:lineRule="auto"/>
              <w:ind w:firstLine="0"/>
              <w:jc w:val="center"/>
            </w:pPr>
            <w:r>
              <w:rPr>
                <w:b w:val="0"/>
                <w:i w:val="0"/>
                <w:sz w:val="20"/>
              </w:rPr>
              <w:t>100</w:t>
            </w:r>
          </w:p>
        </w:tc>
        <w:tc>
          <w:tcPr>
            <w:tcW w:type="dxa" w:w="1425"/>
          </w:tcPr>
          <w:p>
            <w:pPr>
              <w:spacing w:after="0" w:line="240" w:lineRule="auto"/>
              <w:ind w:firstLine="0"/>
              <w:jc w:val="center"/>
            </w:pPr>
            <w:r>
              <w:rPr>
                <w:b w:val="0"/>
                <w:i w:val="0"/>
                <w:sz w:val="20"/>
              </w:rPr>
              <w:t>3 300</w:t>
            </w:r>
          </w:p>
        </w:tc>
      </w:tr>
      <w:tr>
        <w:tc>
          <w:tcPr>
            <w:tcW w:type="dxa" w:w="1425"/>
          </w:tcPr>
          <w:p>
            <w:pPr>
              <w:spacing w:after="0" w:line="240" w:lineRule="auto"/>
              <w:ind w:firstLine="0"/>
              <w:jc w:val="left"/>
            </w:pPr>
            <w:r>
              <w:rPr>
                <w:b w:val="0"/>
                <w:i w:val="0"/>
                <w:sz w:val="20"/>
              </w:rPr>
              <w:t>Y₂O₃</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1 200</w:t>
            </w:r>
          </w:p>
        </w:tc>
        <w:tc>
          <w:tcPr>
            <w:tcW w:type="dxa" w:w="1425"/>
          </w:tcPr>
          <w:p>
            <w:pPr>
              <w:spacing w:after="0" w:line="240" w:lineRule="auto"/>
              <w:ind w:firstLine="0"/>
              <w:jc w:val="center"/>
            </w:pPr>
            <w:r>
              <w:rPr>
                <w:b w:val="0"/>
                <w:i w:val="0"/>
                <w:sz w:val="20"/>
              </w:rPr>
              <w:t>7 300</w:t>
            </w:r>
          </w:p>
        </w:tc>
        <w:tc>
          <w:tcPr>
            <w:tcW w:type="dxa" w:w="1425"/>
          </w:tcPr>
          <w:p>
            <w:pPr>
              <w:spacing w:after="0" w:line="240" w:lineRule="auto"/>
              <w:ind w:firstLine="0"/>
              <w:jc w:val="center"/>
            </w:pPr>
            <w:r>
              <w:rPr>
                <w:b w:val="0"/>
                <w:i w:val="0"/>
                <w:sz w:val="20"/>
              </w:rPr>
              <w:t>8 500</w:t>
            </w:r>
          </w:p>
        </w:tc>
      </w:tr>
      <w:tr>
        <w:tc>
          <w:tcPr>
            <w:tcW w:type="dxa" w:w="1425"/>
          </w:tcPr>
          <w:p>
            <w:pPr>
              <w:spacing w:after="0" w:line="240" w:lineRule="auto"/>
              <w:ind w:firstLine="0"/>
              <w:jc w:val="left"/>
            </w:pPr>
            <w:r>
              <w:rPr>
                <w:b w:val="0"/>
                <w:i w:val="0"/>
                <w:sz w:val="20"/>
              </w:rPr>
              <w:t>Прочие (Ho–Lu)</w:t>
            </w:r>
          </w:p>
        </w:tc>
        <w:tc>
          <w:tcPr>
            <w:tcW w:type="dxa" w:w="1425"/>
          </w:tcPr>
          <w:p>
            <w:pPr>
              <w:spacing w:after="0" w:line="240" w:lineRule="auto"/>
              <w:ind w:firstLine="0"/>
              <w:jc w:val="center"/>
            </w:pPr>
            <w:r>
              <w:rPr>
                <w:b w:val="0"/>
                <w:i w:val="0"/>
                <w:sz w:val="20"/>
              </w:rPr>
              <w:t>200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150</w:t>
            </w:r>
          </w:p>
        </w:tc>
        <w:tc>
          <w:tcPr>
            <w:tcW w:type="dxa" w:w="1425"/>
          </w:tcPr>
          <w:p>
            <w:pPr>
              <w:spacing w:after="0" w:line="240" w:lineRule="auto"/>
              <w:ind w:firstLine="0"/>
              <w:jc w:val="center"/>
            </w:pPr>
            <w:r>
              <w:rPr>
                <w:b w:val="0"/>
                <w:i w:val="0"/>
                <w:sz w:val="20"/>
              </w:rPr>
              <w:t>1 330</w:t>
            </w:r>
          </w:p>
        </w:tc>
        <w:tc>
          <w:tcPr>
            <w:tcW w:type="dxa" w:w="1425"/>
          </w:tcPr>
          <w:p>
            <w:pPr>
              <w:spacing w:after="0" w:line="240" w:lineRule="auto"/>
              <w:ind w:firstLine="0"/>
              <w:jc w:val="center"/>
            </w:pPr>
            <w:r>
              <w:rPr>
                <w:b w:val="0"/>
                <w:i w:val="0"/>
                <w:sz w:val="20"/>
              </w:rPr>
              <w:t>1 680</w:t>
            </w:r>
          </w:p>
        </w:tc>
      </w:tr>
      <w:tr>
        <w:tc>
          <w:tcPr>
            <w:tcW w:type="dxa" w:w="1425"/>
          </w:tcPr>
          <w:p>
            <w:pPr>
              <w:spacing w:after="0" w:line="240" w:lineRule="auto"/>
              <w:ind w:firstLine="0"/>
              <w:jc w:val="left"/>
            </w:pPr>
            <w:r>
              <w:rPr>
                <w:b/>
                <w:i w:val="0"/>
                <w:sz w:val="20"/>
              </w:rPr>
              <w:t>Всего</w:t>
            </w:r>
          </w:p>
        </w:tc>
        <w:tc>
          <w:tcPr>
            <w:tcW w:type="dxa" w:w="1425"/>
          </w:tcPr>
          <w:p>
            <w:pPr>
              <w:spacing w:after="0" w:line="240" w:lineRule="auto"/>
              <w:ind w:firstLine="0"/>
              <w:jc w:val="center"/>
            </w:pPr>
            <w:r>
              <w:rPr>
                <w:b/>
                <w:i w:val="0"/>
                <w:sz w:val="20"/>
              </w:rPr>
              <w:t>59 400</w:t>
            </w:r>
          </w:p>
        </w:tc>
        <w:tc>
          <w:tcPr>
            <w:tcW w:type="dxa" w:w="1425"/>
          </w:tcPr>
          <w:p>
            <w:pPr>
              <w:spacing w:after="0" w:line="240" w:lineRule="auto"/>
              <w:ind w:firstLine="0"/>
              <w:jc w:val="center"/>
            </w:pPr>
            <w:r>
              <w:rPr>
                <w:b/>
                <w:i w:val="0"/>
                <w:sz w:val="20"/>
              </w:rPr>
              <w:t>26 000</w:t>
            </w:r>
          </w:p>
        </w:tc>
        <w:tc>
          <w:tcPr>
            <w:tcW w:type="dxa" w:w="1425"/>
          </w:tcPr>
          <w:p>
            <w:pPr>
              <w:spacing w:after="0" w:line="240" w:lineRule="auto"/>
              <w:ind w:firstLine="0"/>
              <w:jc w:val="center"/>
            </w:pPr>
            <w:r>
              <w:rPr>
                <w:b/>
                <w:i w:val="0"/>
                <w:sz w:val="20"/>
              </w:rPr>
              <w:t>23 300</w:t>
            </w:r>
          </w:p>
        </w:tc>
        <w:tc>
          <w:tcPr>
            <w:tcW w:type="dxa" w:w="1425"/>
          </w:tcPr>
          <w:p>
            <w:pPr>
              <w:spacing w:after="0" w:line="240" w:lineRule="auto"/>
              <w:ind w:firstLine="0"/>
              <w:jc w:val="center"/>
            </w:pPr>
            <w:r>
              <w:rPr>
                <w:b/>
                <w:i w:val="0"/>
                <w:sz w:val="20"/>
              </w:rPr>
              <w:t>32 000</w:t>
            </w:r>
          </w:p>
        </w:tc>
        <w:tc>
          <w:tcPr>
            <w:tcW w:type="dxa" w:w="1425"/>
          </w:tcPr>
          <w:p>
            <w:pPr>
              <w:spacing w:after="0" w:line="240" w:lineRule="auto"/>
              <w:ind w:firstLine="0"/>
              <w:jc w:val="center"/>
            </w:pPr>
            <w:r>
              <w:rPr>
                <w:b/>
                <w:i w:val="0"/>
                <w:sz w:val="20"/>
              </w:rPr>
              <w:t>53 300</w:t>
            </w:r>
          </w:p>
        </w:tc>
        <w:tc>
          <w:tcPr>
            <w:tcW w:type="dxa" w:w="1425"/>
          </w:tcPr>
          <w:p>
            <w:pPr>
              <w:spacing w:after="0" w:line="240" w:lineRule="auto"/>
              <w:ind w:firstLine="0"/>
              <w:jc w:val="center"/>
            </w:pPr>
            <w:r>
              <w:rPr>
                <w:b/>
                <w:i w:val="0"/>
                <w:sz w:val="20"/>
              </w:rPr>
              <w:t>194 000</w:t>
            </w:r>
          </w:p>
        </w:tc>
      </w:tr>
    </w:tbl>
    <w:p>
      <w:pPr>
        <w:spacing w:after="180"/>
        <w:ind w:firstLine="0"/>
      </w:pPr>
      <w:r>
        <w:rPr>
          <w:i/>
          <w:sz w:val="20"/>
        </w:rPr>
        <w:t>Источник: расчёт аналитического центра на основе отраслевых балансов</w:t>
      </w:r>
    </w:p>
    <w:p>
      <w:pPr>
        <w:keepNext/>
        <w:spacing w:before="160" w:after="60"/>
        <w:ind w:firstLine="0"/>
        <w:jc w:val="left"/>
      </w:pPr>
      <w:r>
        <w:rPr>
          <w:b/>
          <w:sz w:val="22"/>
        </w:rPr>
        <w:t>Рисунок 29. Поэлементная структура потребления основных РЗМ по направлениям, 2024 г., т оксида</w:t>
      </w:r>
    </w:p>
    <w:p>
      <w:pPr>
        <w:ind w:firstLine="0"/>
        <w:jc w:val="center"/>
      </w:pPr>
      <w:r>
        <w:drawing>
          <wp:inline xmlns:a="http://schemas.openxmlformats.org/drawingml/2006/main" xmlns:pic="http://schemas.openxmlformats.org/drawingml/2006/picture">
            <wp:extent cx="5580000" cy="2729348"/>
            <wp:docPr id="29" name="Picture 29"/>
            <wp:cNvGraphicFramePr>
              <a:graphicFrameLocks noChangeAspect="1"/>
            </wp:cNvGraphicFramePr>
            <a:graphic>
              <a:graphicData uri="http://schemas.openxmlformats.org/drawingml/2006/picture">
                <pic:pic>
                  <pic:nvPicPr>
                    <pic:cNvPr id="0" name="fig29.png"/>
                    <pic:cNvPicPr/>
                  </pic:nvPicPr>
                  <pic:blipFill>
                    <a:blip r:embed="rId39"/>
                    <a:stretch>
                      <a:fillRect/>
                    </a:stretch>
                  </pic:blipFill>
                  <pic:spPr>
                    <a:xfrm>
                      <a:off x="0" y="0"/>
                      <a:ext cx="5580000" cy="2729348"/>
                    </a:xfrm>
                    <a:prstGeom prst="rect"/>
                  </pic:spPr>
                </pic:pic>
              </a:graphicData>
            </a:graphic>
          </wp:inline>
        </w:drawing>
      </w:r>
    </w:p>
    <w:p>
      <w:pPr>
        <w:spacing w:after="180"/>
        <w:ind w:firstLine="0"/>
      </w:pPr>
      <w:r>
        <w:rPr>
          <w:i/>
          <w:sz w:val="20"/>
        </w:rPr>
        <w:t>Источник: расчёт аналитического центра (табл. 42)</w:t>
      </w:r>
    </w:p>
    <w:p>
      <w:pPr>
        <w:pStyle w:val="Heading2"/>
      </w:pPr>
      <w:r>
        <w:rPr>
          <w:b w:val="0"/>
          <w:i w:val="0"/>
        </w:rPr>
        <w:t>5.8. Замещение и материаловедческие альтернативы</w:t>
      </w:r>
    </w:p>
    <w:p>
      <w:r>
        <w:rPr>
          <w:b w:val="0"/>
          <w:i w:val="0"/>
        </w:rPr>
        <w:t>Ценовые шоки 2011 и 2021–2022 гг. стимулировали активную работу по снижению зависимости от редкоземельных материалов. Достигнутые результаты неоднозначны.</w:t>
      </w:r>
    </w:p>
    <w:p>
      <w:r>
        <w:rPr>
          <w:b/>
          <w:i w:val="0"/>
        </w:rPr>
        <w:t>Успешные направления замещения:</w:t>
      </w:r>
    </w:p>
    <w:p>
      <w:pPr>
        <w:pStyle w:val="ListBullet"/>
        <w:spacing w:after="20"/>
        <w:ind w:firstLine="0"/>
      </w:pPr>
      <w:r>
        <w:rPr>
          <w:b w:val="0"/>
          <w:i w:val="0"/>
        </w:rPr>
        <w:t>переход от люминесцентного освещения к светодиодному сократил потребление европия, тербия и иттрия в люминофорах более чем на 80%;</w:t>
      </w:r>
    </w:p>
    <w:p>
      <w:pPr>
        <w:pStyle w:val="ListBullet"/>
        <w:spacing w:after="20"/>
        <w:ind w:firstLine="0"/>
      </w:pPr>
      <w:r>
        <w:rPr>
          <w:b w:val="0"/>
          <w:i w:val="0"/>
        </w:rPr>
        <w:t>вытеснение NiMH-аккумуляторов литий-ионными сократило потребление лантана;</w:t>
      </w:r>
    </w:p>
    <w:p>
      <w:pPr>
        <w:pStyle w:val="ListBullet"/>
        <w:spacing w:after="20"/>
        <w:ind w:firstLine="0"/>
      </w:pPr>
      <w:r>
        <w:rPr>
          <w:b w:val="0"/>
          <w:i w:val="0"/>
        </w:rPr>
        <w:t>технология зернограничной диффузии сократила удельный расход диспрозия в магнитах в 2–4 раза;</w:t>
      </w:r>
    </w:p>
    <w:p>
      <w:pPr>
        <w:pStyle w:val="ListBullet"/>
        <w:spacing w:after="20"/>
        <w:ind w:firstLine="0"/>
      </w:pPr>
      <w:r>
        <w:rPr>
          <w:b w:val="0"/>
          <w:i w:val="0"/>
        </w:rPr>
        <w:t>частичное замещение диспрозия церием и лантаном в магнитах низких классов;</w:t>
      </w:r>
    </w:p>
    <w:p>
      <w:pPr>
        <w:pStyle w:val="ListBullet"/>
        <w:spacing w:after="20"/>
        <w:ind w:firstLine="0"/>
      </w:pPr>
      <w:r>
        <w:rPr>
          <w:b w:val="0"/>
          <w:i w:val="0"/>
        </w:rPr>
        <w:t>вытеснение жёстких дисков твердотельными накопителями.</w:t>
      </w:r>
    </w:p>
    <w:p>
      <w:r>
        <w:rPr>
          <w:b/>
          <w:i w:val="0"/>
        </w:rPr>
        <w:t>Направления с ограниченным успехом:</w:t>
      </w:r>
    </w:p>
    <w:p>
      <w:pPr>
        <w:pStyle w:val="ListBullet"/>
        <w:spacing w:after="20"/>
        <w:ind w:firstLine="0"/>
      </w:pPr>
      <w:r>
        <w:rPr>
          <w:b/>
          <w:i w:val="0"/>
        </w:rPr>
        <w:t>безредкоземельные электродвигатели.</w:t>
      </w:r>
      <w:r>
        <w:rPr>
          <w:b w:val="0"/>
          <w:i w:val="0"/>
        </w:rPr>
        <w:t xml:space="preserve"> Асинхронные (Tesla Model S ранних выпусков), синхронные реактивные и с внешним возбуждением (BMW серии i, Renault, ряд китайских моделей) двигатели технически работоспособны, но проигрывают в удельной мощности и КПД на 5–15%, требуя увеличения ёмкости батареи. Экономическая целесообразность замещения возникает при цене NdPr выше 120–150 долл./кг;</w:t>
      </w:r>
    </w:p>
    <w:p>
      <w:pPr>
        <w:pStyle w:val="ListBullet"/>
        <w:spacing w:after="20"/>
        <w:ind w:firstLine="0"/>
      </w:pPr>
      <w:r>
        <w:rPr>
          <w:b/>
          <w:i w:val="0"/>
        </w:rPr>
        <w:t>ферритовые магниты</w:t>
      </w:r>
      <w:r>
        <w:rPr>
          <w:b w:val="0"/>
          <w:i w:val="0"/>
        </w:rPr>
        <w:t xml:space="preserve"> повышенных характеристик — применимы лишь в низконагруженных приложениях;</w:t>
      </w:r>
    </w:p>
    <w:p>
      <w:pPr>
        <w:pStyle w:val="ListBullet"/>
        <w:spacing w:after="20"/>
        <w:ind w:firstLine="0"/>
      </w:pPr>
      <w:r>
        <w:rPr>
          <w:b/>
          <w:i w:val="0"/>
        </w:rPr>
        <w:t>магниты на основе Fe₁₆N₂, MnBi, Nd-Fe-B с пониженным содержанием РЗМ</w:t>
      </w:r>
      <w:r>
        <w:rPr>
          <w:b w:val="0"/>
          <w:i w:val="0"/>
        </w:rPr>
        <w:t xml:space="preserve"> — стадия НИОКР, промышленного значения не имеют;</w:t>
      </w:r>
    </w:p>
    <w:p>
      <w:pPr>
        <w:pStyle w:val="ListBullet"/>
        <w:spacing w:after="20"/>
        <w:ind w:firstLine="0"/>
      </w:pPr>
      <w:r>
        <w:rPr>
          <w:b/>
          <w:i w:val="0"/>
        </w:rPr>
        <w:t>замена церия в полировальных материалах</w:t>
      </w:r>
      <w:r>
        <w:rPr>
          <w:b w:val="0"/>
          <w:i w:val="0"/>
        </w:rPr>
        <w:t xml:space="preserve"> оксидами циркония и алюминия — ухудшает качество поверхности, применяется ограниченно.</w:t>
      </w:r>
    </w:p>
    <w:p>
      <w:r>
        <w:rPr>
          <w:b w:val="0"/>
          <w:i w:val="0"/>
        </w:rPr>
        <w:t>Общий вывод: замещение способно сглаживать ценовые пики и снижать удельный расход, но не устраняет зависимость. Эластичность спроса по цене в сегменте магнитов оценивается как низкая в диапазоне цен до 100 долл./кг NdPr и умеренная выше этого уровня.</w:t>
      </w:r>
    </w:p>
    <w:p>
      <w:pPr>
        <w:keepNext/>
        <w:spacing w:before="160" w:after="60"/>
        <w:ind w:firstLine="0"/>
        <w:jc w:val="left"/>
      </w:pPr>
      <w:r>
        <w:rPr>
          <w:b/>
          <w:sz w:val="22"/>
        </w:rPr>
        <w:t>Рисунок 30. Динамика удельного расхода диспрозия в магнитах для тяговых двигателей, г/кг магнита</w:t>
      </w:r>
    </w:p>
    <w:p>
      <w:pPr>
        <w:ind w:firstLine="0"/>
        <w:jc w:val="center"/>
      </w:pPr>
      <w:r>
        <w:drawing>
          <wp:inline xmlns:a="http://schemas.openxmlformats.org/drawingml/2006/main" xmlns:pic="http://schemas.openxmlformats.org/drawingml/2006/picture">
            <wp:extent cx="5580000" cy="2749565"/>
            <wp:docPr id="30" name="Picture 30"/>
            <wp:cNvGraphicFramePr>
              <a:graphicFrameLocks noChangeAspect="1"/>
            </wp:cNvGraphicFramePr>
            <a:graphic>
              <a:graphicData uri="http://schemas.openxmlformats.org/drawingml/2006/picture">
                <pic:pic>
                  <pic:nvPicPr>
                    <pic:cNvPr id="0" name="fig30.png"/>
                    <pic:cNvPicPr/>
                  </pic:nvPicPr>
                  <pic:blipFill>
                    <a:blip r:embed="rId40"/>
                    <a:stretch>
                      <a:fillRect/>
                    </a:stretch>
                  </pic:blipFill>
                  <pic:spPr>
                    <a:xfrm>
                      <a:off x="0" y="0"/>
                      <a:ext cx="5580000" cy="2749565"/>
                    </a:xfrm>
                    <a:prstGeom prst="rect"/>
                  </pic:spPr>
                </pic:pic>
              </a:graphicData>
            </a:graphic>
          </wp:inline>
        </w:drawing>
      </w:r>
    </w:p>
    <w:p>
      <w:pPr>
        <w:spacing w:after="180"/>
        <w:ind w:firstLine="0"/>
      </w:pPr>
      <w:r>
        <w:rPr>
          <w:i/>
          <w:sz w:val="20"/>
        </w:rPr>
        <w:t>Источник: оценка аналитического центра по данным производителей магнитов</w:t>
      </w:r>
    </w:p>
    <w:p>
      <w:pPr>
        <w:keepNext/>
        <w:spacing w:before="160" w:after="60"/>
        <w:ind w:firstLine="0"/>
        <w:jc w:val="left"/>
      </w:pPr>
      <w:r>
        <w:rPr>
          <w:b/>
          <w:sz w:val="22"/>
        </w:rPr>
        <w:t>Рисунок 31. Прогноз мирового потребления РЗМ по ключевым элементам, 2024 и 2030 гг., т оксида</w:t>
      </w:r>
    </w:p>
    <w:p>
      <w:pPr>
        <w:ind w:firstLine="0"/>
        <w:jc w:val="center"/>
      </w:pPr>
      <w:r>
        <w:drawing>
          <wp:inline xmlns:a="http://schemas.openxmlformats.org/drawingml/2006/main" xmlns:pic="http://schemas.openxmlformats.org/drawingml/2006/picture">
            <wp:extent cx="5580000" cy="2729348"/>
            <wp:docPr id="31" name="Picture 31"/>
            <wp:cNvGraphicFramePr>
              <a:graphicFrameLocks noChangeAspect="1"/>
            </wp:cNvGraphicFramePr>
            <a:graphic>
              <a:graphicData uri="http://schemas.openxmlformats.org/drawingml/2006/picture">
                <pic:pic>
                  <pic:nvPicPr>
                    <pic:cNvPr id="0" name="fig31.png"/>
                    <pic:cNvPicPr/>
                  </pic:nvPicPr>
                  <pic:blipFill>
                    <a:blip r:embed="rId41"/>
                    <a:stretch>
                      <a:fillRect/>
                    </a:stretch>
                  </pic:blipFill>
                  <pic:spPr>
                    <a:xfrm>
                      <a:off x="0" y="0"/>
                      <a:ext cx="5580000" cy="2729348"/>
                    </a:xfrm>
                    <a:prstGeom prst="rect"/>
                  </pic:spPr>
                </pic:pic>
              </a:graphicData>
            </a:graphic>
          </wp:inline>
        </w:drawing>
      </w:r>
    </w:p>
    <w:p>
      <w:pPr>
        <w:spacing w:after="180"/>
        <w:ind w:firstLine="0"/>
      </w:pPr>
      <w:r>
        <w:rPr>
          <w:i/>
          <w:sz w:val="20"/>
        </w:rPr>
        <w:t>Источник: прогноз аналитического центра (базовый сценарий)</w:t>
      </w:r>
    </w:p>
    <w:p>
      <w:r>
        <w:br w:type="page"/>
      </w:r>
    </w:p>
    <w:p>
      <w:pPr>
        <w:pStyle w:val="Heading1"/>
      </w:pPr>
      <w:r>
        <w:rPr>
          <w:b w:val="0"/>
          <w:i w:val="0"/>
        </w:rPr>
        <w:t>6. Ценовая конъюнктура мирового рынка редкоземельной продукции</w:t>
      </w:r>
    </w:p>
    <w:p>
      <w:pPr>
        <w:pStyle w:val="Heading2"/>
      </w:pPr>
      <w:r>
        <w:rPr>
          <w:b w:val="0"/>
          <w:i w:val="0"/>
        </w:rPr>
        <w:t>6.1. Механизмы ценообразования</w:t>
      </w:r>
    </w:p>
    <w:p>
      <w:r>
        <w:rPr>
          <w:b w:val="0"/>
          <w:i w:val="0"/>
        </w:rPr>
        <w:t>Рынок редкоземельных металлов не имеет биржевого механизма формирования цены. Попытки создания организованных площадок предпринимались неоднократно — наиболее известной является Baotou Rare Earth Products Exchange, учреждённая в 2014 г. при участии государственных компаний КНР, — однако ликвидного рынка не сформировалось. Причины: малый объём торгуемого товара, нестандартизируемость продукции (даже в рамках одной номенклатурной позиции требования потребителей к примесному составу существенно различаются), доминирование долгосрочных прямых контрактов и, главное, отсутствие заинтересованности ключевых участников в прозрачном ценообразовании.</w:t>
      </w:r>
    </w:p>
    <w:p>
      <w:r>
        <w:rPr>
          <w:b w:val="0"/>
          <w:i w:val="0"/>
        </w:rPr>
        <w:t>Фактическая структура ценообразования включает четыре контура:</w:t>
      </w:r>
    </w:p>
    <w:p>
      <w:r>
        <w:rPr>
          <w:b/>
          <w:i w:val="0"/>
        </w:rPr>
        <w:t>Внутрикитайский спотовый рынок.</w:t>
      </w:r>
      <w:r>
        <w:rPr>
          <w:b w:val="0"/>
          <w:i w:val="0"/>
        </w:rPr>
        <w:t xml:space="preserve"> Ежедневные котировки складских цен на оксиды и металлы в юанях за тонну, публикуемые китайскими информационными агентствами. Наиболее ликвидный и репрезентативный сегмент, поскольку через него проходит основной физический объём. Цены включают НДС и приводятся на условиях склада в КНР.</w:t>
      </w:r>
    </w:p>
    <w:p>
      <w:r>
        <w:rPr>
          <w:b/>
          <w:i w:val="0"/>
        </w:rPr>
        <w:t>Экспортный рынок КНР.</w:t>
      </w:r>
      <w:r>
        <w:rPr>
          <w:b w:val="0"/>
          <w:i w:val="0"/>
        </w:rPr>
        <w:t xml:space="preserve"> Цены FOB Китай в долларах США. Систематически превышают внутрикитайские на величину от 5–10% (в спокойные периоды) до 200–700% (в периоды экспортных ограничений). Разрыв является основным индикатором напряжённости рынка.</w:t>
      </w:r>
    </w:p>
    <w:p>
      <w:r>
        <w:rPr>
          <w:b/>
          <w:i w:val="0"/>
        </w:rPr>
        <w:t>Долгосрочные контракты вне КНР.</w:t>
      </w:r>
      <w:r>
        <w:rPr>
          <w:b w:val="0"/>
          <w:i w:val="0"/>
        </w:rPr>
        <w:t xml:space="preserve"> Заключаются между производителями (Lynas, MP Materials, Neo) и конечными потребителями. Часто содержат формулы привязки к публикуемым индексам с коэффициентами и коридорами, реже — фиксированную цену. С 2025 г. распространяется практика ценовых полов, заданных государственными механизмами.</w:t>
      </w:r>
    </w:p>
    <w:p>
      <w:r>
        <w:rPr>
          <w:b/>
          <w:i w:val="0"/>
        </w:rPr>
        <w:t>Внутренние трансфертные цены вертикально интегрированных групп.</w:t>
      </w:r>
      <w:r>
        <w:rPr>
          <w:b w:val="0"/>
          <w:i w:val="0"/>
        </w:rPr>
        <w:t xml:space="preserve"> Не наблюдаемы, но существенно влияют на конкурентную среду: китайские магнитные производители получают сырьё по ценам, отличным от спотовых.</w:t>
      </w:r>
    </w:p>
    <w:p>
      <w:r>
        <w:rPr>
          <w:b w:val="0"/>
          <w:i w:val="0"/>
        </w:rPr>
        <w:t>Основными публичными источниками ценовой информации служат специализированные агентства (Argus, Fastmarkets, Asian Metal, SMM, Baiinfo), публикующие оценочные котировки на основе опросов участников рынка. Расхождения между агентствами по отдельным позициям могут достигать 10–20%.</w:t>
      </w:r>
    </w:p>
    <w:p>
      <w:pPr>
        <w:pStyle w:val="Heading2"/>
      </w:pPr>
      <w:r>
        <w:rPr>
          <w:b w:val="0"/>
          <w:i w:val="0"/>
        </w:rPr>
        <w:t>6.2. Динамика цен на редкоземельные оксиды в 2010–2025 гг.</w:t>
      </w:r>
    </w:p>
    <w:p>
      <w:r>
        <w:rPr>
          <w:b w:val="0"/>
          <w:i w:val="0"/>
        </w:rPr>
        <w:t>Ценовая история рынка за рассматриваемый период включает три полных цикла.</w:t>
      </w:r>
    </w:p>
    <w:p>
      <w:r>
        <w:rPr>
          <w:b/>
          <w:i w:val="0"/>
        </w:rPr>
        <w:t>Кризис 2010–2011 гг.</w:t>
      </w:r>
      <w:r>
        <w:rPr>
          <w:b w:val="0"/>
          <w:i w:val="0"/>
        </w:rPr>
        <w:t xml:space="preserve"> Сокращение Китаем экспортных квот на 40% в июле 2010 г. на фоне обострения территориального спора с Японией вызвало панические закупки. Цена оксида диспрозия выросла с 160 до 2 800 долл./кг, оксида европия — с 600 до 5 900 долл./кг, оксида неодима — с 26 до 335 долл./кг. Пик пришёлся на июль 2011 г.</w:t>
      </w:r>
    </w:p>
    <w:p>
      <w:r>
        <w:rPr>
          <w:b/>
          <w:i w:val="0"/>
        </w:rPr>
        <w:t>Коллапс 2012–2016 гг.</w:t>
      </w:r>
      <w:r>
        <w:rPr>
          <w:b w:val="0"/>
          <w:i w:val="0"/>
        </w:rPr>
        <w:t xml:space="preserve"> Разрушение спроса, вызванное ценовым шоком (замещение, экономия, изъятие из применений), наложилось на рост нелегального предложения внутри КНР. Цены упали ниже докризисных уровней. Отмена экспортных квот в 2015 г. по решению ВТО закрепила снижение.</w:t>
      </w:r>
    </w:p>
    <w:p>
      <w:r>
        <w:rPr>
          <w:b/>
          <w:i w:val="0"/>
        </w:rPr>
        <w:t>Цикл 2020–2022 гг.</w:t>
      </w:r>
      <w:r>
        <w:rPr>
          <w:b w:val="0"/>
          <w:i w:val="0"/>
        </w:rPr>
        <w:t xml:space="preserve"> Рост спроса со стороны электротранспорта и ветроэнергетики при консолидации китайской отрасли обеспечил устойчивый рост: цена оксида NdPr выросла с 40 до 187 долл./кг (максимум февраля 2022 г.).</w:t>
      </w:r>
    </w:p>
    <w:p>
      <w:r>
        <w:rPr>
          <w:b/>
          <w:i w:val="0"/>
        </w:rPr>
        <w:t>Коррекция 2022–2024 гг.</w:t>
      </w:r>
      <w:r>
        <w:rPr>
          <w:b w:val="0"/>
          <w:i w:val="0"/>
        </w:rPr>
        <w:t xml:space="preserve"> Замедление роста продаж электромобилей в КНР, наращивание квот на добычу и накопление запасов привели к снижению цены NdPr до 48–55 долл./кг — уровня, близкого к себестоимости не-китайских производителей.</w:t>
      </w:r>
    </w:p>
    <w:p>
      <w:r>
        <w:rPr>
          <w:b/>
          <w:i w:val="0"/>
        </w:rPr>
        <w:t>Период геополитической премии 2025 г.</w:t>
      </w:r>
      <w:r>
        <w:rPr>
          <w:b w:val="0"/>
          <w:i w:val="0"/>
        </w:rPr>
        <w:t xml:space="preserve"> Введение экспортного контроля КНР в апреле и октябре 2025 г. привело к формированию беспрецедентного разрыва между внутрикитайскими и внешними ценами по элементам, попавшим под ограничения (диспрозий, тербий, самарий, гадолиний, лютеций, скандий, иттрий). Цены на эти позиции за пределами КНР выросли в 3–10 раз, тогда как внутрикитайские остались стабильными.</w:t>
      </w:r>
    </w:p>
    <w:p>
      <w:pPr>
        <w:keepNext/>
        <w:spacing w:before="160" w:after="60"/>
        <w:ind w:firstLine="0"/>
        <w:jc w:val="left"/>
      </w:pPr>
      <w:r>
        <w:rPr>
          <w:b/>
          <w:sz w:val="22"/>
        </w:rPr>
        <w:t>Таблица 43. Динамика среднегодовых цен на основные редкоземельные оксиды, 2010–2025 гг., $/кг (FOB Китай, чистота 99%)</w:t>
      </w:r>
    </w:p>
    <w:tbl>
      <w:tblPr>
        <w:tblStyle w:val="TableGrid"/>
        <w:tblW w:type="auto" w:w="0"/>
        <w:jc w:val="center"/>
        <w:tblLook w:firstColumn="1" w:firstRow="1" w:lastColumn="0" w:lastRow="0" w:noHBand="0" w:noVBand="1" w:val="04A0"/>
      </w:tblPr>
      <w:tblGrid>
        <w:gridCol w:w="997"/>
        <w:gridCol w:w="997"/>
        <w:gridCol w:w="997"/>
        <w:gridCol w:w="997"/>
        <w:gridCol w:w="997"/>
        <w:gridCol w:w="997"/>
        <w:gridCol w:w="997"/>
        <w:gridCol w:w="997"/>
        <w:gridCol w:w="997"/>
        <w:gridCol w:w="997"/>
      </w:tblGrid>
      <w:tr>
        <w:tc>
          <w:tcPr>
            <w:tcW w:type="dxa" w:w="997"/>
            <w:shd w:val="clear" w:fill="DCE6F1"/>
          </w:tcPr>
          <w:p>
            <w:pPr>
              <w:spacing w:after="0" w:line="240" w:lineRule="auto"/>
              <w:ind w:firstLine="0"/>
              <w:jc w:val="center"/>
            </w:pPr>
            <w:r>
              <w:rPr>
                <w:b/>
                <w:i w:val="0"/>
                <w:sz w:val="20"/>
              </w:rPr>
              <w:t>Оксид</w:t>
            </w:r>
          </w:p>
        </w:tc>
        <w:tc>
          <w:tcPr>
            <w:tcW w:type="dxa" w:w="997"/>
            <w:shd w:val="clear" w:fill="DCE6F1"/>
          </w:tcPr>
          <w:p>
            <w:pPr>
              <w:spacing w:after="0" w:line="240" w:lineRule="auto"/>
              <w:ind w:firstLine="0"/>
              <w:jc w:val="center"/>
            </w:pPr>
            <w:r>
              <w:rPr>
                <w:b/>
                <w:i w:val="0"/>
                <w:sz w:val="20"/>
              </w:rPr>
              <w:t>2010</w:t>
            </w:r>
          </w:p>
        </w:tc>
        <w:tc>
          <w:tcPr>
            <w:tcW w:type="dxa" w:w="997"/>
            <w:shd w:val="clear" w:fill="DCE6F1"/>
          </w:tcPr>
          <w:p>
            <w:pPr>
              <w:spacing w:after="0" w:line="240" w:lineRule="auto"/>
              <w:ind w:firstLine="0"/>
              <w:jc w:val="center"/>
            </w:pPr>
            <w:r>
              <w:rPr>
                <w:b/>
                <w:i w:val="0"/>
                <w:sz w:val="20"/>
              </w:rPr>
              <w:t>2011</w:t>
            </w:r>
          </w:p>
        </w:tc>
        <w:tc>
          <w:tcPr>
            <w:tcW w:type="dxa" w:w="997"/>
            <w:shd w:val="clear" w:fill="DCE6F1"/>
          </w:tcPr>
          <w:p>
            <w:pPr>
              <w:spacing w:after="0" w:line="240" w:lineRule="auto"/>
              <w:ind w:firstLine="0"/>
              <w:jc w:val="center"/>
            </w:pPr>
            <w:r>
              <w:rPr>
                <w:b/>
                <w:i w:val="0"/>
                <w:sz w:val="20"/>
              </w:rPr>
              <w:t>2015</w:t>
            </w:r>
          </w:p>
        </w:tc>
        <w:tc>
          <w:tcPr>
            <w:tcW w:type="dxa" w:w="997"/>
            <w:shd w:val="clear" w:fill="DCE6F1"/>
          </w:tcPr>
          <w:p>
            <w:pPr>
              <w:spacing w:after="0" w:line="240" w:lineRule="auto"/>
              <w:ind w:firstLine="0"/>
              <w:jc w:val="center"/>
            </w:pPr>
            <w:r>
              <w:rPr>
                <w:b/>
                <w:i w:val="0"/>
                <w:sz w:val="20"/>
              </w:rPr>
              <w:t>2019</w:t>
            </w:r>
          </w:p>
        </w:tc>
        <w:tc>
          <w:tcPr>
            <w:tcW w:type="dxa" w:w="997"/>
            <w:shd w:val="clear" w:fill="DCE6F1"/>
          </w:tcPr>
          <w:p>
            <w:pPr>
              <w:spacing w:after="0" w:line="240" w:lineRule="auto"/>
              <w:ind w:firstLine="0"/>
              <w:jc w:val="center"/>
            </w:pPr>
            <w:r>
              <w:rPr>
                <w:b/>
                <w:i w:val="0"/>
                <w:sz w:val="20"/>
              </w:rPr>
              <w:t>2021</w:t>
            </w:r>
          </w:p>
        </w:tc>
        <w:tc>
          <w:tcPr>
            <w:tcW w:type="dxa" w:w="997"/>
            <w:shd w:val="clear" w:fill="DCE6F1"/>
          </w:tcPr>
          <w:p>
            <w:pPr>
              <w:spacing w:after="0" w:line="240" w:lineRule="auto"/>
              <w:ind w:firstLine="0"/>
              <w:jc w:val="center"/>
            </w:pPr>
            <w:r>
              <w:rPr>
                <w:b/>
                <w:i w:val="0"/>
                <w:sz w:val="20"/>
              </w:rPr>
              <w:t>2022</w:t>
            </w:r>
          </w:p>
        </w:tc>
        <w:tc>
          <w:tcPr>
            <w:tcW w:type="dxa" w:w="997"/>
            <w:shd w:val="clear" w:fill="DCE6F1"/>
          </w:tcPr>
          <w:p>
            <w:pPr>
              <w:spacing w:after="0" w:line="240" w:lineRule="auto"/>
              <w:ind w:firstLine="0"/>
              <w:jc w:val="center"/>
            </w:pPr>
            <w:r>
              <w:rPr>
                <w:b/>
                <w:i w:val="0"/>
                <w:sz w:val="20"/>
              </w:rPr>
              <w:t>2023</w:t>
            </w:r>
          </w:p>
        </w:tc>
        <w:tc>
          <w:tcPr>
            <w:tcW w:type="dxa" w:w="997"/>
            <w:shd w:val="clear" w:fill="DCE6F1"/>
          </w:tcPr>
          <w:p>
            <w:pPr>
              <w:spacing w:after="0" w:line="240" w:lineRule="auto"/>
              <w:ind w:firstLine="0"/>
              <w:jc w:val="center"/>
            </w:pPr>
            <w:r>
              <w:rPr>
                <w:b/>
                <w:i w:val="0"/>
                <w:sz w:val="20"/>
              </w:rPr>
              <w:t>2024</w:t>
            </w:r>
          </w:p>
        </w:tc>
        <w:tc>
          <w:tcPr>
            <w:tcW w:type="dxa" w:w="997"/>
            <w:shd w:val="clear" w:fill="DCE6F1"/>
          </w:tcPr>
          <w:p>
            <w:pPr>
              <w:spacing w:after="0" w:line="240" w:lineRule="auto"/>
              <w:ind w:firstLine="0"/>
              <w:jc w:val="center"/>
            </w:pPr>
            <w:r>
              <w:rPr>
                <w:b/>
                <w:i w:val="0"/>
                <w:sz w:val="20"/>
              </w:rPr>
              <w:t>2025</w:t>
            </w:r>
          </w:p>
        </w:tc>
      </w:tr>
      <w:tr>
        <w:tc>
          <w:tcPr>
            <w:tcW w:type="dxa" w:w="997"/>
          </w:tcPr>
          <w:p>
            <w:pPr>
              <w:spacing w:after="0" w:line="240" w:lineRule="auto"/>
              <w:ind w:firstLine="0"/>
              <w:jc w:val="left"/>
            </w:pPr>
            <w:r>
              <w:rPr>
                <w:b w:val="0"/>
                <w:i w:val="0"/>
                <w:sz w:val="20"/>
              </w:rPr>
              <w:t>La₂O₃</w:t>
            </w:r>
          </w:p>
        </w:tc>
        <w:tc>
          <w:tcPr>
            <w:tcW w:type="dxa" w:w="997"/>
          </w:tcPr>
          <w:p>
            <w:pPr>
              <w:spacing w:after="0" w:line="240" w:lineRule="auto"/>
              <w:ind w:firstLine="0"/>
              <w:jc w:val="center"/>
            </w:pPr>
            <w:r>
              <w:rPr>
                <w:b w:val="0"/>
                <w:i w:val="0"/>
                <w:sz w:val="20"/>
              </w:rPr>
              <w:t>22,0</w:t>
            </w:r>
          </w:p>
        </w:tc>
        <w:tc>
          <w:tcPr>
            <w:tcW w:type="dxa" w:w="997"/>
          </w:tcPr>
          <w:p>
            <w:pPr>
              <w:spacing w:after="0" w:line="240" w:lineRule="auto"/>
              <w:ind w:firstLine="0"/>
              <w:jc w:val="center"/>
            </w:pPr>
            <w:r>
              <w:rPr>
                <w:b w:val="0"/>
                <w:i w:val="0"/>
                <w:sz w:val="20"/>
              </w:rPr>
              <w:t>104,0</w:t>
            </w:r>
          </w:p>
        </w:tc>
        <w:tc>
          <w:tcPr>
            <w:tcW w:type="dxa" w:w="997"/>
          </w:tcPr>
          <w:p>
            <w:pPr>
              <w:spacing w:after="0" w:line="240" w:lineRule="auto"/>
              <w:ind w:firstLine="0"/>
              <w:jc w:val="center"/>
            </w:pPr>
            <w:r>
              <w:rPr>
                <w:b w:val="0"/>
                <w:i w:val="0"/>
                <w:sz w:val="20"/>
              </w:rPr>
              <w:t>2,0</w:t>
            </w:r>
          </w:p>
        </w:tc>
        <w:tc>
          <w:tcPr>
            <w:tcW w:type="dxa" w:w="997"/>
          </w:tcPr>
          <w:p>
            <w:pPr>
              <w:spacing w:after="0" w:line="240" w:lineRule="auto"/>
              <w:ind w:firstLine="0"/>
              <w:jc w:val="center"/>
            </w:pPr>
            <w:r>
              <w:rPr>
                <w:b w:val="0"/>
                <w:i w:val="0"/>
                <w:sz w:val="20"/>
              </w:rPr>
              <w:t>1,7</w:t>
            </w:r>
          </w:p>
        </w:tc>
        <w:tc>
          <w:tcPr>
            <w:tcW w:type="dxa" w:w="997"/>
          </w:tcPr>
          <w:p>
            <w:pPr>
              <w:spacing w:after="0" w:line="240" w:lineRule="auto"/>
              <w:ind w:firstLine="0"/>
              <w:jc w:val="center"/>
            </w:pPr>
            <w:r>
              <w:rPr>
                <w:b w:val="0"/>
                <w:i w:val="0"/>
                <w:sz w:val="20"/>
              </w:rPr>
              <w:t>1,3</w:t>
            </w:r>
          </w:p>
        </w:tc>
        <w:tc>
          <w:tcPr>
            <w:tcW w:type="dxa" w:w="997"/>
          </w:tcPr>
          <w:p>
            <w:pPr>
              <w:spacing w:after="0" w:line="240" w:lineRule="auto"/>
              <w:ind w:firstLine="0"/>
              <w:jc w:val="center"/>
            </w:pPr>
            <w:r>
              <w:rPr>
                <w:b w:val="0"/>
                <w:i w:val="0"/>
                <w:sz w:val="20"/>
              </w:rPr>
              <w:t>1,1</w:t>
            </w:r>
          </w:p>
        </w:tc>
        <w:tc>
          <w:tcPr>
            <w:tcW w:type="dxa" w:w="997"/>
          </w:tcPr>
          <w:p>
            <w:pPr>
              <w:spacing w:after="0" w:line="240" w:lineRule="auto"/>
              <w:ind w:firstLine="0"/>
              <w:jc w:val="center"/>
            </w:pPr>
            <w:r>
              <w:rPr>
                <w:b w:val="0"/>
                <w:i w:val="0"/>
                <w:sz w:val="20"/>
              </w:rPr>
              <w:t>0,8</w:t>
            </w:r>
          </w:p>
        </w:tc>
        <w:tc>
          <w:tcPr>
            <w:tcW w:type="dxa" w:w="997"/>
          </w:tcPr>
          <w:p>
            <w:pPr>
              <w:spacing w:after="0" w:line="240" w:lineRule="auto"/>
              <w:ind w:firstLine="0"/>
              <w:jc w:val="center"/>
            </w:pPr>
            <w:r>
              <w:rPr>
                <w:b w:val="0"/>
                <w:i w:val="0"/>
                <w:sz w:val="20"/>
              </w:rPr>
              <w:t>0,7</w:t>
            </w:r>
          </w:p>
        </w:tc>
        <w:tc>
          <w:tcPr>
            <w:tcW w:type="dxa" w:w="997"/>
          </w:tcPr>
          <w:p>
            <w:pPr>
              <w:spacing w:after="0" w:line="240" w:lineRule="auto"/>
              <w:ind w:firstLine="0"/>
              <w:jc w:val="center"/>
            </w:pPr>
            <w:r>
              <w:rPr>
                <w:b w:val="0"/>
                <w:i w:val="0"/>
                <w:sz w:val="20"/>
              </w:rPr>
              <w:t>0,9</w:t>
            </w:r>
          </w:p>
        </w:tc>
      </w:tr>
      <w:tr>
        <w:tc>
          <w:tcPr>
            <w:tcW w:type="dxa" w:w="997"/>
          </w:tcPr>
          <w:p>
            <w:pPr>
              <w:spacing w:after="0" w:line="240" w:lineRule="auto"/>
              <w:ind w:firstLine="0"/>
              <w:jc w:val="left"/>
            </w:pPr>
            <w:r>
              <w:rPr>
                <w:b w:val="0"/>
                <w:i w:val="0"/>
                <w:sz w:val="20"/>
              </w:rPr>
              <w:t>CeO₂</w:t>
            </w:r>
          </w:p>
        </w:tc>
        <w:tc>
          <w:tcPr>
            <w:tcW w:type="dxa" w:w="997"/>
          </w:tcPr>
          <w:p>
            <w:pPr>
              <w:spacing w:after="0" w:line="240" w:lineRule="auto"/>
              <w:ind w:firstLine="0"/>
              <w:jc w:val="center"/>
            </w:pPr>
            <w:r>
              <w:rPr>
                <w:b w:val="0"/>
                <w:i w:val="0"/>
                <w:sz w:val="20"/>
              </w:rPr>
              <w:t>22,0</w:t>
            </w:r>
          </w:p>
        </w:tc>
        <w:tc>
          <w:tcPr>
            <w:tcW w:type="dxa" w:w="997"/>
          </w:tcPr>
          <w:p>
            <w:pPr>
              <w:spacing w:after="0" w:line="240" w:lineRule="auto"/>
              <w:ind w:firstLine="0"/>
              <w:jc w:val="center"/>
            </w:pPr>
            <w:r>
              <w:rPr>
                <w:b w:val="0"/>
                <w:i w:val="0"/>
                <w:sz w:val="20"/>
              </w:rPr>
              <w:t>106,0</w:t>
            </w:r>
          </w:p>
        </w:tc>
        <w:tc>
          <w:tcPr>
            <w:tcW w:type="dxa" w:w="997"/>
          </w:tcPr>
          <w:p>
            <w:pPr>
              <w:spacing w:after="0" w:line="240" w:lineRule="auto"/>
              <w:ind w:firstLine="0"/>
              <w:jc w:val="center"/>
            </w:pPr>
            <w:r>
              <w:rPr>
                <w:b w:val="0"/>
                <w:i w:val="0"/>
                <w:sz w:val="20"/>
              </w:rPr>
              <w:t>1,9</w:t>
            </w:r>
          </w:p>
        </w:tc>
        <w:tc>
          <w:tcPr>
            <w:tcW w:type="dxa" w:w="997"/>
          </w:tcPr>
          <w:p>
            <w:pPr>
              <w:spacing w:after="0" w:line="240" w:lineRule="auto"/>
              <w:ind w:firstLine="0"/>
              <w:jc w:val="center"/>
            </w:pPr>
            <w:r>
              <w:rPr>
                <w:b w:val="0"/>
                <w:i w:val="0"/>
                <w:sz w:val="20"/>
              </w:rPr>
              <w:t>1,6</w:t>
            </w:r>
          </w:p>
        </w:tc>
        <w:tc>
          <w:tcPr>
            <w:tcW w:type="dxa" w:w="997"/>
          </w:tcPr>
          <w:p>
            <w:pPr>
              <w:spacing w:after="0" w:line="240" w:lineRule="auto"/>
              <w:ind w:firstLine="0"/>
              <w:jc w:val="center"/>
            </w:pPr>
            <w:r>
              <w:rPr>
                <w:b w:val="0"/>
                <w:i w:val="0"/>
                <w:sz w:val="20"/>
              </w:rPr>
              <w:t>1,3</w:t>
            </w:r>
          </w:p>
        </w:tc>
        <w:tc>
          <w:tcPr>
            <w:tcW w:type="dxa" w:w="997"/>
          </w:tcPr>
          <w:p>
            <w:pPr>
              <w:spacing w:after="0" w:line="240" w:lineRule="auto"/>
              <w:ind w:firstLine="0"/>
              <w:jc w:val="center"/>
            </w:pPr>
            <w:r>
              <w:rPr>
                <w:b w:val="0"/>
                <w:i w:val="0"/>
                <w:sz w:val="20"/>
              </w:rPr>
              <w:t>1,2</w:t>
            </w:r>
          </w:p>
        </w:tc>
        <w:tc>
          <w:tcPr>
            <w:tcW w:type="dxa" w:w="997"/>
          </w:tcPr>
          <w:p>
            <w:pPr>
              <w:spacing w:after="0" w:line="240" w:lineRule="auto"/>
              <w:ind w:firstLine="0"/>
              <w:jc w:val="center"/>
            </w:pPr>
            <w:r>
              <w:rPr>
                <w:b w:val="0"/>
                <w:i w:val="0"/>
                <w:sz w:val="20"/>
              </w:rPr>
              <w:t>0,9</w:t>
            </w:r>
          </w:p>
        </w:tc>
        <w:tc>
          <w:tcPr>
            <w:tcW w:type="dxa" w:w="997"/>
          </w:tcPr>
          <w:p>
            <w:pPr>
              <w:spacing w:after="0" w:line="240" w:lineRule="auto"/>
              <w:ind w:firstLine="0"/>
              <w:jc w:val="center"/>
            </w:pPr>
            <w:r>
              <w:rPr>
                <w:b w:val="0"/>
                <w:i w:val="0"/>
                <w:sz w:val="20"/>
              </w:rPr>
              <w:t>0,8</w:t>
            </w:r>
          </w:p>
        </w:tc>
        <w:tc>
          <w:tcPr>
            <w:tcW w:type="dxa" w:w="997"/>
          </w:tcPr>
          <w:p>
            <w:pPr>
              <w:spacing w:after="0" w:line="240" w:lineRule="auto"/>
              <w:ind w:firstLine="0"/>
              <w:jc w:val="center"/>
            </w:pPr>
            <w:r>
              <w:rPr>
                <w:b w:val="0"/>
                <w:i w:val="0"/>
                <w:sz w:val="20"/>
              </w:rPr>
              <w:t>1,0</w:t>
            </w:r>
          </w:p>
        </w:tc>
      </w:tr>
      <w:tr>
        <w:tc>
          <w:tcPr>
            <w:tcW w:type="dxa" w:w="997"/>
          </w:tcPr>
          <w:p>
            <w:pPr>
              <w:spacing w:after="0" w:line="240" w:lineRule="auto"/>
              <w:ind w:firstLine="0"/>
              <w:jc w:val="left"/>
            </w:pPr>
            <w:r>
              <w:rPr>
                <w:b w:val="0"/>
                <w:i w:val="0"/>
                <w:sz w:val="20"/>
              </w:rPr>
              <w:t>Pr₆O₁₁</w:t>
            </w:r>
          </w:p>
        </w:tc>
        <w:tc>
          <w:tcPr>
            <w:tcW w:type="dxa" w:w="997"/>
          </w:tcPr>
          <w:p>
            <w:pPr>
              <w:spacing w:after="0" w:line="240" w:lineRule="auto"/>
              <w:ind w:firstLine="0"/>
              <w:jc w:val="center"/>
            </w:pPr>
            <w:r>
              <w:rPr>
                <w:b w:val="0"/>
                <w:i w:val="0"/>
                <w:sz w:val="20"/>
              </w:rPr>
              <w:t>46,0</w:t>
            </w:r>
          </w:p>
        </w:tc>
        <w:tc>
          <w:tcPr>
            <w:tcW w:type="dxa" w:w="997"/>
          </w:tcPr>
          <w:p>
            <w:pPr>
              <w:spacing w:after="0" w:line="240" w:lineRule="auto"/>
              <w:ind w:firstLine="0"/>
              <w:jc w:val="center"/>
            </w:pPr>
            <w:r>
              <w:rPr>
                <w:b w:val="0"/>
                <w:i w:val="0"/>
                <w:sz w:val="20"/>
              </w:rPr>
              <w:t>220,0</w:t>
            </w:r>
          </w:p>
        </w:tc>
        <w:tc>
          <w:tcPr>
            <w:tcW w:type="dxa" w:w="997"/>
          </w:tcPr>
          <w:p>
            <w:pPr>
              <w:spacing w:after="0" w:line="240" w:lineRule="auto"/>
              <w:ind w:firstLine="0"/>
              <w:jc w:val="center"/>
            </w:pPr>
            <w:r>
              <w:rPr>
                <w:b w:val="0"/>
                <w:i w:val="0"/>
                <w:sz w:val="20"/>
              </w:rPr>
              <w:t>55,0</w:t>
            </w:r>
          </w:p>
        </w:tc>
        <w:tc>
          <w:tcPr>
            <w:tcW w:type="dxa" w:w="997"/>
          </w:tcPr>
          <w:p>
            <w:pPr>
              <w:spacing w:after="0" w:line="240" w:lineRule="auto"/>
              <w:ind w:firstLine="0"/>
              <w:jc w:val="center"/>
            </w:pPr>
            <w:r>
              <w:rPr>
                <w:b w:val="0"/>
                <w:i w:val="0"/>
                <w:sz w:val="20"/>
              </w:rPr>
              <w:t>48,0</w:t>
            </w:r>
          </w:p>
        </w:tc>
        <w:tc>
          <w:tcPr>
            <w:tcW w:type="dxa" w:w="997"/>
          </w:tcPr>
          <w:p>
            <w:pPr>
              <w:spacing w:after="0" w:line="240" w:lineRule="auto"/>
              <w:ind w:firstLine="0"/>
              <w:jc w:val="center"/>
            </w:pPr>
            <w:r>
              <w:rPr>
                <w:b w:val="0"/>
                <w:i w:val="0"/>
                <w:sz w:val="20"/>
              </w:rPr>
              <w:t>92,0</w:t>
            </w:r>
          </w:p>
        </w:tc>
        <w:tc>
          <w:tcPr>
            <w:tcW w:type="dxa" w:w="997"/>
          </w:tcPr>
          <w:p>
            <w:pPr>
              <w:spacing w:after="0" w:line="240" w:lineRule="auto"/>
              <w:ind w:firstLine="0"/>
              <w:jc w:val="center"/>
            </w:pPr>
            <w:r>
              <w:rPr>
                <w:b w:val="0"/>
                <w:i w:val="0"/>
                <w:sz w:val="20"/>
              </w:rPr>
              <w:t>148,0</w:t>
            </w:r>
          </w:p>
        </w:tc>
        <w:tc>
          <w:tcPr>
            <w:tcW w:type="dxa" w:w="997"/>
          </w:tcPr>
          <w:p>
            <w:pPr>
              <w:spacing w:after="0" w:line="240" w:lineRule="auto"/>
              <w:ind w:firstLine="0"/>
              <w:jc w:val="center"/>
            </w:pPr>
            <w:r>
              <w:rPr>
                <w:b w:val="0"/>
                <w:i w:val="0"/>
                <w:sz w:val="20"/>
              </w:rPr>
              <w:t>79,0</w:t>
            </w:r>
          </w:p>
        </w:tc>
        <w:tc>
          <w:tcPr>
            <w:tcW w:type="dxa" w:w="997"/>
          </w:tcPr>
          <w:p>
            <w:pPr>
              <w:spacing w:after="0" w:line="240" w:lineRule="auto"/>
              <w:ind w:firstLine="0"/>
              <w:jc w:val="center"/>
            </w:pPr>
            <w:r>
              <w:rPr>
                <w:b w:val="0"/>
                <w:i w:val="0"/>
                <w:sz w:val="20"/>
              </w:rPr>
              <w:t>62,0</w:t>
            </w:r>
          </w:p>
        </w:tc>
        <w:tc>
          <w:tcPr>
            <w:tcW w:type="dxa" w:w="997"/>
          </w:tcPr>
          <w:p>
            <w:pPr>
              <w:spacing w:after="0" w:line="240" w:lineRule="auto"/>
              <w:ind w:firstLine="0"/>
              <w:jc w:val="center"/>
            </w:pPr>
            <w:r>
              <w:rPr>
                <w:b w:val="0"/>
                <w:i w:val="0"/>
                <w:sz w:val="20"/>
              </w:rPr>
              <w:t>78,0</w:t>
            </w:r>
          </w:p>
        </w:tc>
      </w:tr>
      <w:tr>
        <w:tc>
          <w:tcPr>
            <w:tcW w:type="dxa" w:w="997"/>
          </w:tcPr>
          <w:p>
            <w:pPr>
              <w:spacing w:after="0" w:line="240" w:lineRule="auto"/>
              <w:ind w:firstLine="0"/>
              <w:jc w:val="left"/>
            </w:pPr>
            <w:r>
              <w:rPr>
                <w:b w:val="0"/>
                <w:i w:val="0"/>
                <w:sz w:val="20"/>
              </w:rPr>
              <w:t>Nd₂O₃</w:t>
            </w:r>
          </w:p>
        </w:tc>
        <w:tc>
          <w:tcPr>
            <w:tcW w:type="dxa" w:w="997"/>
          </w:tcPr>
          <w:p>
            <w:pPr>
              <w:spacing w:after="0" w:line="240" w:lineRule="auto"/>
              <w:ind w:firstLine="0"/>
              <w:jc w:val="center"/>
            </w:pPr>
            <w:r>
              <w:rPr>
                <w:b w:val="0"/>
                <w:i w:val="0"/>
                <w:sz w:val="20"/>
              </w:rPr>
              <w:t>41,0</w:t>
            </w:r>
          </w:p>
        </w:tc>
        <w:tc>
          <w:tcPr>
            <w:tcW w:type="dxa" w:w="997"/>
          </w:tcPr>
          <w:p>
            <w:pPr>
              <w:spacing w:after="0" w:line="240" w:lineRule="auto"/>
              <w:ind w:firstLine="0"/>
              <w:jc w:val="center"/>
            </w:pPr>
            <w:r>
              <w:rPr>
                <w:b w:val="0"/>
                <w:i w:val="0"/>
                <w:sz w:val="20"/>
              </w:rPr>
              <w:t>235,0</w:t>
            </w:r>
          </w:p>
        </w:tc>
        <w:tc>
          <w:tcPr>
            <w:tcW w:type="dxa" w:w="997"/>
          </w:tcPr>
          <w:p>
            <w:pPr>
              <w:spacing w:after="0" w:line="240" w:lineRule="auto"/>
              <w:ind w:firstLine="0"/>
              <w:jc w:val="center"/>
            </w:pPr>
            <w:r>
              <w:rPr>
                <w:b w:val="0"/>
                <w:i w:val="0"/>
                <w:sz w:val="20"/>
              </w:rPr>
              <w:t>42,0</w:t>
            </w:r>
          </w:p>
        </w:tc>
        <w:tc>
          <w:tcPr>
            <w:tcW w:type="dxa" w:w="997"/>
          </w:tcPr>
          <w:p>
            <w:pPr>
              <w:spacing w:after="0" w:line="240" w:lineRule="auto"/>
              <w:ind w:firstLine="0"/>
              <w:jc w:val="center"/>
            </w:pPr>
            <w:r>
              <w:rPr>
                <w:b w:val="0"/>
                <w:i w:val="0"/>
                <w:sz w:val="20"/>
              </w:rPr>
              <w:t>45,0</w:t>
            </w:r>
          </w:p>
        </w:tc>
        <w:tc>
          <w:tcPr>
            <w:tcW w:type="dxa" w:w="997"/>
          </w:tcPr>
          <w:p>
            <w:pPr>
              <w:spacing w:after="0" w:line="240" w:lineRule="auto"/>
              <w:ind w:firstLine="0"/>
              <w:jc w:val="center"/>
            </w:pPr>
            <w:r>
              <w:rPr>
                <w:b w:val="0"/>
                <w:i w:val="0"/>
                <w:sz w:val="20"/>
              </w:rPr>
              <w:t>88,0</w:t>
            </w:r>
          </w:p>
        </w:tc>
        <w:tc>
          <w:tcPr>
            <w:tcW w:type="dxa" w:w="997"/>
          </w:tcPr>
          <w:p>
            <w:pPr>
              <w:spacing w:after="0" w:line="240" w:lineRule="auto"/>
              <w:ind w:firstLine="0"/>
              <w:jc w:val="center"/>
            </w:pPr>
            <w:r>
              <w:rPr>
                <w:b w:val="0"/>
                <w:i w:val="0"/>
                <w:sz w:val="20"/>
              </w:rPr>
              <w:t>142,0</w:t>
            </w:r>
          </w:p>
        </w:tc>
        <w:tc>
          <w:tcPr>
            <w:tcW w:type="dxa" w:w="997"/>
          </w:tcPr>
          <w:p>
            <w:pPr>
              <w:spacing w:after="0" w:line="240" w:lineRule="auto"/>
              <w:ind w:firstLine="0"/>
              <w:jc w:val="center"/>
            </w:pPr>
            <w:r>
              <w:rPr>
                <w:b w:val="0"/>
                <w:i w:val="0"/>
                <w:sz w:val="20"/>
              </w:rPr>
              <w:t>76,0</w:t>
            </w:r>
          </w:p>
        </w:tc>
        <w:tc>
          <w:tcPr>
            <w:tcW w:type="dxa" w:w="997"/>
          </w:tcPr>
          <w:p>
            <w:pPr>
              <w:spacing w:after="0" w:line="240" w:lineRule="auto"/>
              <w:ind w:firstLine="0"/>
              <w:jc w:val="center"/>
            </w:pPr>
            <w:r>
              <w:rPr>
                <w:b w:val="0"/>
                <w:i w:val="0"/>
                <w:sz w:val="20"/>
              </w:rPr>
              <w:t>60,0</w:t>
            </w:r>
          </w:p>
        </w:tc>
        <w:tc>
          <w:tcPr>
            <w:tcW w:type="dxa" w:w="997"/>
          </w:tcPr>
          <w:p>
            <w:pPr>
              <w:spacing w:after="0" w:line="240" w:lineRule="auto"/>
              <w:ind w:firstLine="0"/>
              <w:jc w:val="center"/>
            </w:pPr>
            <w:r>
              <w:rPr>
                <w:b w:val="0"/>
                <w:i w:val="0"/>
                <w:sz w:val="20"/>
              </w:rPr>
              <w:t>76,0</w:t>
            </w:r>
          </w:p>
        </w:tc>
      </w:tr>
      <w:tr>
        <w:tc>
          <w:tcPr>
            <w:tcW w:type="dxa" w:w="997"/>
          </w:tcPr>
          <w:p>
            <w:pPr>
              <w:spacing w:after="0" w:line="240" w:lineRule="auto"/>
              <w:ind w:firstLine="0"/>
              <w:jc w:val="left"/>
            </w:pPr>
            <w:r>
              <w:rPr>
                <w:b w:val="0"/>
                <w:i w:val="0"/>
                <w:sz w:val="20"/>
              </w:rPr>
              <w:t>NdPr (дидим)</w:t>
            </w:r>
          </w:p>
        </w:tc>
        <w:tc>
          <w:tcPr>
            <w:tcW w:type="dxa" w:w="997"/>
          </w:tcPr>
          <w:p>
            <w:pPr>
              <w:spacing w:after="0" w:line="240" w:lineRule="auto"/>
              <w:ind w:firstLine="0"/>
              <w:jc w:val="center"/>
            </w:pPr>
            <w:r>
              <w:rPr>
                <w:b w:val="0"/>
                <w:i w:val="0"/>
                <w:sz w:val="20"/>
              </w:rPr>
              <w:t>42,0</w:t>
            </w:r>
          </w:p>
        </w:tc>
        <w:tc>
          <w:tcPr>
            <w:tcW w:type="dxa" w:w="997"/>
          </w:tcPr>
          <w:p>
            <w:pPr>
              <w:spacing w:after="0" w:line="240" w:lineRule="auto"/>
              <w:ind w:firstLine="0"/>
              <w:jc w:val="center"/>
            </w:pPr>
            <w:r>
              <w:rPr>
                <w:b w:val="0"/>
                <w:i w:val="0"/>
                <w:sz w:val="20"/>
              </w:rPr>
              <w:t>230,0</w:t>
            </w:r>
          </w:p>
        </w:tc>
        <w:tc>
          <w:tcPr>
            <w:tcW w:type="dxa" w:w="997"/>
          </w:tcPr>
          <w:p>
            <w:pPr>
              <w:spacing w:after="0" w:line="240" w:lineRule="auto"/>
              <w:ind w:firstLine="0"/>
              <w:jc w:val="center"/>
            </w:pPr>
            <w:r>
              <w:rPr>
                <w:b w:val="0"/>
                <w:i w:val="0"/>
                <w:sz w:val="20"/>
              </w:rPr>
              <w:t>44,0</w:t>
            </w:r>
          </w:p>
        </w:tc>
        <w:tc>
          <w:tcPr>
            <w:tcW w:type="dxa" w:w="997"/>
          </w:tcPr>
          <w:p>
            <w:pPr>
              <w:spacing w:after="0" w:line="240" w:lineRule="auto"/>
              <w:ind w:firstLine="0"/>
              <w:jc w:val="center"/>
            </w:pPr>
            <w:r>
              <w:rPr>
                <w:b w:val="0"/>
                <w:i w:val="0"/>
                <w:sz w:val="20"/>
              </w:rPr>
              <w:t>46,0</w:t>
            </w:r>
          </w:p>
        </w:tc>
        <w:tc>
          <w:tcPr>
            <w:tcW w:type="dxa" w:w="997"/>
          </w:tcPr>
          <w:p>
            <w:pPr>
              <w:spacing w:after="0" w:line="240" w:lineRule="auto"/>
              <w:ind w:firstLine="0"/>
              <w:jc w:val="center"/>
            </w:pPr>
            <w:r>
              <w:rPr>
                <w:b w:val="0"/>
                <w:i w:val="0"/>
                <w:sz w:val="20"/>
              </w:rPr>
              <w:t>89,0</w:t>
            </w:r>
          </w:p>
        </w:tc>
        <w:tc>
          <w:tcPr>
            <w:tcW w:type="dxa" w:w="997"/>
          </w:tcPr>
          <w:p>
            <w:pPr>
              <w:spacing w:after="0" w:line="240" w:lineRule="auto"/>
              <w:ind w:firstLine="0"/>
              <w:jc w:val="center"/>
            </w:pPr>
            <w:r>
              <w:rPr>
                <w:b w:val="0"/>
                <w:i w:val="0"/>
                <w:sz w:val="20"/>
              </w:rPr>
              <w:t>145,0</w:t>
            </w:r>
          </w:p>
        </w:tc>
        <w:tc>
          <w:tcPr>
            <w:tcW w:type="dxa" w:w="997"/>
          </w:tcPr>
          <w:p>
            <w:pPr>
              <w:spacing w:after="0" w:line="240" w:lineRule="auto"/>
              <w:ind w:firstLine="0"/>
              <w:jc w:val="center"/>
            </w:pPr>
            <w:r>
              <w:rPr>
                <w:b w:val="0"/>
                <w:i w:val="0"/>
                <w:sz w:val="20"/>
              </w:rPr>
              <w:t>77,0</w:t>
            </w:r>
          </w:p>
        </w:tc>
        <w:tc>
          <w:tcPr>
            <w:tcW w:type="dxa" w:w="997"/>
          </w:tcPr>
          <w:p>
            <w:pPr>
              <w:spacing w:after="0" w:line="240" w:lineRule="auto"/>
              <w:ind w:firstLine="0"/>
              <w:jc w:val="center"/>
            </w:pPr>
            <w:r>
              <w:rPr>
                <w:b w:val="0"/>
                <w:i w:val="0"/>
                <w:sz w:val="20"/>
              </w:rPr>
              <w:t>61,0</w:t>
            </w:r>
          </w:p>
        </w:tc>
        <w:tc>
          <w:tcPr>
            <w:tcW w:type="dxa" w:w="997"/>
          </w:tcPr>
          <w:p>
            <w:pPr>
              <w:spacing w:after="0" w:line="240" w:lineRule="auto"/>
              <w:ind w:firstLine="0"/>
              <w:jc w:val="center"/>
            </w:pPr>
            <w:r>
              <w:rPr>
                <w:b w:val="0"/>
                <w:i w:val="0"/>
                <w:sz w:val="20"/>
              </w:rPr>
              <w:t>77,0</w:t>
            </w:r>
          </w:p>
        </w:tc>
      </w:tr>
      <w:tr>
        <w:tc>
          <w:tcPr>
            <w:tcW w:type="dxa" w:w="997"/>
          </w:tcPr>
          <w:p>
            <w:pPr>
              <w:spacing w:after="0" w:line="240" w:lineRule="auto"/>
              <w:ind w:firstLine="0"/>
              <w:jc w:val="left"/>
            </w:pPr>
            <w:r>
              <w:rPr>
                <w:b w:val="0"/>
                <w:i w:val="0"/>
                <w:sz w:val="20"/>
              </w:rPr>
              <w:t>Sm₂O₃</w:t>
            </w:r>
          </w:p>
        </w:tc>
        <w:tc>
          <w:tcPr>
            <w:tcW w:type="dxa" w:w="997"/>
          </w:tcPr>
          <w:p>
            <w:pPr>
              <w:spacing w:after="0" w:line="240" w:lineRule="auto"/>
              <w:ind w:firstLine="0"/>
              <w:jc w:val="center"/>
            </w:pPr>
            <w:r>
              <w:rPr>
                <w:b w:val="0"/>
                <w:i w:val="0"/>
                <w:sz w:val="20"/>
              </w:rPr>
              <w:t>6,0</w:t>
            </w:r>
          </w:p>
        </w:tc>
        <w:tc>
          <w:tcPr>
            <w:tcW w:type="dxa" w:w="997"/>
          </w:tcPr>
          <w:p>
            <w:pPr>
              <w:spacing w:after="0" w:line="240" w:lineRule="auto"/>
              <w:ind w:firstLine="0"/>
              <w:jc w:val="center"/>
            </w:pPr>
            <w:r>
              <w:rPr>
                <w:b w:val="0"/>
                <w:i w:val="0"/>
                <w:sz w:val="20"/>
              </w:rPr>
              <w:t>130,0</w:t>
            </w:r>
          </w:p>
        </w:tc>
        <w:tc>
          <w:tcPr>
            <w:tcW w:type="dxa" w:w="997"/>
          </w:tcPr>
          <w:p>
            <w:pPr>
              <w:spacing w:after="0" w:line="240" w:lineRule="auto"/>
              <w:ind w:firstLine="0"/>
              <w:jc w:val="center"/>
            </w:pPr>
            <w:r>
              <w:rPr>
                <w:b w:val="0"/>
                <w:i w:val="0"/>
                <w:sz w:val="20"/>
              </w:rPr>
              <w:t>2,3</w:t>
            </w:r>
          </w:p>
        </w:tc>
        <w:tc>
          <w:tcPr>
            <w:tcW w:type="dxa" w:w="997"/>
          </w:tcPr>
          <w:p>
            <w:pPr>
              <w:spacing w:after="0" w:line="240" w:lineRule="auto"/>
              <w:ind w:firstLine="0"/>
              <w:jc w:val="center"/>
            </w:pPr>
            <w:r>
              <w:rPr>
                <w:b w:val="0"/>
                <w:i w:val="0"/>
                <w:sz w:val="20"/>
              </w:rPr>
              <w:t>2,0</w:t>
            </w:r>
          </w:p>
        </w:tc>
        <w:tc>
          <w:tcPr>
            <w:tcW w:type="dxa" w:w="997"/>
          </w:tcPr>
          <w:p>
            <w:pPr>
              <w:spacing w:after="0" w:line="240" w:lineRule="auto"/>
              <w:ind w:firstLine="0"/>
              <w:jc w:val="center"/>
            </w:pPr>
            <w:r>
              <w:rPr>
                <w:b w:val="0"/>
                <w:i w:val="0"/>
                <w:sz w:val="20"/>
              </w:rPr>
              <w:t>2,2</w:t>
            </w:r>
          </w:p>
        </w:tc>
        <w:tc>
          <w:tcPr>
            <w:tcW w:type="dxa" w:w="997"/>
          </w:tcPr>
          <w:p>
            <w:pPr>
              <w:spacing w:after="0" w:line="240" w:lineRule="auto"/>
              <w:ind w:firstLine="0"/>
              <w:jc w:val="center"/>
            </w:pPr>
            <w:r>
              <w:rPr>
                <w:b w:val="0"/>
                <w:i w:val="0"/>
                <w:sz w:val="20"/>
              </w:rPr>
              <w:t>2,4</w:t>
            </w:r>
          </w:p>
        </w:tc>
        <w:tc>
          <w:tcPr>
            <w:tcW w:type="dxa" w:w="997"/>
          </w:tcPr>
          <w:p>
            <w:pPr>
              <w:spacing w:after="0" w:line="240" w:lineRule="auto"/>
              <w:ind w:firstLine="0"/>
              <w:jc w:val="center"/>
            </w:pPr>
            <w:r>
              <w:rPr>
                <w:b w:val="0"/>
                <w:i w:val="0"/>
                <w:sz w:val="20"/>
              </w:rPr>
              <w:t>2,1</w:t>
            </w:r>
          </w:p>
        </w:tc>
        <w:tc>
          <w:tcPr>
            <w:tcW w:type="dxa" w:w="997"/>
          </w:tcPr>
          <w:p>
            <w:pPr>
              <w:spacing w:after="0" w:line="240" w:lineRule="auto"/>
              <w:ind w:firstLine="0"/>
              <w:jc w:val="center"/>
            </w:pPr>
            <w:r>
              <w:rPr>
                <w:b w:val="0"/>
                <w:i w:val="0"/>
                <w:sz w:val="20"/>
              </w:rPr>
              <w:t>2,0</w:t>
            </w:r>
          </w:p>
        </w:tc>
        <w:tc>
          <w:tcPr>
            <w:tcW w:type="dxa" w:w="997"/>
          </w:tcPr>
          <w:p>
            <w:pPr>
              <w:spacing w:after="0" w:line="240" w:lineRule="auto"/>
              <w:ind w:firstLine="0"/>
              <w:jc w:val="center"/>
            </w:pPr>
            <w:r>
              <w:rPr>
                <w:b w:val="0"/>
                <w:i w:val="0"/>
                <w:sz w:val="20"/>
              </w:rPr>
              <w:t>12,0</w:t>
            </w:r>
          </w:p>
        </w:tc>
      </w:tr>
      <w:tr>
        <w:tc>
          <w:tcPr>
            <w:tcW w:type="dxa" w:w="997"/>
          </w:tcPr>
          <w:p>
            <w:pPr>
              <w:spacing w:after="0" w:line="240" w:lineRule="auto"/>
              <w:ind w:firstLine="0"/>
              <w:jc w:val="left"/>
            </w:pPr>
            <w:r>
              <w:rPr>
                <w:b w:val="0"/>
                <w:i w:val="0"/>
                <w:sz w:val="20"/>
              </w:rPr>
              <w:t>Eu₂O₃</w:t>
            </w:r>
          </w:p>
        </w:tc>
        <w:tc>
          <w:tcPr>
            <w:tcW w:type="dxa" w:w="997"/>
          </w:tcPr>
          <w:p>
            <w:pPr>
              <w:spacing w:after="0" w:line="240" w:lineRule="auto"/>
              <w:ind w:firstLine="0"/>
              <w:jc w:val="center"/>
            </w:pPr>
            <w:r>
              <w:rPr>
                <w:b w:val="0"/>
                <w:i w:val="0"/>
                <w:sz w:val="20"/>
              </w:rPr>
              <w:t>620,0</w:t>
            </w:r>
          </w:p>
        </w:tc>
        <w:tc>
          <w:tcPr>
            <w:tcW w:type="dxa" w:w="997"/>
          </w:tcPr>
          <w:p>
            <w:pPr>
              <w:spacing w:after="0" w:line="240" w:lineRule="auto"/>
              <w:ind w:firstLine="0"/>
              <w:jc w:val="center"/>
            </w:pPr>
            <w:r>
              <w:rPr>
                <w:b w:val="0"/>
                <w:i w:val="0"/>
                <w:sz w:val="20"/>
              </w:rPr>
              <w:t>3 800,0</w:t>
            </w:r>
          </w:p>
        </w:tc>
        <w:tc>
          <w:tcPr>
            <w:tcW w:type="dxa" w:w="997"/>
          </w:tcPr>
          <w:p>
            <w:pPr>
              <w:spacing w:after="0" w:line="240" w:lineRule="auto"/>
              <w:ind w:firstLine="0"/>
              <w:jc w:val="center"/>
            </w:pPr>
            <w:r>
              <w:rPr>
                <w:b w:val="0"/>
                <w:i w:val="0"/>
                <w:sz w:val="20"/>
              </w:rPr>
              <w:t>130,0</w:t>
            </w:r>
          </w:p>
        </w:tc>
        <w:tc>
          <w:tcPr>
            <w:tcW w:type="dxa" w:w="997"/>
          </w:tcPr>
          <w:p>
            <w:pPr>
              <w:spacing w:after="0" w:line="240" w:lineRule="auto"/>
              <w:ind w:firstLine="0"/>
              <w:jc w:val="center"/>
            </w:pPr>
            <w:r>
              <w:rPr>
                <w:b w:val="0"/>
                <w:i w:val="0"/>
                <w:sz w:val="20"/>
              </w:rPr>
              <w:t>32,0</w:t>
            </w:r>
          </w:p>
        </w:tc>
        <w:tc>
          <w:tcPr>
            <w:tcW w:type="dxa" w:w="997"/>
          </w:tcPr>
          <w:p>
            <w:pPr>
              <w:spacing w:after="0" w:line="240" w:lineRule="auto"/>
              <w:ind w:firstLine="0"/>
              <w:jc w:val="center"/>
            </w:pPr>
            <w:r>
              <w:rPr>
                <w:b w:val="0"/>
                <w:i w:val="0"/>
                <w:sz w:val="20"/>
              </w:rPr>
              <w:t>30,0</w:t>
            </w:r>
          </w:p>
        </w:tc>
        <w:tc>
          <w:tcPr>
            <w:tcW w:type="dxa" w:w="997"/>
          </w:tcPr>
          <w:p>
            <w:pPr>
              <w:spacing w:after="0" w:line="240" w:lineRule="auto"/>
              <w:ind w:firstLine="0"/>
              <w:jc w:val="center"/>
            </w:pPr>
            <w:r>
              <w:rPr>
                <w:b w:val="0"/>
                <w:i w:val="0"/>
                <w:sz w:val="20"/>
              </w:rPr>
              <w:t>32,0</w:t>
            </w:r>
          </w:p>
        </w:tc>
        <w:tc>
          <w:tcPr>
            <w:tcW w:type="dxa" w:w="997"/>
          </w:tcPr>
          <w:p>
            <w:pPr>
              <w:spacing w:after="0" w:line="240" w:lineRule="auto"/>
              <w:ind w:firstLine="0"/>
              <w:jc w:val="center"/>
            </w:pPr>
            <w:r>
              <w:rPr>
                <w:b w:val="0"/>
                <w:i w:val="0"/>
                <w:sz w:val="20"/>
              </w:rPr>
              <w:t>28,0</w:t>
            </w:r>
          </w:p>
        </w:tc>
        <w:tc>
          <w:tcPr>
            <w:tcW w:type="dxa" w:w="997"/>
          </w:tcPr>
          <w:p>
            <w:pPr>
              <w:spacing w:after="0" w:line="240" w:lineRule="auto"/>
              <w:ind w:firstLine="0"/>
              <w:jc w:val="center"/>
            </w:pPr>
            <w:r>
              <w:rPr>
                <w:b w:val="0"/>
                <w:i w:val="0"/>
                <w:sz w:val="20"/>
              </w:rPr>
              <w:t>26,0</w:t>
            </w:r>
          </w:p>
        </w:tc>
        <w:tc>
          <w:tcPr>
            <w:tcW w:type="dxa" w:w="997"/>
          </w:tcPr>
          <w:p>
            <w:pPr>
              <w:spacing w:after="0" w:line="240" w:lineRule="auto"/>
              <w:ind w:firstLine="0"/>
              <w:jc w:val="center"/>
            </w:pPr>
            <w:r>
              <w:rPr>
                <w:b w:val="0"/>
                <w:i w:val="0"/>
                <w:sz w:val="20"/>
              </w:rPr>
              <w:t>31,0</w:t>
            </w:r>
          </w:p>
        </w:tc>
      </w:tr>
      <w:tr>
        <w:tc>
          <w:tcPr>
            <w:tcW w:type="dxa" w:w="997"/>
          </w:tcPr>
          <w:p>
            <w:pPr>
              <w:spacing w:after="0" w:line="240" w:lineRule="auto"/>
              <w:ind w:firstLine="0"/>
              <w:jc w:val="left"/>
            </w:pPr>
            <w:r>
              <w:rPr>
                <w:b w:val="0"/>
                <w:i w:val="0"/>
                <w:sz w:val="20"/>
              </w:rPr>
              <w:t>Gd₂O₃</w:t>
            </w:r>
          </w:p>
        </w:tc>
        <w:tc>
          <w:tcPr>
            <w:tcW w:type="dxa" w:w="997"/>
          </w:tcPr>
          <w:p>
            <w:pPr>
              <w:spacing w:after="0" w:line="240" w:lineRule="auto"/>
              <w:ind w:firstLine="0"/>
              <w:jc w:val="center"/>
            </w:pPr>
            <w:r>
              <w:rPr>
                <w:b w:val="0"/>
                <w:i w:val="0"/>
                <w:sz w:val="20"/>
              </w:rPr>
              <w:t>18,0</w:t>
            </w:r>
          </w:p>
        </w:tc>
        <w:tc>
          <w:tcPr>
            <w:tcW w:type="dxa" w:w="997"/>
          </w:tcPr>
          <w:p>
            <w:pPr>
              <w:spacing w:after="0" w:line="240" w:lineRule="auto"/>
              <w:ind w:firstLine="0"/>
              <w:jc w:val="center"/>
            </w:pPr>
            <w:r>
              <w:rPr>
                <w:b w:val="0"/>
                <w:i w:val="0"/>
                <w:sz w:val="20"/>
              </w:rPr>
              <w:t>190,0</w:t>
            </w:r>
          </w:p>
        </w:tc>
        <w:tc>
          <w:tcPr>
            <w:tcW w:type="dxa" w:w="997"/>
          </w:tcPr>
          <w:p>
            <w:pPr>
              <w:spacing w:after="0" w:line="240" w:lineRule="auto"/>
              <w:ind w:firstLine="0"/>
              <w:jc w:val="center"/>
            </w:pPr>
            <w:r>
              <w:rPr>
                <w:b w:val="0"/>
                <w:i w:val="0"/>
                <w:sz w:val="20"/>
              </w:rPr>
              <w:t>12,0</w:t>
            </w:r>
          </w:p>
        </w:tc>
        <w:tc>
          <w:tcPr>
            <w:tcW w:type="dxa" w:w="997"/>
          </w:tcPr>
          <w:p>
            <w:pPr>
              <w:spacing w:after="0" w:line="240" w:lineRule="auto"/>
              <w:ind w:firstLine="0"/>
              <w:jc w:val="center"/>
            </w:pPr>
            <w:r>
              <w:rPr>
                <w:b w:val="0"/>
                <w:i w:val="0"/>
                <w:sz w:val="20"/>
              </w:rPr>
              <w:t>22,0</w:t>
            </w:r>
          </w:p>
        </w:tc>
        <w:tc>
          <w:tcPr>
            <w:tcW w:type="dxa" w:w="997"/>
          </w:tcPr>
          <w:p>
            <w:pPr>
              <w:spacing w:after="0" w:line="240" w:lineRule="auto"/>
              <w:ind w:firstLine="0"/>
              <w:jc w:val="center"/>
            </w:pPr>
            <w:r>
              <w:rPr>
                <w:b w:val="0"/>
                <w:i w:val="0"/>
                <w:sz w:val="20"/>
              </w:rPr>
              <w:t>42,0</w:t>
            </w:r>
          </w:p>
        </w:tc>
        <w:tc>
          <w:tcPr>
            <w:tcW w:type="dxa" w:w="997"/>
          </w:tcPr>
          <w:p>
            <w:pPr>
              <w:spacing w:after="0" w:line="240" w:lineRule="auto"/>
              <w:ind w:firstLine="0"/>
              <w:jc w:val="center"/>
            </w:pPr>
            <w:r>
              <w:rPr>
                <w:b w:val="0"/>
                <w:i w:val="0"/>
                <w:sz w:val="20"/>
              </w:rPr>
              <w:t>48,0</w:t>
            </w:r>
          </w:p>
        </w:tc>
        <w:tc>
          <w:tcPr>
            <w:tcW w:type="dxa" w:w="997"/>
          </w:tcPr>
          <w:p>
            <w:pPr>
              <w:spacing w:after="0" w:line="240" w:lineRule="auto"/>
              <w:ind w:firstLine="0"/>
              <w:jc w:val="center"/>
            </w:pPr>
            <w:r>
              <w:rPr>
                <w:b w:val="0"/>
                <w:i w:val="0"/>
                <w:sz w:val="20"/>
              </w:rPr>
              <w:t>36,0</w:t>
            </w:r>
          </w:p>
        </w:tc>
        <w:tc>
          <w:tcPr>
            <w:tcW w:type="dxa" w:w="997"/>
          </w:tcPr>
          <w:p>
            <w:pPr>
              <w:spacing w:after="0" w:line="240" w:lineRule="auto"/>
              <w:ind w:firstLine="0"/>
              <w:jc w:val="center"/>
            </w:pPr>
            <w:r>
              <w:rPr>
                <w:b w:val="0"/>
                <w:i w:val="0"/>
                <w:sz w:val="20"/>
              </w:rPr>
              <w:t>32,0</w:t>
            </w:r>
          </w:p>
        </w:tc>
        <w:tc>
          <w:tcPr>
            <w:tcW w:type="dxa" w:w="997"/>
          </w:tcPr>
          <w:p>
            <w:pPr>
              <w:spacing w:after="0" w:line="240" w:lineRule="auto"/>
              <w:ind w:firstLine="0"/>
              <w:jc w:val="center"/>
            </w:pPr>
            <w:r>
              <w:rPr>
                <w:b w:val="0"/>
                <w:i w:val="0"/>
                <w:sz w:val="20"/>
              </w:rPr>
              <w:t>62,0</w:t>
            </w:r>
          </w:p>
        </w:tc>
      </w:tr>
      <w:tr>
        <w:tc>
          <w:tcPr>
            <w:tcW w:type="dxa" w:w="997"/>
          </w:tcPr>
          <w:p>
            <w:pPr>
              <w:spacing w:after="0" w:line="240" w:lineRule="auto"/>
              <w:ind w:firstLine="0"/>
              <w:jc w:val="left"/>
            </w:pPr>
            <w:r>
              <w:rPr>
                <w:b w:val="0"/>
                <w:i w:val="0"/>
                <w:sz w:val="20"/>
              </w:rPr>
              <w:t>Tb₄O₇</w:t>
            </w:r>
          </w:p>
        </w:tc>
        <w:tc>
          <w:tcPr>
            <w:tcW w:type="dxa" w:w="997"/>
          </w:tcPr>
          <w:p>
            <w:pPr>
              <w:spacing w:after="0" w:line="240" w:lineRule="auto"/>
              <w:ind w:firstLine="0"/>
              <w:jc w:val="center"/>
            </w:pPr>
            <w:r>
              <w:rPr>
                <w:b w:val="0"/>
                <w:i w:val="0"/>
                <w:sz w:val="20"/>
              </w:rPr>
              <w:t>480,0</w:t>
            </w:r>
          </w:p>
        </w:tc>
        <w:tc>
          <w:tcPr>
            <w:tcW w:type="dxa" w:w="997"/>
          </w:tcPr>
          <w:p>
            <w:pPr>
              <w:spacing w:after="0" w:line="240" w:lineRule="auto"/>
              <w:ind w:firstLine="0"/>
              <w:jc w:val="center"/>
            </w:pPr>
            <w:r>
              <w:rPr>
                <w:b w:val="0"/>
                <w:i w:val="0"/>
                <w:sz w:val="20"/>
              </w:rPr>
              <w:t>2 900,0</w:t>
            </w:r>
          </w:p>
        </w:tc>
        <w:tc>
          <w:tcPr>
            <w:tcW w:type="dxa" w:w="997"/>
          </w:tcPr>
          <w:p>
            <w:pPr>
              <w:spacing w:after="0" w:line="240" w:lineRule="auto"/>
              <w:ind w:firstLine="0"/>
              <w:jc w:val="center"/>
            </w:pPr>
            <w:r>
              <w:rPr>
                <w:b w:val="0"/>
                <w:i w:val="0"/>
                <w:sz w:val="20"/>
              </w:rPr>
              <w:t>480,0</w:t>
            </w:r>
          </w:p>
        </w:tc>
        <w:tc>
          <w:tcPr>
            <w:tcW w:type="dxa" w:w="997"/>
          </w:tcPr>
          <w:p>
            <w:pPr>
              <w:spacing w:after="0" w:line="240" w:lineRule="auto"/>
              <w:ind w:firstLine="0"/>
              <w:jc w:val="center"/>
            </w:pPr>
            <w:r>
              <w:rPr>
                <w:b w:val="0"/>
                <w:i w:val="0"/>
                <w:sz w:val="20"/>
              </w:rPr>
              <w:t>520,0</w:t>
            </w:r>
          </w:p>
        </w:tc>
        <w:tc>
          <w:tcPr>
            <w:tcW w:type="dxa" w:w="997"/>
          </w:tcPr>
          <w:p>
            <w:pPr>
              <w:spacing w:after="0" w:line="240" w:lineRule="auto"/>
              <w:ind w:firstLine="0"/>
              <w:jc w:val="center"/>
            </w:pPr>
            <w:r>
              <w:rPr>
                <w:b w:val="0"/>
                <w:i w:val="0"/>
                <w:sz w:val="20"/>
              </w:rPr>
              <w:t>1 350,0</w:t>
            </w:r>
          </w:p>
        </w:tc>
        <w:tc>
          <w:tcPr>
            <w:tcW w:type="dxa" w:w="997"/>
          </w:tcPr>
          <w:p>
            <w:pPr>
              <w:spacing w:after="0" w:line="240" w:lineRule="auto"/>
              <w:ind w:firstLine="0"/>
              <w:jc w:val="center"/>
            </w:pPr>
            <w:r>
              <w:rPr>
                <w:b w:val="0"/>
                <w:i w:val="0"/>
                <w:sz w:val="20"/>
              </w:rPr>
              <w:t>1 950,0</w:t>
            </w:r>
          </w:p>
        </w:tc>
        <w:tc>
          <w:tcPr>
            <w:tcW w:type="dxa" w:w="997"/>
          </w:tcPr>
          <w:p>
            <w:pPr>
              <w:spacing w:after="0" w:line="240" w:lineRule="auto"/>
              <w:ind w:firstLine="0"/>
              <w:jc w:val="center"/>
            </w:pPr>
            <w:r>
              <w:rPr>
                <w:b w:val="0"/>
                <w:i w:val="0"/>
                <w:sz w:val="20"/>
              </w:rPr>
              <w:t>1 020,0</w:t>
            </w:r>
          </w:p>
        </w:tc>
        <w:tc>
          <w:tcPr>
            <w:tcW w:type="dxa" w:w="997"/>
          </w:tcPr>
          <w:p>
            <w:pPr>
              <w:spacing w:after="0" w:line="240" w:lineRule="auto"/>
              <w:ind w:firstLine="0"/>
              <w:jc w:val="center"/>
            </w:pPr>
            <w:r>
              <w:rPr>
                <w:b w:val="0"/>
                <w:i w:val="0"/>
                <w:sz w:val="20"/>
              </w:rPr>
              <w:t>830,0</w:t>
            </w:r>
          </w:p>
        </w:tc>
        <w:tc>
          <w:tcPr>
            <w:tcW w:type="dxa" w:w="997"/>
          </w:tcPr>
          <w:p>
            <w:pPr>
              <w:spacing w:after="0" w:line="240" w:lineRule="auto"/>
              <w:ind w:firstLine="0"/>
              <w:jc w:val="center"/>
            </w:pPr>
            <w:r>
              <w:rPr>
                <w:b w:val="0"/>
                <w:i w:val="0"/>
                <w:sz w:val="20"/>
              </w:rPr>
              <w:t>1 150,0</w:t>
            </w:r>
          </w:p>
        </w:tc>
      </w:tr>
      <w:tr>
        <w:tc>
          <w:tcPr>
            <w:tcW w:type="dxa" w:w="997"/>
          </w:tcPr>
          <w:p>
            <w:pPr>
              <w:spacing w:after="0" w:line="240" w:lineRule="auto"/>
              <w:ind w:firstLine="0"/>
              <w:jc w:val="left"/>
            </w:pPr>
            <w:r>
              <w:rPr>
                <w:b w:val="0"/>
                <w:i w:val="0"/>
                <w:sz w:val="20"/>
              </w:rPr>
              <w:t>Dy₂O₃</w:t>
            </w:r>
          </w:p>
        </w:tc>
        <w:tc>
          <w:tcPr>
            <w:tcW w:type="dxa" w:w="997"/>
          </w:tcPr>
          <w:p>
            <w:pPr>
              <w:spacing w:after="0" w:line="240" w:lineRule="auto"/>
              <w:ind w:firstLine="0"/>
              <w:jc w:val="center"/>
            </w:pPr>
            <w:r>
              <w:rPr>
                <w:b w:val="0"/>
                <w:i w:val="0"/>
                <w:sz w:val="20"/>
              </w:rPr>
              <w:t>195,0</w:t>
            </w:r>
          </w:p>
        </w:tc>
        <w:tc>
          <w:tcPr>
            <w:tcW w:type="dxa" w:w="997"/>
          </w:tcPr>
          <w:p>
            <w:pPr>
              <w:spacing w:after="0" w:line="240" w:lineRule="auto"/>
              <w:ind w:firstLine="0"/>
              <w:jc w:val="center"/>
            </w:pPr>
            <w:r>
              <w:rPr>
                <w:b w:val="0"/>
                <w:i w:val="0"/>
                <w:sz w:val="20"/>
              </w:rPr>
              <w:t>1 800,0</w:t>
            </w:r>
          </w:p>
        </w:tc>
        <w:tc>
          <w:tcPr>
            <w:tcW w:type="dxa" w:w="997"/>
          </w:tcPr>
          <w:p>
            <w:pPr>
              <w:spacing w:after="0" w:line="240" w:lineRule="auto"/>
              <w:ind w:firstLine="0"/>
              <w:jc w:val="center"/>
            </w:pPr>
            <w:r>
              <w:rPr>
                <w:b w:val="0"/>
                <w:i w:val="0"/>
                <w:sz w:val="20"/>
              </w:rPr>
              <w:t>240,0</w:t>
            </w:r>
          </w:p>
        </w:tc>
        <w:tc>
          <w:tcPr>
            <w:tcW w:type="dxa" w:w="997"/>
          </w:tcPr>
          <w:p>
            <w:pPr>
              <w:spacing w:after="0" w:line="240" w:lineRule="auto"/>
              <w:ind w:firstLine="0"/>
              <w:jc w:val="center"/>
            </w:pPr>
            <w:r>
              <w:rPr>
                <w:b w:val="0"/>
                <w:i w:val="0"/>
                <w:sz w:val="20"/>
              </w:rPr>
              <w:t>245,0</w:t>
            </w:r>
          </w:p>
        </w:tc>
        <w:tc>
          <w:tcPr>
            <w:tcW w:type="dxa" w:w="997"/>
          </w:tcPr>
          <w:p>
            <w:pPr>
              <w:spacing w:after="0" w:line="240" w:lineRule="auto"/>
              <w:ind w:firstLine="0"/>
              <w:jc w:val="center"/>
            </w:pPr>
            <w:r>
              <w:rPr>
                <w:b w:val="0"/>
                <w:i w:val="0"/>
                <w:sz w:val="20"/>
              </w:rPr>
              <w:t>400,0</w:t>
            </w:r>
          </w:p>
        </w:tc>
        <w:tc>
          <w:tcPr>
            <w:tcW w:type="dxa" w:w="997"/>
          </w:tcPr>
          <w:p>
            <w:pPr>
              <w:spacing w:after="0" w:line="240" w:lineRule="auto"/>
              <w:ind w:firstLine="0"/>
              <w:jc w:val="center"/>
            </w:pPr>
            <w:r>
              <w:rPr>
                <w:b w:val="0"/>
                <w:i w:val="0"/>
                <w:sz w:val="20"/>
              </w:rPr>
              <w:t>400,0</w:t>
            </w:r>
          </w:p>
        </w:tc>
        <w:tc>
          <w:tcPr>
            <w:tcW w:type="dxa" w:w="997"/>
          </w:tcPr>
          <w:p>
            <w:pPr>
              <w:spacing w:after="0" w:line="240" w:lineRule="auto"/>
              <w:ind w:firstLine="0"/>
              <w:jc w:val="center"/>
            </w:pPr>
            <w:r>
              <w:rPr>
                <w:b w:val="0"/>
                <w:i w:val="0"/>
                <w:sz w:val="20"/>
              </w:rPr>
              <w:t>300,0</w:t>
            </w:r>
          </w:p>
        </w:tc>
        <w:tc>
          <w:tcPr>
            <w:tcW w:type="dxa" w:w="997"/>
          </w:tcPr>
          <w:p>
            <w:pPr>
              <w:spacing w:after="0" w:line="240" w:lineRule="auto"/>
              <w:ind w:firstLine="0"/>
              <w:jc w:val="center"/>
            </w:pPr>
            <w:r>
              <w:rPr>
                <w:b w:val="0"/>
                <w:i w:val="0"/>
                <w:sz w:val="20"/>
              </w:rPr>
              <w:t>245,0</w:t>
            </w:r>
          </w:p>
        </w:tc>
        <w:tc>
          <w:tcPr>
            <w:tcW w:type="dxa" w:w="997"/>
          </w:tcPr>
          <w:p>
            <w:pPr>
              <w:spacing w:after="0" w:line="240" w:lineRule="auto"/>
              <w:ind w:firstLine="0"/>
              <w:jc w:val="center"/>
            </w:pPr>
            <w:r>
              <w:rPr>
                <w:b w:val="0"/>
                <w:i w:val="0"/>
                <w:sz w:val="20"/>
              </w:rPr>
              <w:t>340,0</w:t>
            </w:r>
          </w:p>
        </w:tc>
      </w:tr>
      <w:tr>
        <w:tc>
          <w:tcPr>
            <w:tcW w:type="dxa" w:w="997"/>
          </w:tcPr>
          <w:p>
            <w:pPr>
              <w:spacing w:after="0" w:line="240" w:lineRule="auto"/>
              <w:ind w:firstLine="0"/>
              <w:jc w:val="left"/>
            </w:pPr>
            <w:r>
              <w:rPr>
                <w:b w:val="0"/>
                <w:i w:val="0"/>
                <w:sz w:val="20"/>
              </w:rPr>
              <w:t>Y₂O₃</w:t>
            </w:r>
          </w:p>
        </w:tc>
        <w:tc>
          <w:tcPr>
            <w:tcW w:type="dxa" w:w="997"/>
          </w:tcPr>
          <w:p>
            <w:pPr>
              <w:spacing w:after="0" w:line="240" w:lineRule="auto"/>
              <w:ind w:firstLine="0"/>
              <w:jc w:val="center"/>
            </w:pPr>
            <w:r>
              <w:rPr>
                <w:b w:val="0"/>
                <w:i w:val="0"/>
                <w:sz w:val="20"/>
              </w:rPr>
              <w:t>12,0</w:t>
            </w:r>
          </w:p>
        </w:tc>
        <w:tc>
          <w:tcPr>
            <w:tcW w:type="dxa" w:w="997"/>
          </w:tcPr>
          <w:p>
            <w:pPr>
              <w:spacing w:after="0" w:line="240" w:lineRule="auto"/>
              <w:ind w:firstLine="0"/>
              <w:jc w:val="center"/>
            </w:pPr>
            <w:r>
              <w:rPr>
                <w:b w:val="0"/>
                <w:i w:val="0"/>
                <w:sz w:val="20"/>
              </w:rPr>
              <w:t>145,0</w:t>
            </w:r>
          </w:p>
        </w:tc>
        <w:tc>
          <w:tcPr>
            <w:tcW w:type="dxa" w:w="997"/>
          </w:tcPr>
          <w:p>
            <w:pPr>
              <w:spacing w:after="0" w:line="240" w:lineRule="auto"/>
              <w:ind w:firstLine="0"/>
              <w:jc w:val="center"/>
            </w:pPr>
            <w:r>
              <w:rPr>
                <w:b w:val="0"/>
                <w:i w:val="0"/>
                <w:sz w:val="20"/>
              </w:rPr>
              <w:t>5,0</w:t>
            </w:r>
          </w:p>
        </w:tc>
        <w:tc>
          <w:tcPr>
            <w:tcW w:type="dxa" w:w="997"/>
          </w:tcPr>
          <w:p>
            <w:pPr>
              <w:spacing w:after="0" w:line="240" w:lineRule="auto"/>
              <w:ind w:firstLine="0"/>
              <w:jc w:val="center"/>
            </w:pPr>
            <w:r>
              <w:rPr>
                <w:b w:val="0"/>
                <w:i w:val="0"/>
                <w:sz w:val="20"/>
              </w:rPr>
              <w:t>4,0</w:t>
            </w:r>
          </w:p>
        </w:tc>
        <w:tc>
          <w:tcPr>
            <w:tcW w:type="dxa" w:w="997"/>
          </w:tcPr>
          <w:p>
            <w:pPr>
              <w:spacing w:after="0" w:line="240" w:lineRule="auto"/>
              <w:ind w:firstLine="0"/>
              <w:jc w:val="center"/>
            </w:pPr>
            <w:r>
              <w:rPr>
                <w:b w:val="0"/>
                <w:i w:val="0"/>
                <w:sz w:val="20"/>
              </w:rPr>
              <w:t>8,0</w:t>
            </w:r>
          </w:p>
        </w:tc>
        <w:tc>
          <w:tcPr>
            <w:tcW w:type="dxa" w:w="997"/>
          </w:tcPr>
          <w:p>
            <w:pPr>
              <w:spacing w:after="0" w:line="240" w:lineRule="auto"/>
              <w:ind w:firstLine="0"/>
              <w:jc w:val="center"/>
            </w:pPr>
            <w:r>
              <w:rPr>
                <w:b w:val="0"/>
                <w:i w:val="0"/>
                <w:sz w:val="20"/>
              </w:rPr>
              <w:t>9,5</w:t>
            </w:r>
          </w:p>
        </w:tc>
        <w:tc>
          <w:tcPr>
            <w:tcW w:type="dxa" w:w="997"/>
          </w:tcPr>
          <w:p>
            <w:pPr>
              <w:spacing w:after="0" w:line="240" w:lineRule="auto"/>
              <w:ind w:firstLine="0"/>
              <w:jc w:val="center"/>
            </w:pPr>
            <w:r>
              <w:rPr>
                <w:b w:val="0"/>
                <w:i w:val="0"/>
                <w:sz w:val="20"/>
              </w:rPr>
              <w:t>7,5</w:t>
            </w:r>
          </w:p>
        </w:tc>
        <w:tc>
          <w:tcPr>
            <w:tcW w:type="dxa" w:w="997"/>
          </w:tcPr>
          <w:p>
            <w:pPr>
              <w:spacing w:after="0" w:line="240" w:lineRule="auto"/>
              <w:ind w:firstLine="0"/>
              <w:jc w:val="center"/>
            </w:pPr>
            <w:r>
              <w:rPr>
                <w:b w:val="0"/>
                <w:i w:val="0"/>
                <w:sz w:val="20"/>
              </w:rPr>
              <w:t>7,0</w:t>
            </w:r>
          </w:p>
        </w:tc>
        <w:tc>
          <w:tcPr>
            <w:tcW w:type="dxa" w:w="997"/>
          </w:tcPr>
          <w:p>
            <w:pPr>
              <w:spacing w:after="0" w:line="240" w:lineRule="auto"/>
              <w:ind w:firstLine="0"/>
              <w:jc w:val="center"/>
            </w:pPr>
            <w:r>
              <w:rPr>
                <w:b w:val="0"/>
                <w:i w:val="0"/>
                <w:sz w:val="20"/>
              </w:rPr>
              <w:t>14,0</w:t>
            </w:r>
          </w:p>
        </w:tc>
      </w:tr>
      <w:tr>
        <w:tc>
          <w:tcPr>
            <w:tcW w:type="dxa" w:w="997"/>
          </w:tcPr>
          <w:p>
            <w:pPr>
              <w:spacing w:after="0" w:line="240" w:lineRule="auto"/>
              <w:ind w:firstLine="0"/>
              <w:jc w:val="left"/>
            </w:pPr>
            <w:r>
              <w:rPr>
                <w:b w:val="0"/>
                <w:i w:val="0"/>
                <w:sz w:val="20"/>
              </w:rPr>
              <w:t>Sc₂O₃</w:t>
            </w:r>
          </w:p>
        </w:tc>
        <w:tc>
          <w:tcPr>
            <w:tcW w:type="dxa" w:w="997"/>
          </w:tcPr>
          <w:p>
            <w:pPr>
              <w:spacing w:after="0" w:line="240" w:lineRule="auto"/>
              <w:ind w:firstLine="0"/>
              <w:jc w:val="center"/>
            </w:pPr>
            <w:r>
              <w:rPr>
                <w:b w:val="0"/>
                <w:i w:val="0"/>
                <w:sz w:val="20"/>
              </w:rPr>
              <w:t>3 800,0</w:t>
            </w:r>
          </w:p>
        </w:tc>
        <w:tc>
          <w:tcPr>
            <w:tcW w:type="dxa" w:w="997"/>
          </w:tcPr>
          <w:p>
            <w:pPr>
              <w:spacing w:after="0" w:line="240" w:lineRule="auto"/>
              <w:ind w:firstLine="0"/>
              <w:jc w:val="center"/>
            </w:pPr>
            <w:r>
              <w:rPr>
                <w:b w:val="0"/>
                <w:i w:val="0"/>
                <w:sz w:val="20"/>
              </w:rPr>
              <w:t>4 500,0</w:t>
            </w:r>
          </w:p>
        </w:tc>
        <w:tc>
          <w:tcPr>
            <w:tcW w:type="dxa" w:w="997"/>
          </w:tcPr>
          <w:p>
            <w:pPr>
              <w:spacing w:after="0" w:line="240" w:lineRule="auto"/>
              <w:ind w:firstLine="0"/>
              <w:jc w:val="center"/>
            </w:pPr>
            <w:r>
              <w:rPr>
                <w:b w:val="0"/>
                <w:i w:val="0"/>
                <w:sz w:val="20"/>
              </w:rPr>
              <w:t>3 200,0</w:t>
            </w:r>
          </w:p>
        </w:tc>
        <w:tc>
          <w:tcPr>
            <w:tcW w:type="dxa" w:w="997"/>
          </w:tcPr>
          <w:p>
            <w:pPr>
              <w:spacing w:after="0" w:line="240" w:lineRule="auto"/>
              <w:ind w:firstLine="0"/>
              <w:jc w:val="center"/>
            </w:pPr>
            <w:r>
              <w:rPr>
                <w:b w:val="0"/>
                <w:i w:val="0"/>
                <w:sz w:val="20"/>
              </w:rPr>
              <w:t>1 900,0</w:t>
            </w:r>
          </w:p>
        </w:tc>
        <w:tc>
          <w:tcPr>
            <w:tcW w:type="dxa" w:w="997"/>
          </w:tcPr>
          <w:p>
            <w:pPr>
              <w:spacing w:after="0" w:line="240" w:lineRule="auto"/>
              <w:ind w:firstLine="0"/>
              <w:jc w:val="center"/>
            </w:pPr>
            <w:r>
              <w:rPr>
                <w:b w:val="0"/>
                <w:i w:val="0"/>
                <w:sz w:val="20"/>
              </w:rPr>
              <w:t>1 500,0</w:t>
            </w:r>
          </w:p>
        </w:tc>
        <w:tc>
          <w:tcPr>
            <w:tcW w:type="dxa" w:w="997"/>
          </w:tcPr>
          <w:p>
            <w:pPr>
              <w:spacing w:after="0" w:line="240" w:lineRule="auto"/>
              <w:ind w:firstLine="0"/>
              <w:jc w:val="center"/>
            </w:pPr>
            <w:r>
              <w:rPr>
                <w:b w:val="0"/>
                <w:i w:val="0"/>
                <w:sz w:val="20"/>
              </w:rPr>
              <w:t>1 400,0</w:t>
            </w:r>
          </w:p>
        </w:tc>
        <w:tc>
          <w:tcPr>
            <w:tcW w:type="dxa" w:w="997"/>
          </w:tcPr>
          <w:p>
            <w:pPr>
              <w:spacing w:after="0" w:line="240" w:lineRule="auto"/>
              <w:ind w:firstLine="0"/>
              <w:jc w:val="center"/>
            </w:pPr>
            <w:r>
              <w:rPr>
                <w:b w:val="0"/>
                <w:i w:val="0"/>
                <w:sz w:val="20"/>
              </w:rPr>
              <w:t>1 250,0</w:t>
            </w:r>
          </w:p>
        </w:tc>
        <w:tc>
          <w:tcPr>
            <w:tcW w:type="dxa" w:w="997"/>
          </w:tcPr>
          <w:p>
            <w:pPr>
              <w:spacing w:after="0" w:line="240" w:lineRule="auto"/>
              <w:ind w:firstLine="0"/>
              <w:jc w:val="center"/>
            </w:pPr>
            <w:r>
              <w:rPr>
                <w:b w:val="0"/>
                <w:i w:val="0"/>
                <w:sz w:val="20"/>
              </w:rPr>
              <w:t>1 150,0</w:t>
            </w:r>
          </w:p>
        </w:tc>
        <w:tc>
          <w:tcPr>
            <w:tcW w:type="dxa" w:w="997"/>
          </w:tcPr>
          <w:p>
            <w:pPr>
              <w:spacing w:after="0" w:line="240" w:lineRule="auto"/>
              <w:ind w:firstLine="0"/>
              <w:jc w:val="center"/>
            </w:pPr>
            <w:r>
              <w:rPr>
                <w:b w:val="0"/>
                <w:i w:val="0"/>
                <w:sz w:val="20"/>
              </w:rPr>
              <w:t>1 900,0</w:t>
            </w:r>
          </w:p>
        </w:tc>
      </w:tr>
    </w:tbl>
    <w:p>
      <w:pPr>
        <w:spacing w:after="180"/>
        <w:ind w:firstLine="0"/>
      </w:pPr>
      <w:r>
        <w:rPr>
          <w:i/>
          <w:sz w:val="20"/>
        </w:rPr>
        <w:t>Источник: аналитический центр по данным ценовых агентств (Asian Metal, Argus, Fastmarkets, SMM); 2025 г. — оценка среднегодовой</w:t>
      </w:r>
    </w:p>
    <w:p>
      <w:pPr>
        <w:keepNext/>
        <w:spacing w:before="160" w:after="60"/>
        <w:ind w:firstLine="0"/>
        <w:jc w:val="left"/>
      </w:pPr>
      <w:r>
        <w:rPr>
          <w:b/>
          <w:sz w:val="22"/>
        </w:rPr>
        <w:t>Рисунок 32. Динамика цен на оксид NdPr, 2010–2025 гг., $/кг</w:t>
      </w:r>
    </w:p>
    <w:p>
      <w:pPr>
        <w:ind w:firstLine="0"/>
        <w:jc w:val="center"/>
      </w:pPr>
      <w:r>
        <w:drawing>
          <wp:inline xmlns:a="http://schemas.openxmlformats.org/drawingml/2006/main" xmlns:pic="http://schemas.openxmlformats.org/drawingml/2006/picture">
            <wp:extent cx="5580000" cy="2751559"/>
            <wp:docPr id="32" name="Picture 32"/>
            <wp:cNvGraphicFramePr>
              <a:graphicFrameLocks noChangeAspect="1"/>
            </wp:cNvGraphicFramePr>
            <a:graphic>
              <a:graphicData uri="http://schemas.openxmlformats.org/drawingml/2006/picture">
                <pic:pic>
                  <pic:nvPicPr>
                    <pic:cNvPr id="0" name="fig32.png"/>
                    <pic:cNvPicPr/>
                  </pic:nvPicPr>
                  <pic:blipFill>
                    <a:blip r:embed="rId42"/>
                    <a:stretch>
                      <a:fillRect/>
                    </a:stretch>
                  </pic:blipFill>
                  <pic:spPr>
                    <a:xfrm>
                      <a:off x="0" y="0"/>
                      <a:ext cx="5580000" cy="2751559"/>
                    </a:xfrm>
                    <a:prstGeom prst="rect"/>
                  </pic:spPr>
                </pic:pic>
              </a:graphicData>
            </a:graphic>
          </wp:inline>
        </w:drawing>
      </w:r>
    </w:p>
    <w:p>
      <w:pPr>
        <w:spacing w:after="180"/>
        <w:ind w:firstLine="0"/>
      </w:pPr>
      <w:r>
        <w:rPr>
          <w:i/>
          <w:sz w:val="20"/>
        </w:rPr>
        <w:t>Источник: аналитический центр по данным ценовых агентств</w:t>
      </w:r>
    </w:p>
    <w:p>
      <w:pPr>
        <w:keepNext/>
        <w:spacing w:before="160" w:after="60"/>
        <w:ind w:firstLine="0"/>
        <w:jc w:val="left"/>
      </w:pPr>
      <w:r>
        <w:rPr>
          <w:b/>
          <w:sz w:val="22"/>
        </w:rPr>
        <w:t>Рисунок 33. Динамика цен на оксиды диспрозия и тербия, 2010–2025 гг., $/кг</w:t>
      </w:r>
    </w:p>
    <w:p>
      <w:pPr>
        <w:ind w:firstLine="0"/>
        <w:jc w:val="center"/>
      </w:pPr>
      <w:r>
        <w:drawing>
          <wp:inline xmlns:a="http://schemas.openxmlformats.org/drawingml/2006/main" xmlns:pic="http://schemas.openxmlformats.org/drawingml/2006/picture">
            <wp:extent cx="5580000" cy="2725304"/>
            <wp:docPr id="33" name="Picture 33"/>
            <wp:cNvGraphicFramePr>
              <a:graphicFrameLocks noChangeAspect="1"/>
            </wp:cNvGraphicFramePr>
            <a:graphic>
              <a:graphicData uri="http://schemas.openxmlformats.org/drawingml/2006/picture">
                <pic:pic>
                  <pic:nvPicPr>
                    <pic:cNvPr id="0" name="fig33.png"/>
                    <pic:cNvPicPr/>
                  </pic:nvPicPr>
                  <pic:blipFill>
                    <a:blip r:embed="rId43"/>
                    <a:stretch>
                      <a:fillRect/>
                    </a:stretch>
                  </pic:blipFill>
                  <pic:spPr>
                    <a:xfrm>
                      <a:off x="0" y="0"/>
                      <a:ext cx="5580000" cy="2725304"/>
                    </a:xfrm>
                    <a:prstGeom prst="rect"/>
                  </pic:spPr>
                </pic:pic>
              </a:graphicData>
            </a:graphic>
          </wp:inline>
        </w:drawing>
      </w:r>
    </w:p>
    <w:p>
      <w:pPr>
        <w:spacing w:after="180"/>
        <w:ind w:firstLine="0"/>
      </w:pPr>
      <w:r>
        <w:rPr>
          <w:i/>
          <w:sz w:val="20"/>
        </w:rPr>
        <w:t>Источник: аналитический центр по данным ценовых агентств</w:t>
      </w:r>
    </w:p>
    <w:p>
      <w:pPr>
        <w:keepNext/>
        <w:spacing w:before="160" w:after="60"/>
        <w:ind w:firstLine="0"/>
        <w:jc w:val="left"/>
      </w:pPr>
      <w:r>
        <w:rPr>
          <w:b/>
          <w:sz w:val="22"/>
        </w:rPr>
        <w:t>Рисунок 34. Динамика цен на оксиды лантана и церия, 2010–2025 гг., $/кг</w:t>
      </w:r>
    </w:p>
    <w:p>
      <w:pPr>
        <w:ind w:firstLine="0"/>
        <w:jc w:val="center"/>
      </w:pPr>
      <w:r>
        <w:drawing>
          <wp:inline xmlns:a="http://schemas.openxmlformats.org/drawingml/2006/main" xmlns:pic="http://schemas.openxmlformats.org/drawingml/2006/picture">
            <wp:extent cx="5580000" cy="2729348"/>
            <wp:docPr id="34" name="Picture 34"/>
            <wp:cNvGraphicFramePr>
              <a:graphicFrameLocks noChangeAspect="1"/>
            </wp:cNvGraphicFramePr>
            <a:graphic>
              <a:graphicData uri="http://schemas.openxmlformats.org/drawingml/2006/picture">
                <pic:pic>
                  <pic:nvPicPr>
                    <pic:cNvPr id="0" name="fig34.png"/>
                    <pic:cNvPicPr/>
                  </pic:nvPicPr>
                  <pic:blipFill>
                    <a:blip r:embed="rId44"/>
                    <a:stretch>
                      <a:fillRect/>
                    </a:stretch>
                  </pic:blipFill>
                  <pic:spPr>
                    <a:xfrm>
                      <a:off x="0" y="0"/>
                      <a:ext cx="5580000" cy="2729348"/>
                    </a:xfrm>
                    <a:prstGeom prst="rect"/>
                  </pic:spPr>
                </pic:pic>
              </a:graphicData>
            </a:graphic>
          </wp:inline>
        </w:drawing>
      </w:r>
    </w:p>
    <w:p>
      <w:pPr>
        <w:spacing w:after="180"/>
        <w:ind w:firstLine="0"/>
      </w:pPr>
      <w:r>
        <w:rPr>
          <w:i/>
          <w:sz w:val="20"/>
        </w:rPr>
        <w:t>Источник: аналитический центр по данным ценовых агентств</w:t>
      </w:r>
    </w:p>
    <w:p>
      <w:r>
        <w:rPr>
          <w:b w:val="0"/>
          <w:i w:val="0"/>
        </w:rPr>
        <w:t>Сопоставление рисунков 32–34 наглядно иллюстрирует расслоение рынка. Цены на лантан и церий после кризиса 2011 г. не восстановились и стабилизировались на уровне, в 25–30 раз ниже пикового и в 20–25 раз ниже уровня 2010 г. Фактически эти элементы перешли в категорию отходов производства, стоимость которых не покрывает затрат на разделение и хранение. Напротив, цены на неодим, празеодим, диспрозий и тербий сохраняют высокий уровень и подвержены циклическим колебаниям с амплитудой 2,5–3 раза.</w:t>
      </w:r>
    </w:p>
    <w:p>
      <w:pPr>
        <w:pStyle w:val="Heading2"/>
      </w:pPr>
      <w:r>
        <w:rPr>
          <w:b w:val="0"/>
          <w:i w:val="0"/>
        </w:rPr>
        <w:t>6.3. Корзиночная стоимость и её значение для оценки проектов</w:t>
      </w:r>
    </w:p>
    <w:p>
      <w:r>
        <w:rPr>
          <w:b w:val="0"/>
          <w:i w:val="0"/>
        </w:rPr>
        <w:t xml:space="preserve">Для сопоставления месторождений с различной корзиной применяется показатель </w:t>
      </w:r>
      <w:r>
        <w:rPr>
          <w:b/>
          <w:i w:val="0"/>
        </w:rPr>
        <w:t>корзиночной стоимости</w:t>
      </w:r>
      <w:r>
        <w:rPr>
          <w:b w:val="0"/>
          <w:i w:val="0"/>
        </w:rPr>
        <w:t xml:space="preserve"> (basket value) — расчётная выручка от реализации всей суммы разделённых оксидов, содержащихся в тонне TREO данного сырья, при текущих ценах. Показатель является ключевым при оценке инвестиционной привлекательности проекта.</w:t>
      </w:r>
    </w:p>
    <w:p>
      <w:pPr>
        <w:keepNext/>
        <w:spacing w:before="160" w:after="60"/>
        <w:ind w:firstLine="0"/>
        <w:jc w:val="left"/>
      </w:pPr>
      <w:r>
        <w:rPr>
          <w:b/>
          <w:sz w:val="22"/>
        </w:rPr>
        <w:t>Таблица 44. Расчёт корзиночной стоимости для основных типов сырья при ценах 2024 и 2025 гг., $/кг TREO</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Тип сырья</w:t>
            </w:r>
          </w:p>
        </w:tc>
        <w:tc>
          <w:tcPr>
            <w:tcW w:type="dxa" w:w="1995"/>
            <w:shd w:val="clear" w:fill="DCE6F1"/>
          </w:tcPr>
          <w:p>
            <w:pPr>
              <w:spacing w:after="0" w:line="240" w:lineRule="auto"/>
              <w:ind w:firstLine="0"/>
              <w:jc w:val="center"/>
            </w:pPr>
            <w:r>
              <w:rPr>
                <w:b/>
                <w:i w:val="0"/>
                <w:sz w:val="20"/>
              </w:rPr>
              <w:t>Корзина 2024, $/кг</w:t>
            </w:r>
          </w:p>
        </w:tc>
        <w:tc>
          <w:tcPr>
            <w:tcW w:type="dxa" w:w="1995"/>
            <w:shd w:val="clear" w:fill="DCE6F1"/>
          </w:tcPr>
          <w:p>
            <w:pPr>
              <w:spacing w:after="0" w:line="240" w:lineRule="auto"/>
              <w:ind w:firstLine="0"/>
              <w:jc w:val="center"/>
            </w:pPr>
            <w:r>
              <w:rPr>
                <w:b/>
                <w:i w:val="0"/>
                <w:sz w:val="20"/>
              </w:rPr>
              <w:t>Корзина 2025, $/кг</w:t>
            </w:r>
          </w:p>
        </w:tc>
        <w:tc>
          <w:tcPr>
            <w:tcW w:type="dxa" w:w="1995"/>
            <w:shd w:val="clear" w:fill="DCE6F1"/>
          </w:tcPr>
          <w:p>
            <w:pPr>
              <w:spacing w:after="0" w:line="240" w:lineRule="auto"/>
              <w:ind w:firstLine="0"/>
              <w:jc w:val="center"/>
            </w:pPr>
            <w:r>
              <w:rPr>
                <w:b/>
                <w:i w:val="0"/>
                <w:sz w:val="20"/>
              </w:rPr>
              <w:t>Доля NdPr в стоимости, %</w:t>
            </w:r>
          </w:p>
        </w:tc>
        <w:tc>
          <w:tcPr>
            <w:tcW w:type="dxa" w:w="1995"/>
            <w:shd w:val="clear" w:fill="DCE6F1"/>
          </w:tcPr>
          <w:p>
            <w:pPr>
              <w:spacing w:after="0" w:line="240" w:lineRule="auto"/>
              <w:ind w:firstLine="0"/>
              <w:jc w:val="center"/>
            </w:pPr>
            <w:r>
              <w:rPr>
                <w:b/>
                <w:i w:val="0"/>
                <w:sz w:val="20"/>
              </w:rPr>
              <w:t>Доля Dy+Tb, %</w:t>
            </w:r>
          </w:p>
        </w:tc>
      </w:tr>
      <w:tr>
        <w:tc>
          <w:tcPr>
            <w:tcW w:type="dxa" w:w="1995"/>
          </w:tcPr>
          <w:p>
            <w:pPr>
              <w:spacing w:after="0" w:line="240" w:lineRule="auto"/>
              <w:ind w:firstLine="0"/>
              <w:jc w:val="left"/>
            </w:pPr>
            <w:r>
              <w:rPr>
                <w:b w:val="0"/>
                <w:i w:val="0"/>
                <w:sz w:val="20"/>
              </w:rPr>
              <w:t>Бастнезит Mountain Pass</w:t>
            </w:r>
          </w:p>
        </w:tc>
        <w:tc>
          <w:tcPr>
            <w:tcW w:type="dxa" w:w="1995"/>
          </w:tcPr>
          <w:p>
            <w:pPr>
              <w:spacing w:after="0" w:line="240" w:lineRule="auto"/>
              <w:ind w:firstLine="0"/>
              <w:jc w:val="center"/>
            </w:pPr>
            <w:r>
              <w:rPr>
                <w:b w:val="0"/>
                <w:i w:val="0"/>
                <w:sz w:val="20"/>
              </w:rPr>
              <w:t>10,7</w:t>
            </w:r>
          </w:p>
        </w:tc>
        <w:tc>
          <w:tcPr>
            <w:tcW w:type="dxa" w:w="1995"/>
          </w:tcPr>
          <w:p>
            <w:pPr>
              <w:spacing w:after="0" w:line="240" w:lineRule="auto"/>
              <w:ind w:firstLine="0"/>
              <w:jc w:val="center"/>
            </w:pPr>
            <w:r>
              <w:rPr>
                <w:b w:val="0"/>
                <w:i w:val="0"/>
                <w:sz w:val="20"/>
              </w:rPr>
              <w:t>13,5</w:t>
            </w:r>
          </w:p>
        </w:tc>
        <w:tc>
          <w:tcPr>
            <w:tcW w:type="dxa" w:w="1995"/>
          </w:tcPr>
          <w:p>
            <w:pPr>
              <w:spacing w:after="0" w:line="240" w:lineRule="auto"/>
              <w:ind w:firstLine="0"/>
              <w:jc w:val="center"/>
            </w:pPr>
            <w:r>
              <w:rPr>
                <w:b w:val="0"/>
                <w:i w:val="0"/>
                <w:sz w:val="20"/>
              </w:rPr>
              <w:t>94,4</w:t>
            </w:r>
          </w:p>
        </w:tc>
        <w:tc>
          <w:tcPr>
            <w:tcW w:type="dxa" w:w="1995"/>
          </w:tcPr>
          <w:p>
            <w:pPr>
              <w:spacing w:after="0" w:line="240" w:lineRule="auto"/>
              <w:ind w:firstLine="0"/>
              <w:jc w:val="center"/>
            </w:pPr>
            <w:r>
              <w:rPr>
                <w:b w:val="0"/>
                <w:i w:val="0"/>
                <w:sz w:val="20"/>
              </w:rPr>
              <w:t>1,4</w:t>
            </w:r>
          </w:p>
        </w:tc>
      </w:tr>
      <w:tr>
        <w:tc>
          <w:tcPr>
            <w:tcW w:type="dxa" w:w="1995"/>
          </w:tcPr>
          <w:p>
            <w:pPr>
              <w:spacing w:after="0" w:line="240" w:lineRule="auto"/>
              <w:ind w:firstLine="0"/>
              <w:jc w:val="left"/>
            </w:pPr>
            <w:r>
              <w:rPr>
                <w:b w:val="0"/>
                <w:i w:val="0"/>
                <w:sz w:val="20"/>
              </w:rPr>
              <w:t>Бастнезит Bayan Obo</w:t>
            </w:r>
          </w:p>
        </w:tc>
        <w:tc>
          <w:tcPr>
            <w:tcW w:type="dxa" w:w="1995"/>
          </w:tcPr>
          <w:p>
            <w:pPr>
              <w:spacing w:after="0" w:line="240" w:lineRule="auto"/>
              <w:ind w:firstLine="0"/>
              <w:jc w:val="center"/>
            </w:pPr>
            <w:r>
              <w:rPr>
                <w:b w:val="0"/>
                <w:i w:val="0"/>
                <w:sz w:val="20"/>
              </w:rPr>
              <w:t>14,1</w:t>
            </w:r>
          </w:p>
        </w:tc>
        <w:tc>
          <w:tcPr>
            <w:tcW w:type="dxa" w:w="1995"/>
          </w:tcPr>
          <w:p>
            <w:pPr>
              <w:spacing w:after="0" w:line="240" w:lineRule="auto"/>
              <w:ind w:firstLine="0"/>
              <w:jc w:val="center"/>
            </w:pPr>
            <w:r>
              <w:rPr>
                <w:b w:val="0"/>
                <w:i w:val="0"/>
                <w:sz w:val="20"/>
              </w:rPr>
              <w:t>17,8</w:t>
            </w:r>
          </w:p>
        </w:tc>
        <w:tc>
          <w:tcPr>
            <w:tcW w:type="dxa" w:w="1995"/>
          </w:tcPr>
          <w:p>
            <w:pPr>
              <w:spacing w:after="0" w:line="240" w:lineRule="auto"/>
              <w:ind w:firstLine="0"/>
              <w:jc w:val="center"/>
            </w:pPr>
            <w:r>
              <w:rPr>
                <w:b w:val="0"/>
                <w:i w:val="0"/>
                <w:sz w:val="20"/>
              </w:rPr>
              <w:t>92,7</w:t>
            </w:r>
          </w:p>
        </w:tc>
        <w:tc>
          <w:tcPr>
            <w:tcW w:type="dxa" w:w="1995"/>
          </w:tcPr>
          <w:p>
            <w:pPr>
              <w:spacing w:after="0" w:line="240" w:lineRule="auto"/>
              <w:ind w:firstLine="0"/>
              <w:jc w:val="center"/>
            </w:pPr>
            <w:r>
              <w:rPr>
                <w:b w:val="0"/>
                <w:i w:val="0"/>
                <w:sz w:val="20"/>
              </w:rPr>
              <w:t>3,9</w:t>
            </w:r>
          </w:p>
        </w:tc>
      </w:tr>
      <w:tr>
        <w:tc>
          <w:tcPr>
            <w:tcW w:type="dxa" w:w="1995"/>
          </w:tcPr>
          <w:p>
            <w:pPr>
              <w:spacing w:after="0" w:line="240" w:lineRule="auto"/>
              <w:ind w:firstLine="0"/>
              <w:jc w:val="left"/>
            </w:pPr>
            <w:r>
              <w:rPr>
                <w:b w:val="0"/>
                <w:i w:val="0"/>
                <w:sz w:val="20"/>
              </w:rPr>
              <w:t>Кора выветривания Томтор</w:t>
            </w:r>
          </w:p>
        </w:tc>
        <w:tc>
          <w:tcPr>
            <w:tcW w:type="dxa" w:w="1995"/>
          </w:tcPr>
          <w:p>
            <w:pPr>
              <w:spacing w:after="0" w:line="240" w:lineRule="auto"/>
              <w:ind w:firstLine="0"/>
              <w:jc w:val="center"/>
            </w:pPr>
            <w:r>
              <w:rPr>
                <w:b w:val="0"/>
                <w:i w:val="0"/>
                <w:sz w:val="20"/>
              </w:rPr>
              <w:t>15,9</w:t>
            </w:r>
          </w:p>
        </w:tc>
        <w:tc>
          <w:tcPr>
            <w:tcW w:type="dxa" w:w="1995"/>
          </w:tcPr>
          <w:p>
            <w:pPr>
              <w:spacing w:after="0" w:line="240" w:lineRule="auto"/>
              <w:ind w:firstLine="0"/>
              <w:jc w:val="center"/>
            </w:pPr>
            <w:r>
              <w:rPr>
                <w:b w:val="0"/>
                <w:i w:val="0"/>
                <w:sz w:val="20"/>
              </w:rPr>
              <w:t>21,4</w:t>
            </w:r>
          </w:p>
        </w:tc>
        <w:tc>
          <w:tcPr>
            <w:tcW w:type="dxa" w:w="1995"/>
          </w:tcPr>
          <w:p>
            <w:pPr>
              <w:spacing w:after="0" w:line="240" w:lineRule="auto"/>
              <w:ind w:firstLine="0"/>
              <w:jc w:val="center"/>
            </w:pPr>
            <w:r>
              <w:rPr>
                <w:b w:val="0"/>
                <w:i w:val="0"/>
                <w:sz w:val="20"/>
              </w:rPr>
              <w:t>81,5</w:t>
            </w:r>
          </w:p>
        </w:tc>
        <w:tc>
          <w:tcPr>
            <w:tcW w:type="dxa" w:w="1995"/>
          </w:tcPr>
          <w:p>
            <w:pPr>
              <w:spacing w:after="0" w:line="240" w:lineRule="auto"/>
              <w:ind w:firstLine="0"/>
              <w:jc w:val="center"/>
            </w:pPr>
            <w:r>
              <w:rPr>
                <w:b w:val="0"/>
                <w:i w:val="0"/>
                <w:sz w:val="20"/>
              </w:rPr>
              <w:t>15,2</w:t>
            </w:r>
          </w:p>
        </w:tc>
      </w:tr>
      <w:tr>
        <w:tc>
          <w:tcPr>
            <w:tcW w:type="dxa" w:w="1995"/>
          </w:tcPr>
          <w:p>
            <w:pPr>
              <w:spacing w:after="0" w:line="240" w:lineRule="auto"/>
              <w:ind w:firstLine="0"/>
              <w:jc w:val="left"/>
            </w:pPr>
            <w:r>
              <w:rPr>
                <w:b w:val="0"/>
                <w:i w:val="0"/>
                <w:sz w:val="20"/>
              </w:rPr>
              <w:t>Монацит россыпей</w:t>
            </w:r>
          </w:p>
        </w:tc>
        <w:tc>
          <w:tcPr>
            <w:tcW w:type="dxa" w:w="1995"/>
          </w:tcPr>
          <w:p>
            <w:pPr>
              <w:spacing w:after="0" w:line="240" w:lineRule="auto"/>
              <w:ind w:firstLine="0"/>
              <w:jc w:val="center"/>
            </w:pPr>
            <w:r>
              <w:rPr>
                <w:b w:val="0"/>
                <w:i w:val="0"/>
                <w:sz w:val="20"/>
              </w:rPr>
              <w:t>15,4</w:t>
            </w:r>
          </w:p>
        </w:tc>
        <w:tc>
          <w:tcPr>
            <w:tcW w:type="dxa" w:w="1995"/>
          </w:tcPr>
          <w:p>
            <w:pPr>
              <w:spacing w:after="0" w:line="240" w:lineRule="auto"/>
              <w:ind w:firstLine="0"/>
              <w:jc w:val="center"/>
            </w:pPr>
            <w:r>
              <w:rPr>
                <w:b w:val="0"/>
                <w:i w:val="0"/>
                <w:sz w:val="20"/>
              </w:rPr>
              <w:t>19,3</w:t>
            </w:r>
          </w:p>
        </w:tc>
        <w:tc>
          <w:tcPr>
            <w:tcW w:type="dxa" w:w="1995"/>
          </w:tcPr>
          <w:p>
            <w:pPr>
              <w:spacing w:after="0" w:line="240" w:lineRule="auto"/>
              <w:ind w:firstLine="0"/>
              <w:jc w:val="center"/>
            </w:pPr>
            <w:r>
              <w:rPr>
                <w:b w:val="0"/>
                <w:i w:val="0"/>
                <w:sz w:val="20"/>
              </w:rPr>
              <w:t>85,3</w:t>
            </w:r>
          </w:p>
        </w:tc>
        <w:tc>
          <w:tcPr>
            <w:tcW w:type="dxa" w:w="1995"/>
          </w:tcPr>
          <w:p>
            <w:pPr>
              <w:spacing w:after="0" w:line="240" w:lineRule="auto"/>
              <w:ind w:firstLine="0"/>
              <w:jc w:val="center"/>
            </w:pPr>
            <w:r>
              <w:rPr>
                <w:b w:val="0"/>
                <w:i w:val="0"/>
                <w:sz w:val="20"/>
              </w:rPr>
              <w:t>11,1</w:t>
            </w:r>
          </w:p>
        </w:tc>
      </w:tr>
      <w:tr>
        <w:tc>
          <w:tcPr>
            <w:tcW w:type="dxa" w:w="1995"/>
          </w:tcPr>
          <w:p>
            <w:pPr>
              <w:spacing w:after="0" w:line="240" w:lineRule="auto"/>
              <w:ind w:firstLine="0"/>
              <w:jc w:val="left"/>
            </w:pPr>
            <w:r>
              <w:rPr>
                <w:b w:val="0"/>
                <w:i w:val="0"/>
                <w:sz w:val="20"/>
              </w:rPr>
              <w:t>Лопарит Ловозеро</w:t>
            </w:r>
          </w:p>
        </w:tc>
        <w:tc>
          <w:tcPr>
            <w:tcW w:type="dxa" w:w="1995"/>
          </w:tcPr>
          <w:p>
            <w:pPr>
              <w:spacing w:after="0" w:line="240" w:lineRule="auto"/>
              <w:ind w:firstLine="0"/>
              <w:jc w:val="center"/>
            </w:pPr>
            <w:r>
              <w:rPr>
                <w:b w:val="0"/>
                <w:i w:val="0"/>
                <w:sz w:val="20"/>
              </w:rPr>
              <w:t>12,3</w:t>
            </w:r>
          </w:p>
        </w:tc>
        <w:tc>
          <w:tcPr>
            <w:tcW w:type="dxa" w:w="1995"/>
          </w:tcPr>
          <w:p>
            <w:pPr>
              <w:spacing w:after="0" w:line="240" w:lineRule="auto"/>
              <w:ind w:firstLine="0"/>
              <w:jc w:val="center"/>
            </w:pPr>
            <w:r>
              <w:rPr>
                <w:b w:val="0"/>
                <w:i w:val="0"/>
                <w:sz w:val="20"/>
              </w:rPr>
              <w:t>15,6</w:t>
            </w:r>
          </w:p>
        </w:tc>
        <w:tc>
          <w:tcPr>
            <w:tcW w:type="dxa" w:w="1995"/>
          </w:tcPr>
          <w:p>
            <w:pPr>
              <w:spacing w:after="0" w:line="240" w:lineRule="auto"/>
              <w:ind w:firstLine="0"/>
              <w:jc w:val="center"/>
            </w:pPr>
            <w:r>
              <w:rPr>
                <w:b w:val="0"/>
                <w:i w:val="0"/>
                <w:sz w:val="20"/>
              </w:rPr>
              <w:t>95,2</w:t>
            </w:r>
          </w:p>
        </w:tc>
        <w:tc>
          <w:tcPr>
            <w:tcW w:type="dxa" w:w="1995"/>
          </w:tcPr>
          <w:p>
            <w:pPr>
              <w:spacing w:after="0" w:line="240" w:lineRule="auto"/>
              <w:ind w:firstLine="0"/>
              <w:jc w:val="center"/>
            </w:pPr>
            <w:r>
              <w:rPr>
                <w:b w:val="0"/>
                <w:i w:val="0"/>
                <w:sz w:val="20"/>
              </w:rPr>
              <w:t>3,3</w:t>
            </w:r>
          </w:p>
        </w:tc>
      </w:tr>
      <w:tr>
        <w:tc>
          <w:tcPr>
            <w:tcW w:type="dxa" w:w="1995"/>
          </w:tcPr>
          <w:p>
            <w:pPr>
              <w:spacing w:after="0" w:line="240" w:lineRule="auto"/>
              <w:ind w:firstLine="0"/>
              <w:jc w:val="left"/>
            </w:pPr>
            <w:r>
              <w:rPr>
                <w:b w:val="0"/>
                <w:i w:val="0"/>
                <w:sz w:val="20"/>
              </w:rPr>
              <w:t>Ионно-адсорбц. глины (тяж.)</w:t>
            </w:r>
          </w:p>
        </w:tc>
        <w:tc>
          <w:tcPr>
            <w:tcW w:type="dxa" w:w="1995"/>
          </w:tcPr>
          <w:p>
            <w:pPr>
              <w:spacing w:after="0" w:line="240" w:lineRule="auto"/>
              <w:ind w:firstLine="0"/>
              <w:jc w:val="center"/>
            </w:pPr>
            <w:r>
              <w:rPr>
                <w:b w:val="0"/>
                <w:i w:val="0"/>
                <w:sz w:val="20"/>
              </w:rPr>
              <w:t>45,8</w:t>
            </w:r>
          </w:p>
        </w:tc>
        <w:tc>
          <w:tcPr>
            <w:tcW w:type="dxa" w:w="1995"/>
          </w:tcPr>
          <w:p>
            <w:pPr>
              <w:spacing w:after="0" w:line="240" w:lineRule="auto"/>
              <w:ind w:firstLine="0"/>
              <w:jc w:val="center"/>
            </w:pPr>
            <w:r>
              <w:rPr>
                <w:b w:val="0"/>
                <w:i w:val="0"/>
                <w:sz w:val="20"/>
              </w:rPr>
              <w:t>74,3</w:t>
            </w:r>
          </w:p>
        </w:tc>
        <w:tc>
          <w:tcPr>
            <w:tcW w:type="dxa" w:w="1995"/>
          </w:tcPr>
          <w:p>
            <w:pPr>
              <w:spacing w:after="0" w:line="240" w:lineRule="auto"/>
              <w:ind w:firstLine="0"/>
              <w:jc w:val="center"/>
            </w:pPr>
            <w:r>
              <w:rPr>
                <w:b w:val="0"/>
                <w:i w:val="0"/>
                <w:sz w:val="20"/>
              </w:rPr>
              <w:t>6,9</w:t>
            </w:r>
          </w:p>
        </w:tc>
        <w:tc>
          <w:tcPr>
            <w:tcW w:type="dxa" w:w="1995"/>
          </w:tcPr>
          <w:p>
            <w:pPr>
              <w:spacing w:after="0" w:line="240" w:lineRule="auto"/>
              <w:ind w:firstLine="0"/>
              <w:jc w:val="center"/>
            </w:pPr>
            <w:r>
              <w:rPr>
                <w:b w:val="0"/>
                <w:i w:val="0"/>
                <w:sz w:val="20"/>
              </w:rPr>
              <w:t>84,6</w:t>
            </w:r>
          </w:p>
        </w:tc>
      </w:tr>
      <w:tr>
        <w:tc>
          <w:tcPr>
            <w:tcW w:type="dxa" w:w="1995"/>
          </w:tcPr>
          <w:p>
            <w:pPr>
              <w:spacing w:after="0" w:line="240" w:lineRule="auto"/>
              <w:ind w:firstLine="0"/>
              <w:jc w:val="left"/>
            </w:pPr>
            <w:r>
              <w:rPr>
                <w:b w:val="0"/>
                <w:i w:val="0"/>
                <w:sz w:val="20"/>
              </w:rPr>
              <w:t>Апатит Хибин</w:t>
            </w:r>
          </w:p>
        </w:tc>
        <w:tc>
          <w:tcPr>
            <w:tcW w:type="dxa" w:w="1995"/>
          </w:tcPr>
          <w:p>
            <w:pPr>
              <w:spacing w:after="0" w:line="240" w:lineRule="auto"/>
              <w:ind w:firstLine="0"/>
              <w:jc w:val="center"/>
            </w:pPr>
            <w:r>
              <w:rPr>
                <w:b w:val="0"/>
                <w:i w:val="0"/>
                <w:sz w:val="20"/>
              </w:rPr>
              <w:t>11,8</w:t>
            </w:r>
          </w:p>
        </w:tc>
        <w:tc>
          <w:tcPr>
            <w:tcW w:type="dxa" w:w="1995"/>
          </w:tcPr>
          <w:p>
            <w:pPr>
              <w:spacing w:after="0" w:line="240" w:lineRule="auto"/>
              <w:ind w:firstLine="0"/>
              <w:jc w:val="center"/>
            </w:pPr>
            <w:r>
              <w:rPr>
                <w:b w:val="0"/>
                <w:i w:val="0"/>
                <w:sz w:val="20"/>
              </w:rPr>
              <w:t>15,0</w:t>
            </w:r>
          </w:p>
        </w:tc>
        <w:tc>
          <w:tcPr>
            <w:tcW w:type="dxa" w:w="1995"/>
          </w:tcPr>
          <w:p>
            <w:pPr>
              <w:spacing w:after="0" w:line="240" w:lineRule="auto"/>
              <w:ind w:firstLine="0"/>
              <w:jc w:val="center"/>
            </w:pPr>
            <w:r>
              <w:rPr>
                <w:b w:val="0"/>
                <w:i w:val="0"/>
                <w:sz w:val="20"/>
              </w:rPr>
              <w:t>89,0</w:t>
            </w:r>
          </w:p>
        </w:tc>
        <w:tc>
          <w:tcPr>
            <w:tcW w:type="dxa" w:w="1995"/>
          </w:tcPr>
          <w:p>
            <w:pPr>
              <w:spacing w:after="0" w:line="240" w:lineRule="auto"/>
              <w:ind w:firstLine="0"/>
              <w:jc w:val="center"/>
            </w:pPr>
            <w:r>
              <w:rPr>
                <w:b w:val="0"/>
                <w:i w:val="0"/>
                <w:sz w:val="20"/>
              </w:rPr>
              <w:t>5,5</w:t>
            </w:r>
          </w:p>
        </w:tc>
      </w:tr>
      <w:tr>
        <w:tc>
          <w:tcPr>
            <w:tcW w:type="dxa" w:w="1995"/>
          </w:tcPr>
          <w:p>
            <w:pPr>
              <w:spacing w:after="0" w:line="240" w:lineRule="auto"/>
              <w:ind w:firstLine="0"/>
              <w:jc w:val="left"/>
            </w:pPr>
            <w:r>
              <w:rPr>
                <w:b w:val="0"/>
                <w:i w:val="0"/>
                <w:sz w:val="20"/>
              </w:rPr>
              <w:t>Эвдиалит Ловозеро</w:t>
            </w:r>
          </w:p>
        </w:tc>
        <w:tc>
          <w:tcPr>
            <w:tcW w:type="dxa" w:w="1995"/>
          </w:tcPr>
          <w:p>
            <w:pPr>
              <w:spacing w:after="0" w:line="240" w:lineRule="auto"/>
              <w:ind w:firstLine="0"/>
              <w:jc w:val="center"/>
            </w:pPr>
            <w:r>
              <w:rPr>
                <w:b w:val="0"/>
                <w:i w:val="0"/>
                <w:sz w:val="20"/>
              </w:rPr>
              <w:t>18,6</w:t>
            </w:r>
          </w:p>
        </w:tc>
        <w:tc>
          <w:tcPr>
            <w:tcW w:type="dxa" w:w="1995"/>
          </w:tcPr>
          <w:p>
            <w:pPr>
              <w:spacing w:after="0" w:line="240" w:lineRule="auto"/>
              <w:ind w:firstLine="0"/>
              <w:jc w:val="center"/>
            </w:pPr>
            <w:r>
              <w:rPr>
                <w:b w:val="0"/>
                <w:i w:val="0"/>
                <w:sz w:val="20"/>
              </w:rPr>
              <w:t>26,4</w:t>
            </w:r>
          </w:p>
        </w:tc>
        <w:tc>
          <w:tcPr>
            <w:tcW w:type="dxa" w:w="1995"/>
          </w:tcPr>
          <w:p>
            <w:pPr>
              <w:spacing w:after="0" w:line="240" w:lineRule="auto"/>
              <w:ind w:firstLine="0"/>
              <w:jc w:val="center"/>
            </w:pPr>
            <w:r>
              <w:rPr>
                <w:b w:val="0"/>
                <w:i w:val="0"/>
                <w:sz w:val="20"/>
              </w:rPr>
              <w:t>73,0</w:t>
            </w:r>
          </w:p>
        </w:tc>
        <w:tc>
          <w:tcPr>
            <w:tcW w:type="dxa" w:w="1995"/>
          </w:tcPr>
          <w:p>
            <w:pPr>
              <w:spacing w:after="0" w:line="240" w:lineRule="auto"/>
              <w:ind w:firstLine="0"/>
              <w:jc w:val="center"/>
            </w:pPr>
            <w:r>
              <w:rPr>
                <w:b w:val="0"/>
                <w:i w:val="0"/>
                <w:sz w:val="20"/>
              </w:rPr>
              <w:t>19,8</w:t>
            </w:r>
          </w:p>
        </w:tc>
      </w:tr>
    </w:tbl>
    <w:p>
      <w:pPr>
        <w:spacing w:after="180"/>
        <w:ind w:firstLine="0"/>
      </w:pPr>
      <w:r>
        <w:rPr>
          <w:i/>
          <w:sz w:val="20"/>
        </w:rPr>
        <w:t>Источник: расчёт аналитического центра на основе данных табл. 4 и табл. 43</w:t>
      </w:r>
    </w:p>
    <w:p>
      <w:pPr>
        <w:keepNext/>
        <w:spacing w:before="160" w:after="60"/>
        <w:ind w:firstLine="0"/>
        <w:jc w:val="left"/>
      </w:pPr>
      <w:r>
        <w:rPr>
          <w:b/>
          <w:sz w:val="22"/>
        </w:rPr>
        <w:t>Рисунок 35. Корзиночная стоимость различных типов редкоземельного сырья, $/кг TREO</w:t>
      </w:r>
    </w:p>
    <w:p>
      <w:pPr>
        <w:ind w:firstLine="0"/>
        <w:jc w:val="center"/>
      </w:pPr>
      <w:r>
        <w:drawing>
          <wp:inline xmlns:a="http://schemas.openxmlformats.org/drawingml/2006/main" xmlns:pic="http://schemas.openxmlformats.org/drawingml/2006/picture">
            <wp:extent cx="5580000" cy="2438967"/>
            <wp:docPr id="35" name="Picture 35"/>
            <wp:cNvGraphicFramePr>
              <a:graphicFrameLocks noChangeAspect="1"/>
            </wp:cNvGraphicFramePr>
            <a:graphic>
              <a:graphicData uri="http://schemas.openxmlformats.org/drawingml/2006/picture">
                <pic:pic>
                  <pic:nvPicPr>
                    <pic:cNvPr id="0" name="fig35.png"/>
                    <pic:cNvPicPr/>
                  </pic:nvPicPr>
                  <pic:blipFill>
                    <a:blip r:embed="rId45"/>
                    <a:stretch>
                      <a:fillRect/>
                    </a:stretch>
                  </pic:blipFill>
                  <pic:spPr>
                    <a:xfrm>
                      <a:off x="0" y="0"/>
                      <a:ext cx="5580000" cy="2438967"/>
                    </a:xfrm>
                    <a:prstGeom prst="rect"/>
                  </pic:spPr>
                </pic:pic>
              </a:graphicData>
            </a:graphic>
          </wp:inline>
        </w:drawing>
      </w:r>
    </w:p>
    <w:p>
      <w:pPr>
        <w:spacing w:after="180"/>
        <w:ind w:firstLine="0"/>
      </w:pPr>
      <w:r>
        <w:rPr>
          <w:i/>
          <w:sz w:val="20"/>
        </w:rPr>
        <w:t>Источник: расчёт аналитического центра (табл. 44)</w:t>
      </w:r>
    </w:p>
    <w:p>
      <w:r>
        <w:rPr>
          <w:b w:val="0"/>
          <w:i w:val="0"/>
        </w:rPr>
        <w:t>Расчёт демонстрирует критическую зависимость экономики проекта от состава корзины. Ионно-адсорбционное сырьё при содержании TREO в 50–100 раз меньшем, чем в бастнезите, обеспечивает корзиночную стоимость в 4–5 раз более высокую. Соответственно, объекты лёгкой корзины — включая большинство российских — конкурентоспособны лишь при низкой себестоимости добычи и переработки, тогда как объекты с повышенным содержанием тяжёлой группы обладают значительным запасом прочности.</w:t>
      </w:r>
    </w:p>
    <w:p>
      <w:r>
        <w:rPr>
          <w:b w:val="0"/>
          <w:i w:val="0"/>
        </w:rPr>
        <w:t>Из таблицы 44 следует также важный вывод для оценки российских проектов: корзина руд Томтора (21,4 долл./кг при ценах 2025 г.) существенно превосходит корзину лопарита и бастнезита за счёт 15-процентной доли тяжёлой группы в стоимости, что является одним из основных аргументов в пользу приоритетного освоения этого объекта.</w:t>
      </w:r>
    </w:p>
    <w:p>
      <w:pPr>
        <w:pStyle w:val="Heading2"/>
      </w:pPr>
      <w:r>
        <w:rPr>
          <w:b w:val="0"/>
          <w:i w:val="0"/>
        </w:rPr>
        <w:t>6.4. Ценовой разрыв между внутрикитайским и внешним рынками</w:t>
      </w:r>
    </w:p>
    <w:p>
      <w:r>
        <w:rPr>
          <w:b w:val="0"/>
          <w:i w:val="0"/>
        </w:rPr>
        <w:t>Наиболее значимым явлением 2025 г. стало формирование устойчивого и беспрецедентного по масштабу ценового разрыва по элементам, включённым в перечень экспортного контроля КНР.</w:t>
      </w:r>
    </w:p>
    <w:p>
      <w:pPr>
        <w:keepNext/>
        <w:spacing w:before="160" w:after="60"/>
        <w:ind w:firstLine="0"/>
        <w:jc w:val="left"/>
      </w:pPr>
      <w:r>
        <w:rPr>
          <w:b/>
          <w:sz w:val="22"/>
        </w:rPr>
        <w:t>Таблица 45. Сопоставление внутрикитайских и внешних цен на редкоземельные оксиды, IV квартал 2025 г., $/кг</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Оксид</w:t>
            </w:r>
          </w:p>
        </w:tc>
        <w:tc>
          <w:tcPr>
            <w:tcW w:type="dxa" w:w="1995"/>
            <w:shd w:val="clear" w:fill="DCE6F1"/>
          </w:tcPr>
          <w:p>
            <w:pPr>
              <w:spacing w:after="0" w:line="240" w:lineRule="auto"/>
              <w:ind w:firstLine="0"/>
              <w:jc w:val="center"/>
            </w:pPr>
            <w:r>
              <w:rPr>
                <w:b/>
                <w:i w:val="0"/>
                <w:sz w:val="20"/>
              </w:rPr>
              <w:t>Цена в КНР</w:t>
            </w:r>
          </w:p>
        </w:tc>
        <w:tc>
          <w:tcPr>
            <w:tcW w:type="dxa" w:w="1995"/>
            <w:shd w:val="clear" w:fill="DCE6F1"/>
          </w:tcPr>
          <w:p>
            <w:pPr>
              <w:spacing w:after="0" w:line="240" w:lineRule="auto"/>
              <w:ind w:firstLine="0"/>
              <w:jc w:val="center"/>
            </w:pPr>
            <w:r>
              <w:rPr>
                <w:b/>
                <w:i w:val="0"/>
                <w:sz w:val="20"/>
              </w:rPr>
              <w:t>Цена вне КНР</w:t>
            </w:r>
          </w:p>
        </w:tc>
        <w:tc>
          <w:tcPr>
            <w:tcW w:type="dxa" w:w="1995"/>
            <w:shd w:val="clear" w:fill="DCE6F1"/>
          </w:tcPr>
          <w:p>
            <w:pPr>
              <w:spacing w:after="0" w:line="240" w:lineRule="auto"/>
              <w:ind w:firstLine="0"/>
              <w:jc w:val="center"/>
            </w:pPr>
            <w:r>
              <w:rPr>
                <w:b/>
                <w:i w:val="0"/>
                <w:sz w:val="20"/>
              </w:rPr>
              <w:t>Разрыв, раз</w:t>
            </w:r>
          </w:p>
        </w:tc>
        <w:tc>
          <w:tcPr>
            <w:tcW w:type="dxa" w:w="1995"/>
            <w:shd w:val="clear" w:fill="DCE6F1"/>
          </w:tcPr>
          <w:p>
            <w:pPr>
              <w:spacing w:after="0" w:line="240" w:lineRule="auto"/>
              <w:ind w:firstLine="0"/>
              <w:jc w:val="center"/>
            </w:pPr>
            <w:r>
              <w:rPr>
                <w:b/>
                <w:i w:val="0"/>
                <w:sz w:val="20"/>
              </w:rPr>
              <w:t>Статус экспортного контроля</w:t>
            </w:r>
          </w:p>
        </w:tc>
      </w:tr>
      <w:tr>
        <w:tc>
          <w:tcPr>
            <w:tcW w:type="dxa" w:w="1995"/>
          </w:tcPr>
          <w:p>
            <w:pPr>
              <w:spacing w:after="0" w:line="240" w:lineRule="auto"/>
              <w:ind w:firstLine="0"/>
              <w:jc w:val="left"/>
            </w:pPr>
            <w:r>
              <w:rPr>
                <w:b w:val="0"/>
                <w:i w:val="0"/>
                <w:sz w:val="20"/>
              </w:rPr>
              <w:t>NdPr</w:t>
            </w:r>
          </w:p>
        </w:tc>
        <w:tc>
          <w:tcPr>
            <w:tcW w:type="dxa" w:w="1995"/>
          </w:tcPr>
          <w:p>
            <w:pPr>
              <w:spacing w:after="0" w:line="240" w:lineRule="auto"/>
              <w:ind w:firstLine="0"/>
              <w:jc w:val="center"/>
            </w:pPr>
            <w:r>
              <w:rPr>
                <w:b w:val="0"/>
                <w:i w:val="0"/>
                <w:sz w:val="20"/>
              </w:rPr>
              <w:t>78</w:t>
            </w:r>
          </w:p>
        </w:tc>
        <w:tc>
          <w:tcPr>
            <w:tcW w:type="dxa" w:w="1995"/>
          </w:tcPr>
          <w:p>
            <w:pPr>
              <w:spacing w:after="0" w:line="240" w:lineRule="auto"/>
              <w:ind w:firstLine="0"/>
              <w:jc w:val="center"/>
            </w:pPr>
            <w:r>
              <w:rPr>
                <w:b w:val="0"/>
                <w:i w:val="0"/>
                <w:sz w:val="20"/>
              </w:rPr>
              <w:t>92</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не под контролем</w:t>
            </w:r>
          </w:p>
        </w:tc>
      </w:tr>
      <w:tr>
        <w:tc>
          <w:tcPr>
            <w:tcW w:type="dxa" w:w="1995"/>
          </w:tcPr>
          <w:p>
            <w:pPr>
              <w:spacing w:after="0" w:line="240" w:lineRule="auto"/>
              <w:ind w:firstLine="0"/>
              <w:jc w:val="left"/>
            </w:pPr>
            <w:r>
              <w:rPr>
                <w:b w:val="0"/>
                <w:i w:val="0"/>
                <w:sz w:val="20"/>
              </w:rPr>
              <w:t>La₂O₃</w:t>
            </w:r>
          </w:p>
        </w:tc>
        <w:tc>
          <w:tcPr>
            <w:tcW w:type="dxa" w:w="1995"/>
          </w:tcPr>
          <w:p>
            <w:pPr>
              <w:spacing w:after="0" w:line="240" w:lineRule="auto"/>
              <w:ind w:firstLine="0"/>
              <w:jc w:val="center"/>
            </w:pPr>
            <w:r>
              <w:rPr>
                <w:b w:val="0"/>
                <w:i w:val="0"/>
                <w:sz w:val="20"/>
              </w:rPr>
              <w:t>0,9</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1,3</w:t>
            </w:r>
          </w:p>
        </w:tc>
        <w:tc>
          <w:tcPr>
            <w:tcW w:type="dxa" w:w="1995"/>
          </w:tcPr>
          <w:p>
            <w:pPr>
              <w:spacing w:after="0" w:line="240" w:lineRule="auto"/>
              <w:ind w:firstLine="0"/>
              <w:jc w:val="center"/>
            </w:pPr>
            <w:r>
              <w:rPr>
                <w:b w:val="0"/>
                <w:i w:val="0"/>
                <w:sz w:val="20"/>
              </w:rPr>
              <w:t>не под контролем</w:t>
            </w:r>
          </w:p>
        </w:tc>
      </w:tr>
      <w:tr>
        <w:tc>
          <w:tcPr>
            <w:tcW w:type="dxa" w:w="1995"/>
          </w:tcPr>
          <w:p>
            <w:pPr>
              <w:spacing w:after="0" w:line="240" w:lineRule="auto"/>
              <w:ind w:firstLine="0"/>
              <w:jc w:val="left"/>
            </w:pPr>
            <w:r>
              <w:rPr>
                <w:b w:val="0"/>
                <w:i w:val="0"/>
                <w:sz w:val="20"/>
              </w:rPr>
              <w:t>CeO₂</w:t>
            </w:r>
          </w:p>
        </w:tc>
        <w:tc>
          <w:tcPr>
            <w:tcW w:type="dxa" w:w="1995"/>
          </w:tcPr>
          <w:p>
            <w:pPr>
              <w:spacing w:after="0" w:line="240" w:lineRule="auto"/>
              <w:ind w:firstLine="0"/>
              <w:jc w:val="center"/>
            </w:pPr>
            <w:r>
              <w:rPr>
                <w:b w:val="0"/>
                <w:i w:val="0"/>
                <w:sz w:val="20"/>
              </w:rPr>
              <w:t>1,0</w:t>
            </w:r>
          </w:p>
        </w:tc>
        <w:tc>
          <w:tcPr>
            <w:tcW w:type="dxa" w:w="1995"/>
          </w:tcPr>
          <w:p>
            <w:pPr>
              <w:spacing w:after="0" w:line="240" w:lineRule="auto"/>
              <w:ind w:firstLine="0"/>
              <w:jc w:val="center"/>
            </w:pPr>
            <w:r>
              <w:rPr>
                <w:b w:val="0"/>
                <w:i w:val="0"/>
                <w:sz w:val="20"/>
              </w:rPr>
              <w:t>1,3</w:t>
            </w:r>
          </w:p>
        </w:tc>
        <w:tc>
          <w:tcPr>
            <w:tcW w:type="dxa" w:w="1995"/>
          </w:tcPr>
          <w:p>
            <w:pPr>
              <w:spacing w:after="0" w:line="240" w:lineRule="auto"/>
              <w:ind w:firstLine="0"/>
              <w:jc w:val="center"/>
            </w:pPr>
            <w:r>
              <w:rPr>
                <w:b w:val="0"/>
                <w:i w:val="0"/>
                <w:sz w:val="20"/>
              </w:rPr>
              <w:t>1,3</w:t>
            </w:r>
          </w:p>
        </w:tc>
        <w:tc>
          <w:tcPr>
            <w:tcW w:type="dxa" w:w="1995"/>
          </w:tcPr>
          <w:p>
            <w:pPr>
              <w:spacing w:after="0" w:line="240" w:lineRule="auto"/>
              <w:ind w:firstLine="0"/>
              <w:jc w:val="center"/>
            </w:pPr>
            <w:r>
              <w:rPr>
                <w:b w:val="0"/>
                <w:i w:val="0"/>
                <w:sz w:val="20"/>
              </w:rPr>
              <w:t>не под контролем</w:t>
            </w:r>
          </w:p>
        </w:tc>
      </w:tr>
      <w:tr>
        <w:tc>
          <w:tcPr>
            <w:tcW w:type="dxa" w:w="1995"/>
          </w:tcPr>
          <w:p>
            <w:pPr>
              <w:spacing w:after="0" w:line="240" w:lineRule="auto"/>
              <w:ind w:firstLine="0"/>
              <w:jc w:val="left"/>
            </w:pPr>
            <w:r>
              <w:rPr>
                <w:b w:val="0"/>
                <w:i w:val="0"/>
                <w:sz w:val="20"/>
              </w:rPr>
              <w:t>Sm₂O₃</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62</w:t>
            </w:r>
          </w:p>
        </w:tc>
        <w:tc>
          <w:tcPr>
            <w:tcW w:type="dxa" w:w="1995"/>
          </w:tcPr>
          <w:p>
            <w:pPr>
              <w:spacing w:after="0" w:line="240" w:lineRule="auto"/>
              <w:ind w:firstLine="0"/>
              <w:jc w:val="center"/>
            </w:pPr>
            <w:r>
              <w:rPr>
                <w:b w:val="0"/>
                <w:i w:val="0"/>
                <w:sz w:val="20"/>
              </w:rPr>
              <w:t>13,8</w:t>
            </w:r>
          </w:p>
        </w:tc>
        <w:tc>
          <w:tcPr>
            <w:tcW w:type="dxa" w:w="1995"/>
          </w:tcPr>
          <w:p>
            <w:pPr>
              <w:spacing w:after="0" w:line="240" w:lineRule="auto"/>
              <w:ind w:firstLine="0"/>
              <w:jc w:val="center"/>
            </w:pPr>
            <w:r>
              <w:rPr>
                <w:b w:val="0"/>
                <w:i w:val="0"/>
                <w:sz w:val="20"/>
              </w:rPr>
              <w:t>под контролем (апр. 2025)</w:t>
            </w:r>
          </w:p>
        </w:tc>
      </w:tr>
      <w:tr>
        <w:tc>
          <w:tcPr>
            <w:tcW w:type="dxa" w:w="1995"/>
          </w:tcPr>
          <w:p>
            <w:pPr>
              <w:spacing w:after="0" w:line="240" w:lineRule="auto"/>
              <w:ind w:firstLine="0"/>
              <w:jc w:val="left"/>
            </w:pPr>
            <w:r>
              <w:rPr>
                <w:b w:val="0"/>
                <w:i w:val="0"/>
                <w:sz w:val="20"/>
              </w:rPr>
              <w:t>Gd₂O₃</w:t>
            </w:r>
          </w:p>
        </w:tc>
        <w:tc>
          <w:tcPr>
            <w:tcW w:type="dxa" w:w="1995"/>
          </w:tcPr>
          <w:p>
            <w:pPr>
              <w:spacing w:after="0" w:line="240" w:lineRule="auto"/>
              <w:ind w:firstLine="0"/>
              <w:jc w:val="center"/>
            </w:pPr>
            <w:r>
              <w:rPr>
                <w:b w:val="0"/>
                <w:i w:val="0"/>
                <w:sz w:val="20"/>
              </w:rPr>
              <w:t>42</w:t>
            </w:r>
          </w:p>
        </w:tc>
        <w:tc>
          <w:tcPr>
            <w:tcW w:type="dxa" w:w="1995"/>
          </w:tcPr>
          <w:p>
            <w:pPr>
              <w:spacing w:after="0" w:line="240" w:lineRule="auto"/>
              <w:ind w:firstLine="0"/>
              <w:jc w:val="center"/>
            </w:pPr>
            <w:r>
              <w:rPr>
                <w:b w:val="0"/>
                <w:i w:val="0"/>
                <w:sz w:val="20"/>
              </w:rPr>
              <w:t>210</w:t>
            </w:r>
          </w:p>
        </w:tc>
        <w:tc>
          <w:tcPr>
            <w:tcW w:type="dxa" w:w="1995"/>
          </w:tcPr>
          <w:p>
            <w:pPr>
              <w:spacing w:after="0" w:line="240" w:lineRule="auto"/>
              <w:ind w:firstLine="0"/>
              <w:jc w:val="center"/>
            </w:pPr>
            <w:r>
              <w:rPr>
                <w:b w:val="0"/>
                <w:i w:val="0"/>
                <w:sz w:val="20"/>
              </w:rPr>
              <w:t>5,0</w:t>
            </w:r>
          </w:p>
        </w:tc>
        <w:tc>
          <w:tcPr>
            <w:tcW w:type="dxa" w:w="1995"/>
          </w:tcPr>
          <w:p>
            <w:pPr>
              <w:spacing w:after="0" w:line="240" w:lineRule="auto"/>
              <w:ind w:firstLine="0"/>
              <w:jc w:val="center"/>
            </w:pPr>
            <w:r>
              <w:rPr>
                <w:b w:val="0"/>
                <w:i w:val="0"/>
                <w:sz w:val="20"/>
              </w:rPr>
              <w:t>под контролем (апр. 2025)</w:t>
            </w:r>
          </w:p>
        </w:tc>
      </w:tr>
      <w:tr>
        <w:tc>
          <w:tcPr>
            <w:tcW w:type="dxa" w:w="1995"/>
          </w:tcPr>
          <w:p>
            <w:pPr>
              <w:spacing w:after="0" w:line="240" w:lineRule="auto"/>
              <w:ind w:firstLine="0"/>
              <w:jc w:val="left"/>
            </w:pPr>
            <w:r>
              <w:rPr>
                <w:b w:val="0"/>
                <w:i w:val="0"/>
                <w:sz w:val="20"/>
              </w:rPr>
              <w:t>Tb₄O₇</w:t>
            </w:r>
          </w:p>
        </w:tc>
        <w:tc>
          <w:tcPr>
            <w:tcW w:type="dxa" w:w="1995"/>
          </w:tcPr>
          <w:p>
            <w:pPr>
              <w:spacing w:after="0" w:line="240" w:lineRule="auto"/>
              <w:ind w:firstLine="0"/>
              <w:jc w:val="center"/>
            </w:pPr>
            <w:r>
              <w:rPr>
                <w:b w:val="0"/>
                <w:i w:val="0"/>
                <w:sz w:val="20"/>
              </w:rPr>
              <w:t>1 020</w:t>
            </w:r>
          </w:p>
        </w:tc>
        <w:tc>
          <w:tcPr>
            <w:tcW w:type="dxa" w:w="1995"/>
          </w:tcPr>
          <w:p>
            <w:pPr>
              <w:spacing w:after="0" w:line="240" w:lineRule="auto"/>
              <w:ind w:firstLine="0"/>
              <w:jc w:val="center"/>
            </w:pPr>
            <w:r>
              <w:rPr>
                <w:b w:val="0"/>
                <w:i w:val="0"/>
                <w:sz w:val="20"/>
              </w:rPr>
              <w:t>3 400</w:t>
            </w:r>
          </w:p>
        </w:tc>
        <w:tc>
          <w:tcPr>
            <w:tcW w:type="dxa" w:w="1995"/>
          </w:tcPr>
          <w:p>
            <w:pPr>
              <w:spacing w:after="0" w:line="240" w:lineRule="auto"/>
              <w:ind w:firstLine="0"/>
              <w:jc w:val="center"/>
            </w:pPr>
            <w:r>
              <w:rPr>
                <w:b w:val="0"/>
                <w:i w:val="0"/>
                <w:sz w:val="20"/>
              </w:rPr>
              <w:t>3,3</w:t>
            </w:r>
          </w:p>
        </w:tc>
        <w:tc>
          <w:tcPr>
            <w:tcW w:type="dxa" w:w="1995"/>
          </w:tcPr>
          <w:p>
            <w:pPr>
              <w:spacing w:after="0" w:line="240" w:lineRule="auto"/>
              <w:ind w:firstLine="0"/>
              <w:jc w:val="center"/>
            </w:pPr>
            <w:r>
              <w:rPr>
                <w:b w:val="0"/>
                <w:i w:val="0"/>
                <w:sz w:val="20"/>
              </w:rPr>
              <w:t>под контролем (апр. 2025)</w:t>
            </w:r>
          </w:p>
        </w:tc>
      </w:tr>
      <w:tr>
        <w:tc>
          <w:tcPr>
            <w:tcW w:type="dxa" w:w="1995"/>
          </w:tcPr>
          <w:p>
            <w:pPr>
              <w:spacing w:after="0" w:line="240" w:lineRule="auto"/>
              <w:ind w:firstLine="0"/>
              <w:jc w:val="left"/>
            </w:pPr>
            <w:r>
              <w:rPr>
                <w:b w:val="0"/>
                <w:i w:val="0"/>
                <w:sz w:val="20"/>
              </w:rPr>
              <w:t>Dy₂O₃</w:t>
            </w:r>
          </w:p>
        </w:tc>
        <w:tc>
          <w:tcPr>
            <w:tcW w:type="dxa" w:w="1995"/>
          </w:tcPr>
          <w:p>
            <w:pPr>
              <w:spacing w:after="0" w:line="240" w:lineRule="auto"/>
              <w:ind w:firstLine="0"/>
              <w:jc w:val="center"/>
            </w:pPr>
            <w:r>
              <w:rPr>
                <w:b w:val="0"/>
                <w:i w:val="0"/>
                <w:sz w:val="20"/>
              </w:rPr>
              <w:t>290</w:t>
            </w:r>
          </w:p>
        </w:tc>
        <w:tc>
          <w:tcPr>
            <w:tcW w:type="dxa" w:w="1995"/>
          </w:tcPr>
          <w:p>
            <w:pPr>
              <w:spacing w:after="0" w:line="240" w:lineRule="auto"/>
              <w:ind w:firstLine="0"/>
              <w:jc w:val="center"/>
            </w:pPr>
            <w:r>
              <w:rPr>
                <w:b w:val="0"/>
                <w:i w:val="0"/>
                <w:sz w:val="20"/>
              </w:rPr>
              <w:t>1 250</w:t>
            </w:r>
          </w:p>
        </w:tc>
        <w:tc>
          <w:tcPr>
            <w:tcW w:type="dxa" w:w="1995"/>
          </w:tcPr>
          <w:p>
            <w:pPr>
              <w:spacing w:after="0" w:line="240" w:lineRule="auto"/>
              <w:ind w:firstLine="0"/>
              <w:jc w:val="center"/>
            </w:pPr>
            <w:r>
              <w:rPr>
                <w:b w:val="0"/>
                <w:i w:val="0"/>
                <w:sz w:val="20"/>
              </w:rPr>
              <w:t>4,3</w:t>
            </w:r>
          </w:p>
        </w:tc>
        <w:tc>
          <w:tcPr>
            <w:tcW w:type="dxa" w:w="1995"/>
          </w:tcPr>
          <w:p>
            <w:pPr>
              <w:spacing w:after="0" w:line="240" w:lineRule="auto"/>
              <w:ind w:firstLine="0"/>
              <w:jc w:val="center"/>
            </w:pPr>
            <w:r>
              <w:rPr>
                <w:b w:val="0"/>
                <w:i w:val="0"/>
                <w:sz w:val="20"/>
              </w:rPr>
              <w:t>под контролем (апр. 2025)</w:t>
            </w:r>
          </w:p>
        </w:tc>
      </w:tr>
      <w:tr>
        <w:tc>
          <w:tcPr>
            <w:tcW w:type="dxa" w:w="1995"/>
          </w:tcPr>
          <w:p>
            <w:pPr>
              <w:spacing w:after="0" w:line="240" w:lineRule="auto"/>
              <w:ind w:firstLine="0"/>
              <w:jc w:val="left"/>
            </w:pPr>
            <w:r>
              <w:rPr>
                <w:b w:val="0"/>
                <w:i w:val="0"/>
                <w:sz w:val="20"/>
              </w:rPr>
              <w:t>Lu₂O₃</w:t>
            </w:r>
          </w:p>
        </w:tc>
        <w:tc>
          <w:tcPr>
            <w:tcW w:type="dxa" w:w="1995"/>
          </w:tcPr>
          <w:p>
            <w:pPr>
              <w:spacing w:after="0" w:line="240" w:lineRule="auto"/>
              <w:ind w:firstLine="0"/>
              <w:jc w:val="center"/>
            </w:pPr>
            <w:r>
              <w:rPr>
                <w:b w:val="0"/>
                <w:i w:val="0"/>
                <w:sz w:val="20"/>
              </w:rPr>
              <w:t>620</w:t>
            </w:r>
          </w:p>
        </w:tc>
        <w:tc>
          <w:tcPr>
            <w:tcW w:type="dxa" w:w="1995"/>
          </w:tcPr>
          <w:p>
            <w:pPr>
              <w:spacing w:after="0" w:line="240" w:lineRule="auto"/>
              <w:ind w:firstLine="0"/>
              <w:jc w:val="center"/>
            </w:pPr>
            <w:r>
              <w:rPr>
                <w:b w:val="0"/>
                <w:i w:val="0"/>
                <w:sz w:val="20"/>
              </w:rPr>
              <w:t>2 100</w:t>
            </w:r>
          </w:p>
        </w:tc>
        <w:tc>
          <w:tcPr>
            <w:tcW w:type="dxa" w:w="1995"/>
          </w:tcPr>
          <w:p>
            <w:pPr>
              <w:spacing w:after="0" w:line="240" w:lineRule="auto"/>
              <w:ind w:firstLine="0"/>
              <w:jc w:val="center"/>
            </w:pPr>
            <w:r>
              <w:rPr>
                <w:b w:val="0"/>
                <w:i w:val="0"/>
                <w:sz w:val="20"/>
              </w:rPr>
              <w:t>3,4</w:t>
            </w:r>
          </w:p>
        </w:tc>
        <w:tc>
          <w:tcPr>
            <w:tcW w:type="dxa" w:w="1995"/>
          </w:tcPr>
          <w:p>
            <w:pPr>
              <w:spacing w:after="0" w:line="240" w:lineRule="auto"/>
              <w:ind w:firstLine="0"/>
              <w:jc w:val="center"/>
            </w:pPr>
            <w:r>
              <w:rPr>
                <w:b w:val="0"/>
                <w:i w:val="0"/>
                <w:sz w:val="20"/>
              </w:rPr>
              <w:t>под контролем (апр. 2025)</w:t>
            </w:r>
          </w:p>
        </w:tc>
      </w:tr>
      <w:tr>
        <w:tc>
          <w:tcPr>
            <w:tcW w:type="dxa" w:w="1995"/>
          </w:tcPr>
          <w:p>
            <w:pPr>
              <w:spacing w:after="0" w:line="240" w:lineRule="auto"/>
              <w:ind w:firstLine="0"/>
              <w:jc w:val="left"/>
            </w:pPr>
            <w:r>
              <w:rPr>
                <w:b w:val="0"/>
                <w:i w:val="0"/>
                <w:sz w:val="20"/>
              </w:rPr>
              <w:t>Y₂O₃</w:t>
            </w:r>
          </w:p>
        </w:tc>
        <w:tc>
          <w:tcPr>
            <w:tcW w:type="dxa" w:w="1995"/>
          </w:tcPr>
          <w:p>
            <w:pPr>
              <w:spacing w:after="0" w:line="240" w:lineRule="auto"/>
              <w:ind w:firstLine="0"/>
              <w:jc w:val="center"/>
            </w:pPr>
            <w:r>
              <w:rPr>
                <w:b w:val="0"/>
                <w:i w:val="0"/>
                <w:sz w:val="20"/>
              </w:rPr>
              <w:t>11</w:t>
            </w:r>
          </w:p>
        </w:tc>
        <w:tc>
          <w:tcPr>
            <w:tcW w:type="dxa" w:w="1995"/>
          </w:tcPr>
          <w:p>
            <w:pPr>
              <w:spacing w:after="0" w:line="240" w:lineRule="auto"/>
              <w:ind w:firstLine="0"/>
              <w:jc w:val="center"/>
            </w:pPr>
            <w:r>
              <w:rPr>
                <w:b w:val="0"/>
                <w:i w:val="0"/>
                <w:sz w:val="20"/>
              </w:rPr>
              <w:t>48</w:t>
            </w:r>
          </w:p>
        </w:tc>
        <w:tc>
          <w:tcPr>
            <w:tcW w:type="dxa" w:w="1995"/>
          </w:tcPr>
          <w:p>
            <w:pPr>
              <w:spacing w:after="0" w:line="240" w:lineRule="auto"/>
              <w:ind w:firstLine="0"/>
              <w:jc w:val="center"/>
            </w:pPr>
            <w:r>
              <w:rPr>
                <w:b w:val="0"/>
                <w:i w:val="0"/>
                <w:sz w:val="20"/>
              </w:rPr>
              <w:t>4,4</w:t>
            </w:r>
          </w:p>
        </w:tc>
        <w:tc>
          <w:tcPr>
            <w:tcW w:type="dxa" w:w="1995"/>
          </w:tcPr>
          <w:p>
            <w:pPr>
              <w:spacing w:after="0" w:line="240" w:lineRule="auto"/>
              <w:ind w:firstLine="0"/>
              <w:jc w:val="center"/>
            </w:pPr>
            <w:r>
              <w:rPr>
                <w:b w:val="0"/>
                <w:i w:val="0"/>
                <w:sz w:val="20"/>
              </w:rPr>
              <w:t>под контролем (апр. 2025)</w:t>
            </w:r>
          </w:p>
        </w:tc>
      </w:tr>
      <w:tr>
        <w:tc>
          <w:tcPr>
            <w:tcW w:type="dxa" w:w="1995"/>
          </w:tcPr>
          <w:p>
            <w:pPr>
              <w:spacing w:after="0" w:line="240" w:lineRule="auto"/>
              <w:ind w:firstLine="0"/>
              <w:jc w:val="left"/>
            </w:pPr>
            <w:r>
              <w:rPr>
                <w:b w:val="0"/>
                <w:i w:val="0"/>
                <w:sz w:val="20"/>
              </w:rPr>
              <w:t>Sc₂O₃</w:t>
            </w:r>
          </w:p>
        </w:tc>
        <w:tc>
          <w:tcPr>
            <w:tcW w:type="dxa" w:w="1995"/>
          </w:tcPr>
          <w:p>
            <w:pPr>
              <w:spacing w:after="0" w:line="240" w:lineRule="auto"/>
              <w:ind w:firstLine="0"/>
              <w:jc w:val="center"/>
            </w:pPr>
            <w:r>
              <w:rPr>
                <w:b w:val="0"/>
                <w:i w:val="0"/>
                <w:sz w:val="20"/>
              </w:rPr>
              <w:t>1 550</w:t>
            </w:r>
          </w:p>
        </w:tc>
        <w:tc>
          <w:tcPr>
            <w:tcW w:type="dxa" w:w="1995"/>
          </w:tcPr>
          <w:p>
            <w:pPr>
              <w:spacing w:after="0" w:line="240" w:lineRule="auto"/>
              <w:ind w:firstLine="0"/>
              <w:jc w:val="center"/>
            </w:pPr>
            <w:r>
              <w:rPr>
                <w:b w:val="0"/>
                <w:i w:val="0"/>
                <w:sz w:val="20"/>
              </w:rPr>
              <w:t>4 200</w:t>
            </w:r>
          </w:p>
        </w:tc>
        <w:tc>
          <w:tcPr>
            <w:tcW w:type="dxa" w:w="1995"/>
          </w:tcPr>
          <w:p>
            <w:pPr>
              <w:spacing w:after="0" w:line="240" w:lineRule="auto"/>
              <w:ind w:firstLine="0"/>
              <w:jc w:val="center"/>
            </w:pPr>
            <w:r>
              <w:rPr>
                <w:b w:val="0"/>
                <w:i w:val="0"/>
                <w:sz w:val="20"/>
              </w:rPr>
              <w:t>2,7</w:t>
            </w:r>
          </w:p>
        </w:tc>
        <w:tc>
          <w:tcPr>
            <w:tcW w:type="dxa" w:w="1995"/>
          </w:tcPr>
          <w:p>
            <w:pPr>
              <w:spacing w:after="0" w:line="240" w:lineRule="auto"/>
              <w:ind w:firstLine="0"/>
              <w:jc w:val="center"/>
            </w:pPr>
            <w:r>
              <w:rPr>
                <w:b w:val="0"/>
                <w:i w:val="0"/>
                <w:sz w:val="20"/>
              </w:rPr>
              <w:t>под контролем (апр. 2025)</w:t>
            </w:r>
          </w:p>
        </w:tc>
      </w:tr>
      <w:tr>
        <w:tc>
          <w:tcPr>
            <w:tcW w:type="dxa" w:w="1995"/>
          </w:tcPr>
          <w:p>
            <w:pPr>
              <w:spacing w:after="0" w:line="240" w:lineRule="auto"/>
              <w:ind w:firstLine="0"/>
              <w:jc w:val="left"/>
            </w:pPr>
            <w:r>
              <w:rPr>
                <w:b w:val="0"/>
                <w:i w:val="0"/>
                <w:sz w:val="20"/>
              </w:rPr>
              <w:t>Ho₂O₃</w:t>
            </w:r>
          </w:p>
        </w:tc>
        <w:tc>
          <w:tcPr>
            <w:tcW w:type="dxa" w:w="1995"/>
          </w:tcPr>
          <w:p>
            <w:pPr>
              <w:spacing w:after="0" w:line="240" w:lineRule="auto"/>
              <w:ind w:firstLine="0"/>
              <w:jc w:val="center"/>
            </w:pPr>
            <w:r>
              <w:rPr>
                <w:b w:val="0"/>
                <w:i w:val="0"/>
                <w:sz w:val="20"/>
              </w:rPr>
              <w:t>68</w:t>
            </w:r>
          </w:p>
        </w:tc>
        <w:tc>
          <w:tcPr>
            <w:tcW w:type="dxa" w:w="1995"/>
          </w:tcPr>
          <w:p>
            <w:pPr>
              <w:spacing w:after="0" w:line="240" w:lineRule="auto"/>
              <w:ind w:firstLine="0"/>
              <w:jc w:val="center"/>
            </w:pPr>
            <w:r>
              <w:rPr>
                <w:b w:val="0"/>
                <w:i w:val="0"/>
                <w:sz w:val="20"/>
              </w:rPr>
              <w:t>240</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под контролем (окт. 2025)</w:t>
            </w:r>
          </w:p>
        </w:tc>
      </w:tr>
      <w:tr>
        <w:tc>
          <w:tcPr>
            <w:tcW w:type="dxa" w:w="1995"/>
          </w:tcPr>
          <w:p>
            <w:pPr>
              <w:spacing w:after="0" w:line="240" w:lineRule="auto"/>
              <w:ind w:firstLine="0"/>
              <w:jc w:val="left"/>
            </w:pPr>
            <w:r>
              <w:rPr>
                <w:b w:val="0"/>
                <w:i w:val="0"/>
                <w:sz w:val="20"/>
              </w:rPr>
              <w:t>Er₂O₃</w:t>
            </w:r>
          </w:p>
        </w:tc>
        <w:tc>
          <w:tcPr>
            <w:tcW w:type="dxa" w:w="1995"/>
          </w:tcPr>
          <w:p>
            <w:pPr>
              <w:spacing w:after="0" w:line="240" w:lineRule="auto"/>
              <w:ind w:firstLine="0"/>
              <w:jc w:val="center"/>
            </w:pPr>
            <w:r>
              <w:rPr>
                <w:b w:val="0"/>
                <w:i w:val="0"/>
                <w:sz w:val="20"/>
              </w:rPr>
              <w:t>42</w:t>
            </w:r>
          </w:p>
        </w:tc>
        <w:tc>
          <w:tcPr>
            <w:tcW w:type="dxa" w:w="1995"/>
          </w:tcPr>
          <w:p>
            <w:pPr>
              <w:spacing w:after="0" w:line="240" w:lineRule="auto"/>
              <w:ind w:firstLine="0"/>
              <w:jc w:val="center"/>
            </w:pPr>
            <w:r>
              <w:rPr>
                <w:b w:val="0"/>
                <w:i w:val="0"/>
                <w:sz w:val="20"/>
              </w:rPr>
              <w:t>150</w:t>
            </w:r>
          </w:p>
        </w:tc>
        <w:tc>
          <w:tcPr>
            <w:tcW w:type="dxa" w:w="1995"/>
          </w:tcPr>
          <w:p>
            <w:pPr>
              <w:spacing w:after="0" w:line="240" w:lineRule="auto"/>
              <w:ind w:firstLine="0"/>
              <w:jc w:val="center"/>
            </w:pPr>
            <w:r>
              <w:rPr>
                <w:b w:val="0"/>
                <w:i w:val="0"/>
                <w:sz w:val="20"/>
              </w:rPr>
              <w:t>3,6</w:t>
            </w:r>
          </w:p>
        </w:tc>
        <w:tc>
          <w:tcPr>
            <w:tcW w:type="dxa" w:w="1995"/>
          </w:tcPr>
          <w:p>
            <w:pPr>
              <w:spacing w:after="0" w:line="240" w:lineRule="auto"/>
              <w:ind w:firstLine="0"/>
              <w:jc w:val="center"/>
            </w:pPr>
            <w:r>
              <w:rPr>
                <w:b w:val="0"/>
                <w:i w:val="0"/>
                <w:sz w:val="20"/>
              </w:rPr>
              <w:t>под контролем (окт. 2025)</w:t>
            </w:r>
          </w:p>
        </w:tc>
      </w:tr>
    </w:tbl>
    <w:p>
      <w:pPr>
        <w:spacing w:after="180"/>
        <w:ind w:firstLine="0"/>
      </w:pPr>
      <w:r>
        <w:rPr>
          <w:i/>
          <w:sz w:val="20"/>
        </w:rPr>
        <w:t>Источник: аналитический центр по данным ценовых агентств и сообщений участников рынка; оценочные значения</w:t>
      </w:r>
    </w:p>
    <w:p>
      <w:pPr>
        <w:keepNext/>
        <w:spacing w:before="160" w:after="60"/>
        <w:ind w:firstLine="0"/>
        <w:jc w:val="left"/>
      </w:pPr>
      <w:r>
        <w:rPr>
          <w:b/>
          <w:sz w:val="22"/>
        </w:rPr>
        <w:t>Рисунок 36. Соотношение внешних и внутрикитайских цен на редкоземельные оксиды, IV кв. 2025 г., раз</w:t>
      </w:r>
    </w:p>
    <w:p>
      <w:pPr>
        <w:ind w:firstLine="0"/>
        <w:jc w:val="center"/>
      </w:pPr>
      <w:r>
        <w:drawing>
          <wp:inline xmlns:a="http://schemas.openxmlformats.org/drawingml/2006/main" xmlns:pic="http://schemas.openxmlformats.org/drawingml/2006/picture">
            <wp:extent cx="5580000" cy="2751559"/>
            <wp:docPr id="36" name="Picture 36"/>
            <wp:cNvGraphicFramePr>
              <a:graphicFrameLocks noChangeAspect="1"/>
            </wp:cNvGraphicFramePr>
            <a:graphic>
              <a:graphicData uri="http://schemas.openxmlformats.org/drawingml/2006/picture">
                <pic:pic>
                  <pic:nvPicPr>
                    <pic:cNvPr id="0" name="fig36.png"/>
                    <pic:cNvPicPr/>
                  </pic:nvPicPr>
                  <pic:blipFill>
                    <a:blip r:embed="rId46"/>
                    <a:stretch>
                      <a:fillRect/>
                    </a:stretch>
                  </pic:blipFill>
                  <pic:spPr>
                    <a:xfrm>
                      <a:off x="0" y="0"/>
                      <a:ext cx="5580000" cy="2751559"/>
                    </a:xfrm>
                    <a:prstGeom prst="rect"/>
                  </pic:spPr>
                </pic:pic>
              </a:graphicData>
            </a:graphic>
          </wp:inline>
        </w:drawing>
      </w:r>
    </w:p>
    <w:p>
      <w:pPr>
        <w:spacing w:after="180"/>
        <w:ind w:firstLine="0"/>
      </w:pPr>
      <w:r>
        <w:rPr>
          <w:i/>
          <w:sz w:val="20"/>
        </w:rPr>
        <w:t>Источник: аналитический центр (табл. 45)</w:t>
      </w:r>
    </w:p>
    <w:p>
      <w:r>
        <w:rPr>
          <w:b w:val="0"/>
          <w:i w:val="0"/>
        </w:rPr>
        <w:t>Экономический смысл разрыва принципиально важен. Он представляет собой не рыночный, а административно созданный дифференциал, эквивалентный экспортной пошлине в размере 200–1 300%. Его последствия:</w:t>
      </w:r>
    </w:p>
    <w:p>
      <w:pPr>
        <w:pStyle w:val="ListBullet"/>
        <w:spacing w:after="20"/>
        <w:ind w:firstLine="0"/>
      </w:pPr>
      <w:r>
        <w:rPr>
          <w:b/>
          <w:i w:val="0"/>
        </w:rPr>
        <w:t>для потребителей вне КНР</w:t>
      </w:r>
      <w:r>
        <w:rPr>
          <w:b w:val="0"/>
          <w:i w:val="0"/>
        </w:rPr>
        <w:t xml:space="preserve"> — рост издержек, вынужденное накопление запасов, ускоренный поиск альтернативных источников и технологий замещения;</w:t>
      </w:r>
    </w:p>
    <w:p>
      <w:pPr>
        <w:pStyle w:val="ListBullet"/>
        <w:spacing w:after="20"/>
        <w:ind w:firstLine="0"/>
      </w:pPr>
      <w:r>
        <w:rPr>
          <w:b/>
          <w:i w:val="0"/>
        </w:rPr>
        <w:t>для производителей вне КНР</w:t>
      </w:r>
      <w:r>
        <w:rPr>
          <w:b w:val="0"/>
          <w:i w:val="0"/>
        </w:rPr>
        <w:t xml:space="preserve"> — формирование ценовой премии, впервые за историю отрасли делающей экономически привлекательными проекты по тяжёлым РЗМ. Именно этим объясняется резкая активизация в 2025 г. проектов Iluka, Lynas (линия Dy/Tb), Energy Fuels, Ucore, Aclara;</w:t>
      </w:r>
    </w:p>
    <w:p>
      <w:pPr>
        <w:pStyle w:val="ListBullet"/>
        <w:spacing w:after="20"/>
        <w:ind w:firstLine="0"/>
      </w:pPr>
      <w:r>
        <w:rPr>
          <w:b/>
          <w:i w:val="0"/>
        </w:rPr>
        <w:t>для китайских производителей магнитов</w:t>
      </w:r>
      <w:r>
        <w:rPr>
          <w:b w:val="0"/>
          <w:i w:val="0"/>
        </w:rPr>
        <w:t xml:space="preserve"> — усиление конкурентного преимущества: доступ к дешёвому сырью внутри страны при удорожании сырья у конкурентов означает перенос производства конечных изделий в КНР;</w:t>
      </w:r>
    </w:p>
    <w:p>
      <w:pPr>
        <w:pStyle w:val="ListBullet"/>
        <w:spacing w:after="20"/>
        <w:ind w:firstLine="0"/>
      </w:pPr>
      <w:r>
        <w:rPr>
          <w:b/>
          <w:i w:val="0"/>
        </w:rPr>
        <w:t>для рынка в целом</w:t>
      </w:r>
      <w:r>
        <w:rPr>
          <w:b w:val="0"/>
          <w:i w:val="0"/>
        </w:rPr>
        <w:t xml:space="preserve"> — фрагментация на два ценовых контура, что делает единый ценовой индекс отрасли непригодным для контрактной практики.</w:t>
      </w:r>
    </w:p>
    <w:p>
      <w:r>
        <w:rPr>
          <w:b w:val="0"/>
          <w:i w:val="0"/>
        </w:rPr>
        <w:t>Следует подчеркнуть, что разрыв является нестабильной величиной: он сокращается при ослаблении контроля и расширяется при его ужесточении, а также реагирует на конъюнктурные факторы (перебои поставок из Мьянмы, накопление запасов потребителями). Использование значений таблицы 45 в качестве базы долгосрочного планирования некорректно.</w:t>
      </w:r>
    </w:p>
    <w:p>
      <w:pPr>
        <w:pStyle w:val="Heading2"/>
      </w:pPr>
      <w:r>
        <w:rPr>
          <w:b w:val="0"/>
          <w:i w:val="0"/>
        </w:rPr>
        <w:t>6.5. Цены на металлы, сплавы и магниты</w:t>
      </w:r>
    </w:p>
    <w:p>
      <w:r>
        <w:rPr>
          <w:b w:val="0"/>
          <w:i w:val="0"/>
        </w:rPr>
        <w:t>Цены на металлическую продукцию формируются как сумма стоимости оксида и конверсионной премии (тольного тарифа) за металлизацию. Премия зависит от элемента и составляет от 6–10 долл./кг для лёгких элементов, восстанавливаемых электролизом, до 40–120 долл./кг для тяжёлых, требующих кальциетермического восстановления в вакууме.</w:t>
      </w:r>
    </w:p>
    <w:p>
      <w:pPr>
        <w:keepNext/>
        <w:spacing w:before="160" w:after="60"/>
        <w:ind w:firstLine="0"/>
        <w:jc w:val="left"/>
      </w:pPr>
      <w:r>
        <w:rPr>
          <w:b/>
          <w:sz w:val="22"/>
        </w:rPr>
        <w:t>Таблица 46. Цены на редкоземельные металлы и сплавы, 2023–2025 гг., $/кг</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Продукция</w:t>
            </w:r>
          </w:p>
        </w:tc>
        <w:tc>
          <w:tcPr>
            <w:tcW w:type="dxa" w:w="1995"/>
            <w:shd w:val="clear" w:fill="DCE6F1"/>
          </w:tcPr>
          <w:p>
            <w:pPr>
              <w:spacing w:after="0" w:line="240" w:lineRule="auto"/>
              <w:ind w:firstLine="0"/>
              <w:jc w:val="center"/>
            </w:pPr>
            <w:r>
              <w:rPr>
                <w:b/>
                <w:i w:val="0"/>
                <w:sz w:val="20"/>
              </w:rPr>
              <w:t>2023</w:t>
            </w:r>
          </w:p>
        </w:tc>
        <w:tc>
          <w:tcPr>
            <w:tcW w:type="dxa" w:w="1995"/>
            <w:shd w:val="clear" w:fill="DCE6F1"/>
          </w:tcPr>
          <w:p>
            <w:pPr>
              <w:spacing w:after="0" w:line="240" w:lineRule="auto"/>
              <w:ind w:firstLine="0"/>
              <w:jc w:val="center"/>
            </w:pPr>
            <w:r>
              <w:rPr>
                <w:b/>
                <w:i w:val="0"/>
                <w:sz w:val="20"/>
              </w:rPr>
              <w:t>2024</w:t>
            </w:r>
          </w:p>
        </w:tc>
        <w:tc>
          <w:tcPr>
            <w:tcW w:type="dxa" w:w="1995"/>
            <w:shd w:val="clear" w:fill="DCE6F1"/>
          </w:tcPr>
          <w:p>
            <w:pPr>
              <w:spacing w:after="0" w:line="240" w:lineRule="auto"/>
              <w:ind w:firstLine="0"/>
              <w:jc w:val="center"/>
            </w:pPr>
            <w:r>
              <w:rPr>
                <w:b/>
                <w:i w:val="0"/>
                <w:sz w:val="20"/>
              </w:rPr>
              <w:t>2025</w:t>
            </w:r>
          </w:p>
        </w:tc>
        <w:tc>
          <w:tcPr>
            <w:tcW w:type="dxa" w:w="1995"/>
            <w:shd w:val="clear" w:fill="DCE6F1"/>
          </w:tcPr>
          <w:p>
            <w:pPr>
              <w:spacing w:after="0" w:line="240" w:lineRule="auto"/>
              <w:ind w:firstLine="0"/>
              <w:jc w:val="center"/>
            </w:pPr>
            <w:r>
              <w:rPr>
                <w:b/>
                <w:i w:val="0"/>
                <w:sz w:val="20"/>
              </w:rPr>
              <w:t>Конверсионная премия</w:t>
            </w:r>
          </w:p>
        </w:tc>
      </w:tr>
      <w:tr>
        <w:tc>
          <w:tcPr>
            <w:tcW w:type="dxa" w:w="1995"/>
          </w:tcPr>
          <w:p>
            <w:pPr>
              <w:spacing w:after="0" w:line="240" w:lineRule="auto"/>
              <w:ind w:firstLine="0"/>
              <w:jc w:val="left"/>
            </w:pPr>
            <w:r>
              <w:rPr>
                <w:b w:val="0"/>
                <w:i w:val="0"/>
                <w:sz w:val="20"/>
              </w:rPr>
              <w:t>Металлический неодим</w:t>
            </w:r>
          </w:p>
        </w:tc>
        <w:tc>
          <w:tcPr>
            <w:tcW w:type="dxa" w:w="1995"/>
          </w:tcPr>
          <w:p>
            <w:pPr>
              <w:spacing w:after="0" w:line="240" w:lineRule="auto"/>
              <w:ind w:firstLine="0"/>
              <w:jc w:val="center"/>
            </w:pPr>
            <w:r>
              <w:rPr>
                <w:b w:val="0"/>
                <w:i w:val="0"/>
                <w:sz w:val="20"/>
              </w:rPr>
              <w:t>92</w:t>
            </w:r>
          </w:p>
        </w:tc>
        <w:tc>
          <w:tcPr>
            <w:tcW w:type="dxa" w:w="1995"/>
          </w:tcPr>
          <w:p>
            <w:pPr>
              <w:spacing w:after="0" w:line="240" w:lineRule="auto"/>
              <w:ind w:firstLine="0"/>
              <w:jc w:val="center"/>
            </w:pPr>
            <w:r>
              <w:rPr>
                <w:b w:val="0"/>
                <w:i w:val="0"/>
                <w:sz w:val="20"/>
              </w:rPr>
              <w:t>74</w:t>
            </w:r>
          </w:p>
        </w:tc>
        <w:tc>
          <w:tcPr>
            <w:tcW w:type="dxa" w:w="1995"/>
          </w:tcPr>
          <w:p>
            <w:pPr>
              <w:spacing w:after="0" w:line="240" w:lineRule="auto"/>
              <w:ind w:firstLine="0"/>
              <w:jc w:val="center"/>
            </w:pPr>
            <w:r>
              <w:rPr>
                <w:b w:val="0"/>
                <w:i w:val="0"/>
                <w:sz w:val="20"/>
              </w:rPr>
              <w:t>93</w:t>
            </w:r>
          </w:p>
        </w:tc>
        <w:tc>
          <w:tcPr>
            <w:tcW w:type="dxa" w:w="1995"/>
          </w:tcPr>
          <w:p>
            <w:pPr>
              <w:spacing w:after="0" w:line="240" w:lineRule="auto"/>
              <w:ind w:firstLine="0"/>
              <w:jc w:val="center"/>
            </w:pPr>
            <w:r>
              <w:rPr>
                <w:b w:val="0"/>
                <w:i w:val="0"/>
                <w:sz w:val="20"/>
              </w:rPr>
              <w:t>16</w:t>
            </w:r>
          </w:p>
        </w:tc>
      </w:tr>
      <w:tr>
        <w:tc>
          <w:tcPr>
            <w:tcW w:type="dxa" w:w="1995"/>
          </w:tcPr>
          <w:p>
            <w:pPr>
              <w:spacing w:after="0" w:line="240" w:lineRule="auto"/>
              <w:ind w:firstLine="0"/>
              <w:jc w:val="left"/>
            </w:pPr>
            <w:r>
              <w:rPr>
                <w:b w:val="0"/>
                <w:i w:val="0"/>
                <w:sz w:val="20"/>
              </w:rPr>
              <w:t>Металлический празеодим</w:t>
            </w:r>
          </w:p>
        </w:tc>
        <w:tc>
          <w:tcPr>
            <w:tcW w:type="dxa" w:w="1995"/>
          </w:tcPr>
          <w:p>
            <w:pPr>
              <w:spacing w:after="0" w:line="240" w:lineRule="auto"/>
              <w:ind w:firstLine="0"/>
              <w:jc w:val="center"/>
            </w:pPr>
            <w:r>
              <w:rPr>
                <w:b w:val="0"/>
                <w:i w:val="0"/>
                <w:sz w:val="20"/>
              </w:rPr>
              <w:t>96</w:t>
            </w:r>
          </w:p>
        </w:tc>
        <w:tc>
          <w:tcPr>
            <w:tcW w:type="dxa" w:w="1995"/>
          </w:tcPr>
          <w:p>
            <w:pPr>
              <w:spacing w:after="0" w:line="240" w:lineRule="auto"/>
              <w:ind w:firstLine="0"/>
              <w:jc w:val="center"/>
            </w:pPr>
            <w:r>
              <w:rPr>
                <w:b w:val="0"/>
                <w:i w:val="0"/>
                <w:sz w:val="20"/>
              </w:rPr>
              <w:t>78</w:t>
            </w:r>
          </w:p>
        </w:tc>
        <w:tc>
          <w:tcPr>
            <w:tcW w:type="dxa" w:w="1995"/>
          </w:tcPr>
          <w:p>
            <w:pPr>
              <w:spacing w:after="0" w:line="240" w:lineRule="auto"/>
              <w:ind w:firstLine="0"/>
              <w:jc w:val="center"/>
            </w:pPr>
            <w:r>
              <w:rPr>
                <w:b w:val="0"/>
                <w:i w:val="0"/>
                <w:sz w:val="20"/>
              </w:rPr>
              <w:t>97</w:t>
            </w:r>
          </w:p>
        </w:tc>
        <w:tc>
          <w:tcPr>
            <w:tcW w:type="dxa" w:w="1995"/>
          </w:tcPr>
          <w:p>
            <w:pPr>
              <w:spacing w:after="0" w:line="240" w:lineRule="auto"/>
              <w:ind w:firstLine="0"/>
              <w:jc w:val="center"/>
            </w:pPr>
            <w:r>
              <w:rPr>
                <w:b w:val="0"/>
                <w:i w:val="0"/>
                <w:sz w:val="20"/>
              </w:rPr>
              <w:t>18</w:t>
            </w:r>
          </w:p>
        </w:tc>
      </w:tr>
      <w:tr>
        <w:tc>
          <w:tcPr>
            <w:tcW w:type="dxa" w:w="1995"/>
          </w:tcPr>
          <w:p>
            <w:pPr>
              <w:spacing w:after="0" w:line="240" w:lineRule="auto"/>
              <w:ind w:firstLine="0"/>
              <w:jc w:val="left"/>
            </w:pPr>
            <w:r>
              <w:rPr>
                <w:b w:val="0"/>
                <w:i w:val="0"/>
                <w:sz w:val="20"/>
              </w:rPr>
              <w:t>Сплав NdPr (дидим)</w:t>
            </w:r>
          </w:p>
        </w:tc>
        <w:tc>
          <w:tcPr>
            <w:tcW w:type="dxa" w:w="1995"/>
          </w:tcPr>
          <w:p>
            <w:pPr>
              <w:spacing w:after="0" w:line="240" w:lineRule="auto"/>
              <w:ind w:firstLine="0"/>
              <w:jc w:val="center"/>
            </w:pPr>
            <w:r>
              <w:rPr>
                <w:b w:val="0"/>
                <w:i w:val="0"/>
                <w:sz w:val="20"/>
              </w:rPr>
              <w:t>93</w:t>
            </w:r>
          </w:p>
        </w:tc>
        <w:tc>
          <w:tcPr>
            <w:tcW w:type="dxa" w:w="1995"/>
          </w:tcPr>
          <w:p>
            <w:pPr>
              <w:spacing w:after="0" w:line="240" w:lineRule="auto"/>
              <w:ind w:firstLine="0"/>
              <w:jc w:val="center"/>
            </w:pPr>
            <w:r>
              <w:rPr>
                <w:b w:val="0"/>
                <w:i w:val="0"/>
                <w:sz w:val="20"/>
              </w:rPr>
              <w:t>75</w:t>
            </w:r>
          </w:p>
        </w:tc>
        <w:tc>
          <w:tcPr>
            <w:tcW w:type="dxa" w:w="1995"/>
          </w:tcPr>
          <w:p>
            <w:pPr>
              <w:spacing w:after="0" w:line="240" w:lineRule="auto"/>
              <w:ind w:firstLine="0"/>
              <w:jc w:val="center"/>
            </w:pPr>
            <w:r>
              <w:rPr>
                <w:b w:val="0"/>
                <w:i w:val="0"/>
                <w:sz w:val="20"/>
              </w:rPr>
              <w:t>94</w:t>
            </w:r>
          </w:p>
        </w:tc>
        <w:tc>
          <w:tcPr>
            <w:tcW w:type="dxa" w:w="1995"/>
          </w:tcPr>
          <w:p>
            <w:pPr>
              <w:spacing w:after="0" w:line="240" w:lineRule="auto"/>
              <w:ind w:firstLine="0"/>
              <w:jc w:val="center"/>
            </w:pPr>
            <w:r>
              <w:rPr>
                <w:b w:val="0"/>
                <w:i w:val="0"/>
                <w:sz w:val="20"/>
              </w:rPr>
              <w:t>17</w:t>
            </w:r>
          </w:p>
        </w:tc>
      </w:tr>
      <w:tr>
        <w:tc>
          <w:tcPr>
            <w:tcW w:type="dxa" w:w="1995"/>
          </w:tcPr>
          <w:p>
            <w:pPr>
              <w:spacing w:after="0" w:line="240" w:lineRule="auto"/>
              <w:ind w:firstLine="0"/>
              <w:jc w:val="left"/>
            </w:pPr>
            <w:r>
              <w:rPr>
                <w:b w:val="0"/>
                <w:i w:val="0"/>
                <w:sz w:val="20"/>
              </w:rPr>
              <w:t>Металлический лантан</w:t>
            </w:r>
          </w:p>
        </w:tc>
        <w:tc>
          <w:tcPr>
            <w:tcW w:type="dxa" w:w="1995"/>
          </w:tcPr>
          <w:p>
            <w:pPr>
              <w:spacing w:after="0" w:line="240" w:lineRule="auto"/>
              <w:ind w:firstLine="0"/>
              <w:jc w:val="center"/>
            </w:pPr>
            <w:r>
              <w:rPr>
                <w:b w:val="0"/>
                <w:i w:val="0"/>
                <w:sz w:val="20"/>
              </w:rPr>
              <w:t>6,5</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6,5</w:t>
            </w:r>
          </w:p>
        </w:tc>
        <w:tc>
          <w:tcPr>
            <w:tcW w:type="dxa" w:w="1995"/>
          </w:tcPr>
          <w:p>
            <w:pPr>
              <w:spacing w:after="0" w:line="240" w:lineRule="auto"/>
              <w:ind w:firstLine="0"/>
              <w:jc w:val="center"/>
            </w:pPr>
            <w:r>
              <w:rPr>
                <w:b w:val="0"/>
                <w:i w:val="0"/>
                <w:sz w:val="20"/>
              </w:rPr>
              <w:t>5,7</w:t>
            </w:r>
          </w:p>
        </w:tc>
      </w:tr>
      <w:tr>
        <w:tc>
          <w:tcPr>
            <w:tcW w:type="dxa" w:w="1995"/>
          </w:tcPr>
          <w:p>
            <w:pPr>
              <w:spacing w:after="0" w:line="240" w:lineRule="auto"/>
              <w:ind w:firstLine="0"/>
              <w:jc w:val="left"/>
            </w:pPr>
            <w:r>
              <w:rPr>
                <w:b w:val="0"/>
                <w:i w:val="0"/>
                <w:sz w:val="20"/>
              </w:rPr>
              <w:t>Металлический церий</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5,5</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5,2</w:t>
            </w:r>
          </w:p>
        </w:tc>
      </w:tr>
      <w:tr>
        <w:tc>
          <w:tcPr>
            <w:tcW w:type="dxa" w:w="1995"/>
          </w:tcPr>
          <w:p>
            <w:pPr>
              <w:spacing w:after="0" w:line="240" w:lineRule="auto"/>
              <w:ind w:firstLine="0"/>
              <w:jc w:val="left"/>
            </w:pPr>
            <w:r>
              <w:rPr>
                <w:b w:val="0"/>
                <w:i w:val="0"/>
                <w:sz w:val="20"/>
              </w:rPr>
              <w:t>Металлический диспрозий</w:t>
            </w:r>
          </w:p>
        </w:tc>
        <w:tc>
          <w:tcPr>
            <w:tcW w:type="dxa" w:w="1995"/>
          </w:tcPr>
          <w:p>
            <w:pPr>
              <w:spacing w:after="0" w:line="240" w:lineRule="auto"/>
              <w:ind w:firstLine="0"/>
              <w:jc w:val="center"/>
            </w:pPr>
            <w:r>
              <w:rPr>
                <w:b w:val="0"/>
                <w:i w:val="0"/>
                <w:sz w:val="20"/>
              </w:rPr>
              <w:t>370</w:t>
            </w:r>
          </w:p>
        </w:tc>
        <w:tc>
          <w:tcPr>
            <w:tcW w:type="dxa" w:w="1995"/>
          </w:tcPr>
          <w:p>
            <w:pPr>
              <w:spacing w:after="0" w:line="240" w:lineRule="auto"/>
              <w:ind w:firstLine="0"/>
              <w:jc w:val="center"/>
            </w:pPr>
            <w:r>
              <w:rPr>
                <w:b w:val="0"/>
                <w:i w:val="0"/>
                <w:sz w:val="20"/>
              </w:rPr>
              <w:t>305</w:t>
            </w:r>
          </w:p>
        </w:tc>
        <w:tc>
          <w:tcPr>
            <w:tcW w:type="dxa" w:w="1995"/>
          </w:tcPr>
          <w:p>
            <w:pPr>
              <w:spacing w:after="0" w:line="240" w:lineRule="auto"/>
              <w:ind w:firstLine="0"/>
              <w:jc w:val="center"/>
            </w:pPr>
            <w:r>
              <w:rPr>
                <w:b w:val="0"/>
                <w:i w:val="0"/>
                <w:sz w:val="20"/>
              </w:rPr>
              <w:t>420</w:t>
            </w:r>
          </w:p>
        </w:tc>
        <w:tc>
          <w:tcPr>
            <w:tcW w:type="dxa" w:w="1995"/>
          </w:tcPr>
          <w:p>
            <w:pPr>
              <w:spacing w:after="0" w:line="240" w:lineRule="auto"/>
              <w:ind w:firstLine="0"/>
              <w:jc w:val="center"/>
            </w:pPr>
            <w:r>
              <w:rPr>
                <w:b w:val="0"/>
                <w:i w:val="0"/>
                <w:sz w:val="20"/>
              </w:rPr>
              <w:t>78</w:t>
            </w:r>
          </w:p>
        </w:tc>
      </w:tr>
      <w:tr>
        <w:tc>
          <w:tcPr>
            <w:tcW w:type="dxa" w:w="1995"/>
          </w:tcPr>
          <w:p>
            <w:pPr>
              <w:spacing w:after="0" w:line="240" w:lineRule="auto"/>
              <w:ind w:firstLine="0"/>
              <w:jc w:val="left"/>
            </w:pPr>
            <w:r>
              <w:rPr>
                <w:b w:val="0"/>
                <w:i w:val="0"/>
                <w:sz w:val="20"/>
              </w:rPr>
              <w:t>Металлический тербий</w:t>
            </w:r>
          </w:p>
        </w:tc>
        <w:tc>
          <w:tcPr>
            <w:tcW w:type="dxa" w:w="1995"/>
          </w:tcPr>
          <w:p>
            <w:pPr>
              <w:spacing w:after="0" w:line="240" w:lineRule="auto"/>
              <w:ind w:firstLine="0"/>
              <w:jc w:val="center"/>
            </w:pPr>
            <w:r>
              <w:rPr>
                <w:b w:val="0"/>
                <w:i w:val="0"/>
                <w:sz w:val="20"/>
              </w:rPr>
              <w:t>1 280</w:t>
            </w:r>
          </w:p>
        </w:tc>
        <w:tc>
          <w:tcPr>
            <w:tcW w:type="dxa" w:w="1995"/>
          </w:tcPr>
          <w:p>
            <w:pPr>
              <w:spacing w:after="0" w:line="240" w:lineRule="auto"/>
              <w:ind w:firstLine="0"/>
              <w:jc w:val="center"/>
            </w:pPr>
            <w:r>
              <w:rPr>
                <w:b w:val="0"/>
                <w:i w:val="0"/>
                <w:sz w:val="20"/>
              </w:rPr>
              <w:t>1 060</w:t>
            </w:r>
          </w:p>
        </w:tc>
        <w:tc>
          <w:tcPr>
            <w:tcW w:type="dxa" w:w="1995"/>
          </w:tcPr>
          <w:p>
            <w:pPr>
              <w:spacing w:after="0" w:line="240" w:lineRule="auto"/>
              <w:ind w:firstLine="0"/>
              <w:jc w:val="center"/>
            </w:pPr>
            <w:r>
              <w:rPr>
                <w:b w:val="0"/>
                <w:i w:val="0"/>
                <w:sz w:val="20"/>
              </w:rPr>
              <w:t>1 450</w:t>
            </w:r>
          </w:p>
        </w:tc>
        <w:tc>
          <w:tcPr>
            <w:tcW w:type="dxa" w:w="1995"/>
          </w:tcPr>
          <w:p>
            <w:pPr>
              <w:spacing w:after="0" w:line="240" w:lineRule="auto"/>
              <w:ind w:firstLine="0"/>
              <w:jc w:val="center"/>
            </w:pPr>
            <w:r>
              <w:rPr>
                <w:b w:val="0"/>
                <w:i w:val="0"/>
                <w:sz w:val="20"/>
              </w:rPr>
              <w:t>285</w:t>
            </w:r>
          </w:p>
        </w:tc>
      </w:tr>
      <w:tr>
        <w:tc>
          <w:tcPr>
            <w:tcW w:type="dxa" w:w="1995"/>
          </w:tcPr>
          <w:p>
            <w:pPr>
              <w:spacing w:after="0" w:line="240" w:lineRule="auto"/>
              <w:ind w:firstLine="0"/>
              <w:jc w:val="left"/>
            </w:pPr>
            <w:r>
              <w:rPr>
                <w:b w:val="0"/>
                <w:i w:val="0"/>
                <w:sz w:val="20"/>
              </w:rPr>
              <w:t>Металлический гадолиний</w:t>
            </w:r>
          </w:p>
        </w:tc>
        <w:tc>
          <w:tcPr>
            <w:tcW w:type="dxa" w:w="1995"/>
          </w:tcPr>
          <w:p>
            <w:pPr>
              <w:spacing w:after="0" w:line="240" w:lineRule="auto"/>
              <w:ind w:firstLine="0"/>
              <w:jc w:val="center"/>
            </w:pPr>
            <w:r>
              <w:rPr>
                <w:b w:val="0"/>
                <w:i w:val="0"/>
                <w:sz w:val="20"/>
              </w:rPr>
              <w:t>78</w:t>
            </w:r>
          </w:p>
        </w:tc>
        <w:tc>
          <w:tcPr>
            <w:tcW w:type="dxa" w:w="1995"/>
          </w:tcPr>
          <w:p>
            <w:pPr>
              <w:spacing w:after="0" w:line="240" w:lineRule="auto"/>
              <w:ind w:firstLine="0"/>
              <w:jc w:val="center"/>
            </w:pPr>
            <w:r>
              <w:rPr>
                <w:b w:val="0"/>
                <w:i w:val="0"/>
                <w:sz w:val="20"/>
              </w:rPr>
              <w:t>70</w:t>
            </w:r>
          </w:p>
        </w:tc>
        <w:tc>
          <w:tcPr>
            <w:tcW w:type="dxa" w:w="1995"/>
          </w:tcPr>
          <w:p>
            <w:pPr>
              <w:spacing w:after="0" w:line="240" w:lineRule="auto"/>
              <w:ind w:firstLine="0"/>
              <w:jc w:val="center"/>
            </w:pPr>
            <w:r>
              <w:rPr>
                <w:b w:val="0"/>
                <w:i w:val="0"/>
                <w:sz w:val="20"/>
              </w:rPr>
              <w:t>115</w:t>
            </w:r>
          </w:p>
        </w:tc>
        <w:tc>
          <w:tcPr>
            <w:tcW w:type="dxa" w:w="1995"/>
          </w:tcPr>
          <w:p>
            <w:pPr>
              <w:spacing w:after="0" w:line="240" w:lineRule="auto"/>
              <w:ind w:firstLine="0"/>
              <w:jc w:val="center"/>
            </w:pPr>
            <w:r>
              <w:rPr>
                <w:b w:val="0"/>
                <w:i w:val="0"/>
                <w:sz w:val="20"/>
              </w:rPr>
              <w:t>42</w:t>
            </w:r>
          </w:p>
        </w:tc>
      </w:tr>
      <w:tr>
        <w:tc>
          <w:tcPr>
            <w:tcW w:type="dxa" w:w="1995"/>
          </w:tcPr>
          <w:p>
            <w:pPr>
              <w:spacing w:after="0" w:line="240" w:lineRule="auto"/>
              <w:ind w:firstLine="0"/>
              <w:jc w:val="left"/>
            </w:pPr>
            <w:r>
              <w:rPr>
                <w:b w:val="0"/>
                <w:i w:val="0"/>
                <w:sz w:val="20"/>
              </w:rPr>
              <w:t>Мишметалл</w:t>
            </w:r>
          </w:p>
        </w:tc>
        <w:tc>
          <w:tcPr>
            <w:tcW w:type="dxa" w:w="1995"/>
          </w:tcPr>
          <w:p>
            <w:pPr>
              <w:spacing w:after="0" w:line="240" w:lineRule="auto"/>
              <w:ind w:firstLine="0"/>
              <w:jc w:val="center"/>
            </w:pPr>
            <w:r>
              <w:rPr>
                <w:b w:val="0"/>
                <w:i w:val="0"/>
                <w:sz w:val="20"/>
              </w:rPr>
              <w:t>8,0</w:t>
            </w:r>
          </w:p>
        </w:tc>
        <w:tc>
          <w:tcPr>
            <w:tcW w:type="dxa" w:w="1995"/>
          </w:tcPr>
          <w:p>
            <w:pPr>
              <w:spacing w:after="0" w:line="240" w:lineRule="auto"/>
              <w:ind w:firstLine="0"/>
              <w:jc w:val="center"/>
            </w:pPr>
            <w:r>
              <w:rPr>
                <w:b w:val="0"/>
                <w:i w:val="0"/>
                <w:sz w:val="20"/>
              </w:rPr>
              <w:t>7,2</w:t>
            </w:r>
          </w:p>
        </w:tc>
        <w:tc>
          <w:tcPr>
            <w:tcW w:type="dxa" w:w="1995"/>
          </w:tcPr>
          <w:p>
            <w:pPr>
              <w:spacing w:after="0" w:line="240" w:lineRule="auto"/>
              <w:ind w:firstLine="0"/>
              <w:jc w:val="center"/>
            </w:pPr>
            <w:r>
              <w:rPr>
                <w:b w:val="0"/>
                <w:i w:val="0"/>
                <w:sz w:val="20"/>
              </w:rPr>
              <w:t>8,0</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Сплав NdFeB (strip cast)</w:t>
            </w:r>
          </w:p>
        </w:tc>
        <w:tc>
          <w:tcPr>
            <w:tcW w:type="dxa" w:w="1995"/>
          </w:tcPr>
          <w:p>
            <w:pPr>
              <w:spacing w:after="0" w:line="240" w:lineRule="auto"/>
              <w:ind w:firstLine="0"/>
              <w:jc w:val="center"/>
            </w:pPr>
            <w:r>
              <w:rPr>
                <w:b w:val="0"/>
                <w:i w:val="0"/>
                <w:sz w:val="20"/>
              </w:rPr>
              <w:t>62</w:t>
            </w:r>
          </w:p>
        </w:tc>
        <w:tc>
          <w:tcPr>
            <w:tcW w:type="dxa" w:w="1995"/>
          </w:tcPr>
          <w:p>
            <w:pPr>
              <w:spacing w:after="0" w:line="240" w:lineRule="auto"/>
              <w:ind w:firstLine="0"/>
              <w:jc w:val="center"/>
            </w:pPr>
            <w:r>
              <w:rPr>
                <w:b w:val="0"/>
                <w:i w:val="0"/>
                <w:sz w:val="20"/>
              </w:rPr>
              <w:t>51</w:t>
            </w:r>
          </w:p>
        </w:tc>
        <w:tc>
          <w:tcPr>
            <w:tcW w:type="dxa" w:w="1995"/>
          </w:tcPr>
          <w:p>
            <w:pPr>
              <w:spacing w:after="0" w:line="240" w:lineRule="auto"/>
              <w:ind w:firstLine="0"/>
              <w:jc w:val="center"/>
            </w:pPr>
            <w:r>
              <w:rPr>
                <w:b w:val="0"/>
                <w:i w:val="0"/>
                <w:sz w:val="20"/>
              </w:rPr>
              <w:t>64</w:t>
            </w:r>
          </w:p>
        </w:tc>
        <w:tc>
          <w:tcPr>
            <w:tcW w:type="dxa" w:w="1995"/>
          </w:tcPr>
          <w:p>
            <w:pPr>
              <w:spacing w:after="0" w:line="240" w:lineRule="auto"/>
              <w:ind w:firstLine="0"/>
              <w:jc w:val="center"/>
            </w:pPr>
            <w:r>
              <w:rPr>
                <w:b w:val="0"/>
                <w:i w:val="0"/>
                <w:sz w:val="20"/>
              </w:rPr>
              <w:t>—</w:t>
            </w:r>
          </w:p>
        </w:tc>
      </w:tr>
      <w:tr>
        <w:tc>
          <w:tcPr>
            <w:tcW w:type="dxa" w:w="1995"/>
          </w:tcPr>
          <w:p>
            <w:pPr>
              <w:spacing w:after="0" w:line="240" w:lineRule="auto"/>
              <w:ind w:firstLine="0"/>
              <w:jc w:val="left"/>
            </w:pPr>
            <w:r>
              <w:rPr>
                <w:b w:val="0"/>
                <w:i w:val="0"/>
                <w:sz w:val="20"/>
              </w:rPr>
              <w:t>Ферродиспрозий (Dy 80%)</w:t>
            </w:r>
          </w:p>
        </w:tc>
        <w:tc>
          <w:tcPr>
            <w:tcW w:type="dxa" w:w="1995"/>
          </w:tcPr>
          <w:p>
            <w:pPr>
              <w:spacing w:after="0" w:line="240" w:lineRule="auto"/>
              <w:ind w:firstLine="0"/>
              <w:jc w:val="center"/>
            </w:pPr>
            <w:r>
              <w:rPr>
                <w:b w:val="0"/>
                <w:i w:val="0"/>
                <w:sz w:val="20"/>
              </w:rPr>
              <w:t>290</w:t>
            </w:r>
          </w:p>
        </w:tc>
        <w:tc>
          <w:tcPr>
            <w:tcW w:type="dxa" w:w="1995"/>
          </w:tcPr>
          <w:p>
            <w:pPr>
              <w:spacing w:after="0" w:line="240" w:lineRule="auto"/>
              <w:ind w:firstLine="0"/>
              <w:jc w:val="center"/>
            </w:pPr>
            <w:r>
              <w:rPr>
                <w:b w:val="0"/>
                <w:i w:val="0"/>
                <w:sz w:val="20"/>
              </w:rPr>
              <w:t>240</w:t>
            </w:r>
          </w:p>
        </w:tc>
        <w:tc>
          <w:tcPr>
            <w:tcW w:type="dxa" w:w="1995"/>
          </w:tcPr>
          <w:p>
            <w:pPr>
              <w:spacing w:after="0" w:line="240" w:lineRule="auto"/>
              <w:ind w:firstLine="0"/>
              <w:jc w:val="center"/>
            </w:pPr>
            <w:r>
              <w:rPr>
                <w:b w:val="0"/>
                <w:i w:val="0"/>
                <w:sz w:val="20"/>
              </w:rPr>
              <w:t>330</w:t>
            </w:r>
          </w:p>
        </w:tc>
        <w:tc>
          <w:tcPr>
            <w:tcW w:type="dxa" w:w="1995"/>
          </w:tcPr>
          <w:p>
            <w:pPr>
              <w:spacing w:after="0" w:line="240" w:lineRule="auto"/>
              <w:ind w:firstLine="0"/>
              <w:jc w:val="center"/>
            </w:pPr>
            <w:r>
              <w:rPr>
                <w:b w:val="0"/>
                <w:i w:val="0"/>
                <w:sz w:val="20"/>
              </w:rPr>
              <w:t>—</w:t>
            </w:r>
          </w:p>
        </w:tc>
      </w:tr>
    </w:tbl>
    <w:p>
      <w:pPr>
        <w:spacing w:after="180"/>
        <w:ind w:firstLine="0"/>
      </w:pPr>
      <w:r>
        <w:rPr>
          <w:i/>
          <w:sz w:val="20"/>
        </w:rPr>
        <w:t>Источник: аналитический центр по данным ценовых агентств; цены FOB Китай, чистота 99% мин.</w:t>
      </w:r>
    </w:p>
    <w:p>
      <w:r>
        <w:rPr>
          <w:b w:val="0"/>
          <w:i w:val="0"/>
        </w:rPr>
        <w:t>Цены на готовые магниты в значительно меньшей степени зависят от сырьевой составляющей: в цене магнита класса N42 стоимость редкоземельных металлов составляет 45–60%, класса N42UH — до 70%. Прочие составляющие — конверсионные затраты, покрытия, механическая обработка, контроль качества, логистика.</w:t>
      </w:r>
    </w:p>
    <w:p>
      <w:pPr>
        <w:keepNext/>
        <w:spacing w:before="160" w:after="60"/>
        <w:ind w:firstLine="0"/>
        <w:jc w:val="left"/>
      </w:pPr>
      <w:r>
        <w:rPr>
          <w:b/>
          <w:sz w:val="22"/>
        </w:rPr>
        <w:t>Таблица 47. Ориентировочные цены на спечённые магниты NdFeB по классам, 2024–2025 гг., $/кг</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Класс магнита</w:t>
            </w:r>
          </w:p>
        </w:tc>
        <w:tc>
          <w:tcPr>
            <w:tcW w:type="dxa" w:w="1995"/>
            <w:shd w:val="clear" w:fill="DCE6F1"/>
          </w:tcPr>
          <w:p>
            <w:pPr>
              <w:spacing w:after="0" w:line="240" w:lineRule="auto"/>
              <w:ind w:firstLine="0"/>
              <w:jc w:val="center"/>
            </w:pPr>
            <w:r>
              <w:rPr>
                <w:b/>
                <w:i w:val="0"/>
                <w:sz w:val="20"/>
              </w:rPr>
              <w:t>Раб. темп., °C</w:t>
            </w:r>
          </w:p>
        </w:tc>
        <w:tc>
          <w:tcPr>
            <w:tcW w:type="dxa" w:w="1995"/>
            <w:shd w:val="clear" w:fill="DCE6F1"/>
          </w:tcPr>
          <w:p>
            <w:pPr>
              <w:spacing w:after="0" w:line="240" w:lineRule="auto"/>
              <w:ind w:firstLine="0"/>
              <w:jc w:val="center"/>
            </w:pPr>
            <w:r>
              <w:rPr>
                <w:b/>
                <w:i w:val="0"/>
                <w:sz w:val="20"/>
              </w:rPr>
              <w:t>Цена 2024</w:t>
            </w:r>
          </w:p>
        </w:tc>
        <w:tc>
          <w:tcPr>
            <w:tcW w:type="dxa" w:w="1995"/>
            <w:shd w:val="clear" w:fill="DCE6F1"/>
          </w:tcPr>
          <w:p>
            <w:pPr>
              <w:spacing w:after="0" w:line="240" w:lineRule="auto"/>
              <w:ind w:firstLine="0"/>
              <w:jc w:val="center"/>
            </w:pPr>
            <w:r>
              <w:rPr>
                <w:b/>
                <w:i w:val="0"/>
                <w:sz w:val="20"/>
              </w:rPr>
              <w:t>Цена 2025</w:t>
            </w:r>
          </w:p>
        </w:tc>
        <w:tc>
          <w:tcPr>
            <w:tcW w:type="dxa" w:w="1995"/>
            <w:shd w:val="clear" w:fill="DCE6F1"/>
          </w:tcPr>
          <w:p>
            <w:pPr>
              <w:spacing w:after="0" w:line="240" w:lineRule="auto"/>
              <w:ind w:firstLine="0"/>
              <w:jc w:val="center"/>
            </w:pPr>
            <w:r>
              <w:rPr>
                <w:b/>
                <w:i w:val="0"/>
                <w:sz w:val="20"/>
              </w:rPr>
              <w:t>Доля стоимости РЗМ, %</w:t>
            </w:r>
          </w:p>
        </w:tc>
      </w:tr>
      <w:tr>
        <w:tc>
          <w:tcPr>
            <w:tcW w:type="dxa" w:w="1995"/>
          </w:tcPr>
          <w:p>
            <w:pPr>
              <w:spacing w:after="0" w:line="240" w:lineRule="auto"/>
              <w:ind w:firstLine="0"/>
              <w:jc w:val="left"/>
            </w:pPr>
            <w:r>
              <w:rPr>
                <w:b w:val="0"/>
                <w:i w:val="0"/>
                <w:sz w:val="20"/>
              </w:rPr>
              <w:t>N35–N42</w:t>
            </w:r>
          </w:p>
        </w:tc>
        <w:tc>
          <w:tcPr>
            <w:tcW w:type="dxa" w:w="1995"/>
          </w:tcPr>
          <w:p>
            <w:pPr>
              <w:spacing w:after="0" w:line="240" w:lineRule="auto"/>
              <w:ind w:firstLine="0"/>
              <w:jc w:val="center"/>
            </w:pPr>
            <w:r>
              <w:rPr>
                <w:b w:val="0"/>
                <w:i w:val="0"/>
                <w:sz w:val="20"/>
              </w:rPr>
              <w:t>до 80</w:t>
            </w:r>
          </w:p>
        </w:tc>
        <w:tc>
          <w:tcPr>
            <w:tcW w:type="dxa" w:w="1995"/>
          </w:tcPr>
          <w:p>
            <w:pPr>
              <w:spacing w:after="0" w:line="240" w:lineRule="auto"/>
              <w:ind w:firstLine="0"/>
              <w:jc w:val="center"/>
            </w:pPr>
            <w:r>
              <w:rPr>
                <w:b w:val="0"/>
                <w:i w:val="0"/>
                <w:sz w:val="20"/>
              </w:rPr>
              <w:t>42</w:t>
            </w:r>
          </w:p>
        </w:tc>
        <w:tc>
          <w:tcPr>
            <w:tcW w:type="dxa" w:w="1995"/>
          </w:tcPr>
          <w:p>
            <w:pPr>
              <w:spacing w:after="0" w:line="240" w:lineRule="auto"/>
              <w:ind w:firstLine="0"/>
              <w:jc w:val="center"/>
            </w:pPr>
            <w:r>
              <w:rPr>
                <w:b w:val="0"/>
                <w:i w:val="0"/>
                <w:sz w:val="20"/>
              </w:rPr>
              <w:t>52</w:t>
            </w:r>
          </w:p>
        </w:tc>
        <w:tc>
          <w:tcPr>
            <w:tcW w:type="dxa" w:w="1995"/>
          </w:tcPr>
          <w:p>
            <w:pPr>
              <w:spacing w:after="0" w:line="240" w:lineRule="auto"/>
              <w:ind w:firstLine="0"/>
              <w:jc w:val="center"/>
            </w:pPr>
            <w:r>
              <w:rPr>
                <w:b w:val="0"/>
                <w:i w:val="0"/>
                <w:sz w:val="20"/>
              </w:rPr>
              <w:t>48</w:t>
            </w:r>
          </w:p>
        </w:tc>
      </w:tr>
      <w:tr>
        <w:tc>
          <w:tcPr>
            <w:tcW w:type="dxa" w:w="1995"/>
          </w:tcPr>
          <w:p>
            <w:pPr>
              <w:spacing w:after="0" w:line="240" w:lineRule="auto"/>
              <w:ind w:firstLine="0"/>
              <w:jc w:val="left"/>
            </w:pPr>
            <w:r>
              <w:rPr>
                <w:b w:val="0"/>
                <w:i w:val="0"/>
                <w:sz w:val="20"/>
              </w:rPr>
              <w:t>N42M–N48M</w:t>
            </w:r>
          </w:p>
        </w:tc>
        <w:tc>
          <w:tcPr>
            <w:tcW w:type="dxa" w:w="1995"/>
          </w:tcPr>
          <w:p>
            <w:pPr>
              <w:spacing w:after="0" w:line="240" w:lineRule="auto"/>
              <w:ind w:firstLine="0"/>
              <w:jc w:val="center"/>
            </w:pPr>
            <w:r>
              <w:rPr>
                <w:b w:val="0"/>
                <w:i w:val="0"/>
                <w:sz w:val="20"/>
              </w:rPr>
              <w:t>до 100</w:t>
            </w:r>
          </w:p>
        </w:tc>
        <w:tc>
          <w:tcPr>
            <w:tcW w:type="dxa" w:w="1995"/>
          </w:tcPr>
          <w:p>
            <w:pPr>
              <w:spacing w:after="0" w:line="240" w:lineRule="auto"/>
              <w:ind w:firstLine="0"/>
              <w:jc w:val="center"/>
            </w:pPr>
            <w:r>
              <w:rPr>
                <w:b w:val="0"/>
                <w:i w:val="0"/>
                <w:sz w:val="20"/>
              </w:rPr>
              <w:t>48</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51</w:t>
            </w:r>
          </w:p>
        </w:tc>
      </w:tr>
      <w:tr>
        <w:tc>
          <w:tcPr>
            <w:tcW w:type="dxa" w:w="1995"/>
          </w:tcPr>
          <w:p>
            <w:pPr>
              <w:spacing w:after="0" w:line="240" w:lineRule="auto"/>
              <w:ind w:firstLine="0"/>
              <w:jc w:val="left"/>
            </w:pPr>
            <w:r>
              <w:rPr>
                <w:b w:val="0"/>
                <w:i w:val="0"/>
                <w:sz w:val="20"/>
              </w:rPr>
              <w:t>N42H–N48H</w:t>
            </w:r>
          </w:p>
        </w:tc>
        <w:tc>
          <w:tcPr>
            <w:tcW w:type="dxa" w:w="1995"/>
          </w:tcPr>
          <w:p>
            <w:pPr>
              <w:spacing w:after="0" w:line="240" w:lineRule="auto"/>
              <w:ind w:firstLine="0"/>
              <w:jc w:val="center"/>
            </w:pPr>
            <w:r>
              <w:rPr>
                <w:b w:val="0"/>
                <w:i w:val="0"/>
                <w:sz w:val="20"/>
              </w:rPr>
              <w:t>до 120</w:t>
            </w:r>
          </w:p>
        </w:tc>
        <w:tc>
          <w:tcPr>
            <w:tcW w:type="dxa" w:w="1995"/>
          </w:tcPr>
          <w:p>
            <w:pPr>
              <w:spacing w:after="0" w:line="240" w:lineRule="auto"/>
              <w:ind w:firstLine="0"/>
              <w:jc w:val="center"/>
            </w:pPr>
            <w:r>
              <w:rPr>
                <w:b w:val="0"/>
                <w:i w:val="0"/>
                <w:sz w:val="20"/>
              </w:rPr>
              <w:t>55</w:t>
            </w:r>
          </w:p>
        </w:tc>
        <w:tc>
          <w:tcPr>
            <w:tcW w:type="dxa" w:w="1995"/>
          </w:tcPr>
          <w:p>
            <w:pPr>
              <w:spacing w:after="0" w:line="240" w:lineRule="auto"/>
              <w:ind w:firstLine="0"/>
              <w:jc w:val="center"/>
            </w:pPr>
            <w:r>
              <w:rPr>
                <w:b w:val="0"/>
                <w:i w:val="0"/>
                <w:sz w:val="20"/>
              </w:rPr>
              <w:t>70</w:t>
            </w:r>
          </w:p>
        </w:tc>
        <w:tc>
          <w:tcPr>
            <w:tcW w:type="dxa" w:w="1995"/>
          </w:tcPr>
          <w:p>
            <w:pPr>
              <w:spacing w:after="0" w:line="240" w:lineRule="auto"/>
              <w:ind w:firstLine="0"/>
              <w:jc w:val="center"/>
            </w:pPr>
            <w:r>
              <w:rPr>
                <w:b w:val="0"/>
                <w:i w:val="0"/>
                <w:sz w:val="20"/>
              </w:rPr>
              <w:t>55</w:t>
            </w:r>
          </w:p>
        </w:tc>
      </w:tr>
      <w:tr>
        <w:tc>
          <w:tcPr>
            <w:tcW w:type="dxa" w:w="1995"/>
          </w:tcPr>
          <w:p>
            <w:pPr>
              <w:spacing w:after="0" w:line="240" w:lineRule="auto"/>
              <w:ind w:firstLine="0"/>
              <w:jc w:val="left"/>
            </w:pPr>
            <w:r>
              <w:rPr>
                <w:b w:val="0"/>
                <w:i w:val="0"/>
                <w:sz w:val="20"/>
              </w:rPr>
              <w:t>N42SH–N45SH</w:t>
            </w:r>
          </w:p>
        </w:tc>
        <w:tc>
          <w:tcPr>
            <w:tcW w:type="dxa" w:w="1995"/>
          </w:tcPr>
          <w:p>
            <w:pPr>
              <w:spacing w:after="0" w:line="240" w:lineRule="auto"/>
              <w:ind w:firstLine="0"/>
              <w:jc w:val="center"/>
            </w:pPr>
            <w:r>
              <w:rPr>
                <w:b w:val="0"/>
                <w:i w:val="0"/>
                <w:sz w:val="20"/>
              </w:rPr>
              <w:t>до 150</w:t>
            </w:r>
          </w:p>
        </w:tc>
        <w:tc>
          <w:tcPr>
            <w:tcW w:type="dxa" w:w="1995"/>
          </w:tcPr>
          <w:p>
            <w:pPr>
              <w:spacing w:after="0" w:line="240" w:lineRule="auto"/>
              <w:ind w:firstLine="0"/>
              <w:jc w:val="center"/>
            </w:pPr>
            <w:r>
              <w:rPr>
                <w:b w:val="0"/>
                <w:i w:val="0"/>
                <w:sz w:val="20"/>
              </w:rPr>
              <w:t>68</w:t>
            </w:r>
          </w:p>
        </w:tc>
        <w:tc>
          <w:tcPr>
            <w:tcW w:type="dxa" w:w="1995"/>
          </w:tcPr>
          <w:p>
            <w:pPr>
              <w:spacing w:after="0" w:line="240" w:lineRule="auto"/>
              <w:ind w:firstLine="0"/>
              <w:jc w:val="center"/>
            </w:pPr>
            <w:r>
              <w:rPr>
                <w:b w:val="0"/>
                <w:i w:val="0"/>
                <w:sz w:val="20"/>
              </w:rPr>
              <w:t>92</w:t>
            </w:r>
          </w:p>
        </w:tc>
        <w:tc>
          <w:tcPr>
            <w:tcW w:type="dxa" w:w="1995"/>
          </w:tcPr>
          <w:p>
            <w:pPr>
              <w:spacing w:after="0" w:line="240" w:lineRule="auto"/>
              <w:ind w:firstLine="0"/>
              <w:jc w:val="center"/>
            </w:pPr>
            <w:r>
              <w:rPr>
                <w:b w:val="0"/>
                <w:i w:val="0"/>
                <w:sz w:val="20"/>
              </w:rPr>
              <w:t>61</w:t>
            </w:r>
          </w:p>
        </w:tc>
      </w:tr>
      <w:tr>
        <w:tc>
          <w:tcPr>
            <w:tcW w:type="dxa" w:w="1995"/>
          </w:tcPr>
          <w:p>
            <w:pPr>
              <w:spacing w:after="0" w:line="240" w:lineRule="auto"/>
              <w:ind w:firstLine="0"/>
              <w:jc w:val="left"/>
            </w:pPr>
            <w:r>
              <w:rPr>
                <w:b w:val="0"/>
                <w:i w:val="0"/>
                <w:sz w:val="20"/>
              </w:rPr>
              <w:t>N38UH–N42UH</w:t>
            </w:r>
          </w:p>
        </w:tc>
        <w:tc>
          <w:tcPr>
            <w:tcW w:type="dxa" w:w="1995"/>
          </w:tcPr>
          <w:p>
            <w:pPr>
              <w:spacing w:after="0" w:line="240" w:lineRule="auto"/>
              <w:ind w:firstLine="0"/>
              <w:jc w:val="center"/>
            </w:pPr>
            <w:r>
              <w:rPr>
                <w:b w:val="0"/>
                <w:i w:val="0"/>
                <w:sz w:val="20"/>
              </w:rPr>
              <w:t>до 180</w:t>
            </w:r>
          </w:p>
        </w:tc>
        <w:tc>
          <w:tcPr>
            <w:tcW w:type="dxa" w:w="1995"/>
          </w:tcPr>
          <w:p>
            <w:pPr>
              <w:spacing w:after="0" w:line="240" w:lineRule="auto"/>
              <w:ind w:firstLine="0"/>
              <w:jc w:val="center"/>
            </w:pPr>
            <w:r>
              <w:rPr>
                <w:b w:val="0"/>
                <w:i w:val="0"/>
                <w:sz w:val="20"/>
              </w:rPr>
              <w:t>88</w:t>
            </w:r>
          </w:p>
        </w:tc>
        <w:tc>
          <w:tcPr>
            <w:tcW w:type="dxa" w:w="1995"/>
          </w:tcPr>
          <w:p>
            <w:pPr>
              <w:spacing w:after="0" w:line="240" w:lineRule="auto"/>
              <w:ind w:firstLine="0"/>
              <w:jc w:val="center"/>
            </w:pPr>
            <w:r>
              <w:rPr>
                <w:b w:val="0"/>
                <w:i w:val="0"/>
                <w:sz w:val="20"/>
              </w:rPr>
              <w:t>135</w:t>
            </w:r>
          </w:p>
        </w:tc>
        <w:tc>
          <w:tcPr>
            <w:tcW w:type="dxa" w:w="1995"/>
          </w:tcPr>
          <w:p>
            <w:pPr>
              <w:spacing w:after="0" w:line="240" w:lineRule="auto"/>
              <w:ind w:firstLine="0"/>
              <w:jc w:val="center"/>
            </w:pPr>
            <w:r>
              <w:rPr>
                <w:b w:val="0"/>
                <w:i w:val="0"/>
                <w:sz w:val="20"/>
              </w:rPr>
              <w:t>68</w:t>
            </w:r>
          </w:p>
        </w:tc>
      </w:tr>
      <w:tr>
        <w:tc>
          <w:tcPr>
            <w:tcW w:type="dxa" w:w="1995"/>
          </w:tcPr>
          <w:p>
            <w:pPr>
              <w:spacing w:after="0" w:line="240" w:lineRule="auto"/>
              <w:ind w:firstLine="0"/>
              <w:jc w:val="left"/>
            </w:pPr>
            <w:r>
              <w:rPr>
                <w:b w:val="0"/>
                <w:i w:val="0"/>
                <w:sz w:val="20"/>
              </w:rPr>
              <w:t>N33EH–N38EH</w:t>
            </w:r>
          </w:p>
        </w:tc>
        <w:tc>
          <w:tcPr>
            <w:tcW w:type="dxa" w:w="1995"/>
          </w:tcPr>
          <w:p>
            <w:pPr>
              <w:spacing w:after="0" w:line="240" w:lineRule="auto"/>
              <w:ind w:firstLine="0"/>
              <w:jc w:val="center"/>
            </w:pPr>
            <w:r>
              <w:rPr>
                <w:b w:val="0"/>
                <w:i w:val="0"/>
                <w:sz w:val="20"/>
              </w:rPr>
              <w:t>до 200</w:t>
            </w:r>
          </w:p>
        </w:tc>
        <w:tc>
          <w:tcPr>
            <w:tcW w:type="dxa" w:w="1995"/>
          </w:tcPr>
          <w:p>
            <w:pPr>
              <w:spacing w:after="0" w:line="240" w:lineRule="auto"/>
              <w:ind w:firstLine="0"/>
              <w:jc w:val="center"/>
            </w:pPr>
            <w:r>
              <w:rPr>
                <w:b w:val="0"/>
                <w:i w:val="0"/>
                <w:sz w:val="20"/>
              </w:rPr>
              <w:t>125</w:t>
            </w:r>
          </w:p>
        </w:tc>
        <w:tc>
          <w:tcPr>
            <w:tcW w:type="dxa" w:w="1995"/>
          </w:tcPr>
          <w:p>
            <w:pPr>
              <w:spacing w:after="0" w:line="240" w:lineRule="auto"/>
              <w:ind w:firstLine="0"/>
              <w:jc w:val="center"/>
            </w:pPr>
            <w:r>
              <w:rPr>
                <w:b w:val="0"/>
                <w:i w:val="0"/>
                <w:sz w:val="20"/>
              </w:rPr>
              <w:t>215</w:t>
            </w:r>
          </w:p>
        </w:tc>
        <w:tc>
          <w:tcPr>
            <w:tcW w:type="dxa" w:w="1995"/>
          </w:tcPr>
          <w:p>
            <w:pPr>
              <w:spacing w:after="0" w:line="240" w:lineRule="auto"/>
              <w:ind w:firstLine="0"/>
              <w:jc w:val="center"/>
            </w:pPr>
            <w:r>
              <w:rPr>
                <w:b w:val="0"/>
                <w:i w:val="0"/>
                <w:sz w:val="20"/>
              </w:rPr>
              <w:t>74</w:t>
            </w:r>
          </w:p>
        </w:tc>
      </w:tr>
    </w:tbl>
    <w:p>
      <w:pPr>
        <w:spacing w:after="180"/>
        <w:ind w:firstLine="0"/>
      </w:pPr>
      <w:r>
        <w:rPr>
          <w:i/>
          <w:sz w:val="20"/>
        </w:rPr>
        <w:t>Источник: аналитический центр по данным производителей и дистрибьюторов; цены на типовые изделия средней сложности</w:t>
      </w:r>
    </w:p>
    <w:p>
      <w:pPr>
        <w:keepNext/>
        <w:spacing w:before="160" w:after="60"/>
        <w:ind w:firstLine="0"/>
        <w:jc w:val="left"/>
      </w:pPr>
      <w:r>
        <w:rPr>
          <w:b/>
          <w:sz w:val="22"/>
        </w:rPr>
        <w:t>Рисунок 37. Цены на спечённые магниты NdFeB по классам, 2024 и 2025 гг., $/кг</w:t>
      </w:r>
    </w:p>
    <w:p>
      <w:pPr>
        <w:ind w:firstLine="0"/>
        <w:jc w:val="center"/>
      </w:pPr>
      <w:r>
        <w:drawing>
          <wp:inline xmlns:a="http://schemas.openxmlformats.org/drawingml/2006/main" xmlns:pic="http://schemas.openxmlformats.org/drawingml/2006/picture">
            <wp:extent cx="5580000" cy="2387382"/>
            <wp:docPr id="37" name="Picture 37"/>
            <wp:cNvGraphicFramePr>
              <a:graphicFrameLocks noChangeAspect="1"/>
            </wp:cNvGraphicFramePr>
            <a:graphic>
              <a:graphicData uri="http://schemas.openxmlformats.org/drawingml/2006/picture">
                <pic:pic>
                  <pic:nvPicPr>
                    <pic:cNvPr id="0" name="fig37.png"/>
                    <pic:cNvPicPr/>
                  </pic:nvPicPr>
                  <pic:blipFill>
                    <a:blip r:embed="rId47"/>
                    <a:stretch>
                      <a:fillRect/>
                    </a:stretch>
                  </pic:blipFill>
                  <pic:spPr>
                    <a:xfrm>
                      <a:off x="0" y="0"/>
                      <a:ext cx="5580000" cy="2387382"/>
                    </a:xfrm>
                    <a:prstGeom prst="rect"/>
                  </pic:spPr>
                </pic:pic>
              </a:graphicData>
            </a:graphic>
          </wp:inline>
        </w:drawing>
      </w:r>
    </w:p>
    <w:p>
      <w:pPr>
        <w:spacing w:after="180"/>
        <w:ind w:firstLine="0"/>
      </w:pPr>
      <w:r>
        <w:rPr>
          <w:i/>
          <w:sz w:val="20"/>
        </w:rPr>
        <w:t>Источник: аналитический центр (табл. 47)</w:t>
      </w:r>
    </w:p>
    <w:p>
      <w:r>
        <w:rPr>
          <w:b w:val="0"/>
          <w:i w:val="0"/>
        </w:rPr>
        <w:t>Данные таблицы 47 демонстрируют важный эффект экспортного контроля 2025 г.: удорожание высокотемпературных марок (68–72%) существенно превысило удорожание базовых (24%), поскольку именно они содержат подпавшие под ограничения диспрозий и тербий. Практическое следствие — рост издержек в сегментах, где применение высокотемпературных марок технически безальтернативно: тяговые двигатели, аэрокосмическая и оборонная техника.</w:t>
      </w:r>
    </w:p>
    <w:p>
      <w:pPr>
        <w:pStyle w:val="Heading2"/>
      </w:pPr>
      <w:r>
        <w:rPr>
          <w:b w:val="0"/>
          <w:i w:val="0"/>
        </w:rPr>
        <w:t>6.6. Факторы ценовой динамики и волатильность</w:t>
      </w:r>
    </w:p>
    <w:p>
      <w:pPr>
        <w:keepNext/>
        <w:spacing w:before="160" w:after="60"/>
        <w:ind w:firstLine="0"/>
        <w:jc w:val="left"/>
      </w:pPr>
      <w:r>
        <w:rPr>
          <w:b/>
          <w:sz w:val="22"/>
        </w:rPr>
        <w:t>Таблица 48. Основные факторы, определяющие ценовую динамику рынка РЗМ</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Фактор</w:t>
            </w:r>
          </w:p>
        </w:tc>
        <w:tc>
          <w:tcPr>
            <w:tcW w:type="dxa" w:w="2493"/>
            <w:shd w:val="clear" w:fill="DCE6F1"/>
          </w:tcPr>
          <w:p>
            <w:pPr>
              <w:spacing w:after="0" w:line="240" w:lineRule="auto"/>
              <w:ind w:firstLine="0"/>
              <w:jc w:val="center"/>
            </w:pPr>
            <w:r>
              <w:rPr>
                <w:b/>
                <w:i w:val="0"/>
                <w:sz w:val="20"/>
              </w:rPr>
              <w:t>Направление влияния</w:t>
            </w:r>
          </w:p>
        </w:tc>
        <w:tc>
          <w:tcPr>
            <w:tcW w:type="dxa" w:w="2493"/>
            <w:shd w:val="clear" w:fill="DCE6F1"/>
          </w:tcPr>
          <w:p>
            <w:pPr>
              <w:spacing w:after="0" w:line="240" w:lineRule="auto"/>
              <w:ind w:firstLine="0"/>
              <w:jc w:val="center"/>
            </w:pPr>
            <w:r>
              <w:rPr>
                <w:b/>
                <w:i w:val="0"/>
                <w:sz w:val="20"/>
              </w:rPr>
              <w:t>Горизонт</w:t>
            </w:r>
          </w:p>
        </w:tc>
        <w:tc>
          <w:tcPr>
            <w:tcW w:type="dxa" w:w="2493"/>
            <w:shd w:val="clear" w:fill="DCE6F1"/>
          </w:tcPr>
          <w:p>
            <w:pPr>
              <w:spacing w:after="0" w:line="240" w:lineRule="auto"/>
              <w:ind w:firstLine="0"/>
              <w:jc w:val="center"/>
            </w:pPr>
            <w:r>
              <w:rPr>
                <w:b/>
                <w:i w:val="0"/>
                <w:sz w:val="20"/>
              </w:rPr>
              <w:t>Комментарий</w:t>
            </w:r>
          </w:p>
        </w:tc>
      </w:tr>
      <w:tr>
        <w:tc>
          <w:tcPr>
            <w:tcW w:type="dxa" w:w="2493"/>
          </w:tcPr>
          <w:p>
            <w:pPr>
              <w:spacing w:after="0" w:line="240" w:lineRule="auto"/>
              <w:ind w:firstLine="0"/>
              <w:jc w:val="left"/>
            </w:pPr>
            <w:r>
              <w:rPr>
                <w:b w:val="0"/>
                <w:i w:val="0"/>
                <w:sz w:val="20"/>
              </w:rPr>
              <w:t>Квоты КНР на добычу и разделение</w:t>
            </w:r>
          </w:p>
        </w:tc>
        <w:tc>
          <w:tcPr>
            <w:tcW w:type="dxa" w:w="2493"/>
          </w:tcPr>
          <w:p>
            <w:pPr>
              <w:spacing w:after="0" w:line="240" w:lineRule="auto"/>
              <w:ind w:firstLine="0"/>
              <w:jc w:val="center"/>
            </w:pPr>
            <w:r>
              <w:rPr>
                <w:b w:val="0"/>
                <w:i w:val="0"/>
                <w:sz w:val="20"/>
              </w:rPr>
              <w:t>рост квот → снижение цен</w:t>
            </w:r>
          </w:p>
        </w:tc>
        <w:tc>
          <w:tcPr>
            <w:tcW w:type="dxa" w:w="2493"/>
          </w:tcPr>
          <w:p>
            <w:pPr>
              <w:spacing w:after="0" w:line="240" w:lineRule="auto"/>
              <w:ind w:firstLine="0"/>
              <w:jc w:val="center"/>
            </w:pPr>
            <w:r>
              <w:rPr>
                <w:b w:val="0"/>
                <w:i w:val="0"/>
                <w:sz w:val="20"/>
              </w:rPr>
              <w:t>6–12 мес.</w:t>
            </w:r>
          </w:p>
        </w:tc>
        <w:tc>
          <w:tcPr>
            <w:tcW w:type="dxa" w:w="2493"/>
          </w:tcPr>
          <w:p>
            <w:pPr>
              <w:spacing w:after="0" w:line="240" w:lineRule="auto"/>
              <w:ind w:firstLine="0"/>
              <w:jc w:val="center"/>
            </w:pPr>
            <w:r>
              <w:rPr>
                <w:b w:val="0"/>
                <w:i w:val="0"/>
                <w:sz w:val="20"/>
              </w:rPr>
              <w:t>ключевой регулярный фактор</w:t>
            </w:r>
          </w:p>
        </w:tc>
      </w:tr>
      <w:tr>
        <w:tc>
          <w:tcPr>
            <w:tcW w:type="dxa" w:w="2493"/>
          </w:tcPr>
          <w:p>
            <w:pPr>
              <w:spacing w:after="0" w:line="240" w:lineRule="auto"/>
              <w:ind w:firstLine="0"/>
              <w:jc w:val="left"/>
            </w:pPr>
            <w:r>
              <w:rPr>
                <w:b w:val="0"/>
                <w:i w:val="0"/>
                <w:sz w:val="20"/>
              </w:rPr>
              <w:t>Экспортный контроль КНР</w:t>
            </w:r>
          </w:p>
        </w:tc>
        <w:tc>
          <w:tcPr>
            <w:tcW w:type="dxa" w:w="2493"/>
          </w:tcPr>
          <w:p>
            <w:pPr>
              <w:spacing w:after="0" w:line="240" w:lineRule="auto"/>
              <w:ind w:firstLine="0"/>
              <w:jc w:val="center"/>
            </w:pPr>
            <w:r>
              <w:rPr>
                <w:b w:val="0"/>
                <w:i w:val="0"/>
                <w:sz w:val="20"/>
              </w:rPr>
              <w:t>ужесточение → рост внешних цен</w:t>
            </w:r>
          </w:p>
        </w:tc>
        <w:tc>
          <w:tcPr>
            <w:tcW w:type="dxa" w:w="2493"/>
          </w:tcPr>
          <w:p>
            <w:pPr>
              <w:spacing w:after="0" w:line="240" w:lineRule="auto"/>
              <w:ind w:firstLine="0"/>
              <w:jc w:val="center"/>
            </w:pPr>
            <w:r>
              <w:rPr>
                <w:b w:val="0"/>
                <w:i w:val="0"/>
                <w:sz w:val="20"/>
              </w:rPr>
              <w:t>немедленный</w:t>
            </w:r>
          </w:p>
        </w:tc>
        <w:tc>
          <w:tcPr>
            <w:tcW w:type="dxa" w:w="2493"/>
          </w:tcPr>
          <w:p>
            <w:pPr>
              <w:spacing w:after="0" w:line="240" w:lineRule="auto"/>
              <w:ind w:firstLine="0"/>
              <w:jc w:val="center"/>
            </w:pPr>
            <w:r>
              <w:rPr>
                <w:b w:val="0"/>
                <w:i w:val="0"/>
                <w:sz w:val="20"/>
              </w:rPr>
              <w:t>эффект асимметричен по элементам</w:t>
            </w:r>
          </w:p>
        </w:tc>
      </w:tr>
      <w:tr>
        <w:tc>
          <w:tcPr>
            <w:tcW w:type="dxa" w:w="2493"/>
          </w:tcPr>
          <w:p>
            <w:pPr>
              <w:spacing w:after="0" w:line="240" w:lineRule="auto"/>
              <w:ind w:firstLine="0"/>
              <w:jc w:val="left"/>
            </w:pPr>
            <w:r>
              <w:rPr>
                <w:b w:val="0"/>
                <w:i w:val="0"/>
                <w:sz w:val="20"/>
              </w:rPr>
              <w:t>Поставки из Мьянмы</w:t>
            </w:r>
          </w:p>
        </w:tc>
        <w:tc>
          <w:tcPr>
            <w:tcW w:type="dxa" w:w="2493"/>
          </w:tcPr>
          <w:p>
            <w:pPr>
              <w:spacing w:after="0" w:line="240" w:lineRule="auto"/>
              <w:ind w:firstLine="0"/>
              <w:jc w:val="center"/>
            </w:pPr>
            <w:r>
              <w:rPr>
                <w:b w:val="0"/>
                <w:i w:val="0"/>
                <w:sz w:val="20"/>
              </w:rPr>
              <w:t>перебои → рост цен на Dy, Tb</w:t>
            </w:r>
          </w:p>
        </w:tc>
        <w:tc>
          <w:tcPr>
            <w:tcW w:type="dxa" w:w="2493"/>
          </w:tcPr>
          <w:p>
            <w:pPr>
              <w:spacing w:after="0" w:line="240" w:lineRule="auto"/>
              <w:ind w:firstLine="0"/>
              <w:jc w:val="center"/>
            </w:pPr>
            <w:r>
              <w:rPr>
                <w:b w:val="0"/>
                <w:i w:val="0"/>
                <w:sz w:val="20"/>
              </w:rPr>
              <w:t>1–3 мес.</w:t>
            </w:r>
          </w:p>
        </w:tc>
        <w:tc>
          <w:tcPr>
            <w:tcW w:type="dxa" w:w="2493"/>
          </w:tcPr>
          <w:p>
            <w:pPr>
              <w:spacing w:after="0" w:line="240" w:lineRule="auto"/>
              <w:ind w:firstLine="0"/>
              <w:jc w:val="center"/>
            </w:pPr>
            <w:r>
              <w:rPr>
                <w:b w:val="0"/>
                <w:i w:val="0"/>
                <w:sz w:val="20"/>
              </w:rPr>
              <w:t>высокая волатильность</w:t>
            </w:r>
          </w:p>
        </w:tc>
      </w:tr>
      <w:tr>
        <w:tc>
          <w:tcPr>
            <w:tcW w:type="dxa" w:w="2493"/>
          </w:tcPr>
          <w:p>
            <w:pPr>
              <w:spacing w:after="0" w:line="240" w:lineRule="auto"/>
              <w:ind w:firstLine="0"/>
              <w:jc w:val="left"/>
            </w:pPr>
            <w:r>
              <w:rPr>
                <w:b w:val="0"/>
                <w:i w:val="0"/>
                <w:sz w:val="20"/>
              </w:rPr>
              <w:t>Динамика продаж EV</w:t>
            </w:r>
          </w:p>
        </w:tc>
        <w:tc>
          <w:tcPr>
            <w:tcW w:type="dxa" w:w="2493"/>
          </w:tcPr>
          <w:p>
            <w:pPr>
              <w:spacing w:after="0" w:line="240" w:lineRule="auto"/>
              <w:ind w:firstLine="0"/>
              <w:jc w:val="center"/>
            </w:pPr>
            <w:r>
              <w:rPr>
                <w:b w:val="0"/>
                <w:i w:val="0"/>
                <w:sz w:val="20"/>
              </w:rPr>
              <w:t>рост → рост цен на NdPr</w:t>
            </w:r>
          </w:p>
        </w:tc>
        <w:tc>
          <w:tcPr>
            <w:tcW w:type="dxa" w:w="2493"/>
          </w:tcPr>
          <w:p>
            <w:pPr>
              <w:spacing w:after="0" w:line="240" w:lineRule="auto"/>
              <w:ind w:firstLine="0"/>
              <w:jc w:val="center"/>
            </w:pPr>
            <w:r>
              <w:rPr>
                <w:b w:val="0"/>
                <w:i w:val="0"/>
                <w:sz w:val="20"/>
              </w:rPr>
              <w:t>6–18 мес.</w:t>
            </w:r>
          </w:p>
        </w:tc>
        <w:tc>
          <w:tcPr>
            <w:tcW w:type="dxa" w:w="2493"/>
          </w:tcPr>
          <w:p>
            <w:pPr>
              <w:spacing w:after="0" w:line="240" w:lineRule="auto"/>
              <w:ind w:firstLine="0"/>
              <w:jc w:val="center"/>
            </w:pPr>
            <w:r>
              <w:rPr>
                <w:b w:val="0"/>
                <w:i w:val="0"/>
                <w:sz w:val="20"/>
              </w:rPr>
              <w:t>основной драйвер спроса</w:t>
            </w:r>
          </w:p>
        </w:tc>
      </w:tr>
      <w:tr>
        <w:tc>
          <w:tcPr>
            <w:tcW w:type="dxa" w:w="2493"/>
          </w:tcPr>
          <w:p>
            <w:pPr>
              <w:spacing w:after="0" w:line="240" w:lineRule="auto"/>
              <w:ind w:firstLine="0"/>
              <w:jc w:val="left"/>
            </w:pPr>
            <w:r>
              <w:rPr>
                <w:b w:val="0"/>
                <w:i w:val="0"/>
                <w:sz w:val="20"/>
              </w:rPr>
              <w:t>Ввод мощностей ВЭУ</w:t>
            </w:r>
          </w:p>
        </w:tc>
        <w:tc>
          <w:tcPr>
            <w:tcW w:type="dxa" w:w="2493"/>
          </w:tcPr>
          <w:p>
            <w:pPr>
              <w:spacing w:after="0" w:line="240" w:lineRule="auto"/>
              <w:ind w:firstLine="0"/>
              <w:jc w:val="center"/>
            </w:pPr>
            <w:r>
              <w:rPr>
                <w:b w:val="0"/>
                <w:i w:val="0"/>
                <w:sz w:val="20"/>
              </w:rPr>
              <w:t>рост → рост цен на NdPr</w:t>
            </w:r>
          </w:p>
        </w:tc>
        <w:tc>
          <w:tcPr>
            <w:tcW w:type="dxa" w:w="2493"/>
          </w:tcPr>
          <w:p>
            <w:pPr>
              <w:spacing w:after="0" w:line="240" w:lineRule="auto"/>
              <w:ind w:firstLine="0"/>
              <w:jc w:val="center"/>
            </w:pPr>
            <w:r>
              <w:rPr>
                <w:b w:val="0"/>
                <w:i w:val="0"/>
                <w:sz w:val="20"/>
              </w:rPr>
              <w:t>12–24 мес.</w:t>
            </w:r>
          </w:p>
        </w:tc>
        <w:tc>
          <w:tcPr>
            <w:tcW w:type="dxa" w:w="2493"/>
          </w:tcPr>
          <w:p>
            <w:pPr>
              <w:spacing w:after="0" w:line="240" w:lineRule="auto"/>
              <w:ind w:firstLine="0"/>
              <w:jc w:val="center"/>
            </w:pPr>
            <w:r>
              <w:rPr>
                <w:b w:val="0"/>
                <w:i w:val="0"/>
                <w:sz w:val="20"/>
              </w:rPr>
              <w:t>тендерные циклы</w:t>
            </w:r>
          </w:p>
        </w:tc>
      </w:tr>
      <w:tr>
        <w:tc>
          <w:tcPr>
            <w:tcW w:type="dxa" w:w="2493"/>
          </w:tcPr>
          <w:p>
            <w:pPr>
              <w:spacing w:after="0" w:line="240" w:lineRule="auto"/>
              <w:ind w:firstLine="0"/>
              <w:jc w:val="left"/>
            </w:pPr>
            <w:r>
              <w:rPr>
                <w:b w:val="0"/>
                <w:i w:val="0"/>
                <w:sz w:val="20"/>
              </w:rPr>
              <w:t>Накопление запасов потребителями</w:t>
            </w:r>
          </w:p>
        </w:tc>
        <w:tc>
          <w:tcPr>
            <w:tcW w:type="dxa" w:w="2493"/>
          </w:tcPr>
          <w:p>
            <w:pPr>
              <w:spacing w:after="0" w:line="240" w:lineRule="auto"/>
              <w:ind w:firstLine="0"/>
              <w:jc w:val="center"/>
            </w:pPr>
            <w:r>
              <w:rPr>
                <w:b w:val="0"/>
                <w:i w:val="0"/>
                <w:sz w:val="20"/>
              </w:rPr>
              <w:t>рост → краткосрочный рост цен</w:t>
            </w:r>
          </w:p>
        </w:tc>
        <w:tc>
          <w:tcPr>
            <w:tcW w:type="dxa" w:w="2493"/>
          </w:tcPr>
          <w:p>
            <w:pPr>
              <w:spacing w:after="0" w:line="240" w:lineRule="auto"/>
              <w:ind w:firstLine="0"/>
              <w:jc w:val="center"/>
            </w:pPr>
            <w:r>
              <w:rPr>
                <w:b w:val="0"/>
                <w:i w:val="0"/>
                <w:sz w:val="20"/>
              </w:rPr>
              <w:t>1–6 мес.</w:t>
            </w:r>
          </w:p>
        </w:tc>
        <w:tc>
          <w:tcPr>
            <w:tcW w:type="dxa" w:w="2493"/>
          </w:tcPr>
          <w:p>
            <w:pPr>
              <w:spacing w:after="0" w:line="240" w:lineRule="auto"/>
              <w:ind w:firstLine="0"/>
              <w:jc w:val="center"/>
            </w:pPr>
            <w:r>
              <w:rPr>
                <w:b w:val="0"/>
                <w:i w:val="0"/>
                <w:sz w:val="20"/>
              </w:rPr>
              <w:t>усиливает волатильность</w:t>
            </w:r>
          </w:p>
        </w:tc>
      </w:tr>
      <w:tr>
        <w:tc>
          <w:tcPr>
            <w:tcW w:type="dxa" w:w="2493"/>
          </w:tcPr>
          <w:p>
            <w:pPr>
              <w:spacing w:after="0" w:line="240" w:lineRule="auto"/>
              <w:ind w:firstLine="0"/>
              <w:jc w:val="left"/>
            </w:pPr>
            <w:r>
              <w:rPr>
                <w:b w:val="0"/>
                <w:i w:val="0"/>
                <w:sz w:val="20"/>
              </w:rPr>
              <w:t>Вывод складских запасов КНР</w:t>
            </w:r>
          </w:p>
        </w:tc>
        <w:tc>
          <w:tcPr>
            <w:tcW w:type="dxa" w:w="2493"/>
          </w:tcPr>
          <w:p>
            <w:pPr>
              <w:spacing w:after="0" w:line="240" w:lineRule="auto"/>
              <w:ind w:firstLine="0"/>
              <w:jc w:val="center"/>
            </w:pPr>
            <w:r>
              <w:rPr>
                <w:b w:val="0"/>
                <w:i w:val="0"/>
                <w:sz w:val="20"/>
              </w:rPr>
              <w:t>→ снижение цен</w:t>
            </w:r>
          </w:p>
        </w:tc>
        <w:tc>
          <w:tcPr>
            <w:tcW w:type="dxa" w:w="2493"/>
          </w:tcPr>
          <w:p>
            <w:pPr>
              <w:spacing w:after="0" w:line="240" w:lineRule="auto"/>
              <w:ind w:firstLine="0"/>
              <w:jc w:val="center"/>
            </w:pPr>
            <w:r>
              <w:rPr>
                <w:b w:val="0"/>
                <w:i w:val="0"/>
                <w:sz w:val="20"/>
              </w:rPr>
              <w:t>3–9 мес.</w:t>
            </w:r>
          </w:p>
        </w:tc>
        <w:tc>
          <w:tcPr>
            <w:tcW w:type="dxa" w:w="2493"/>
          </w:tcPr>
          <w:p>
            <w:pPr>
              <w:spacing w:after="0" w:line="240" w:lineRule="auto"/>
              <w:ind w:firstLine="0"/>
              <w:jc w:val="center"/>
            </w:pPr>
            <w:r>
              <w:rPr>
                <w:b w:val="0"/>
                <w:i w:val="0"/>
                <w:sz w:val="20"/>
              </w:rPr>
              <w:t>инструмент управления рынком</w:t>
            </w:r>
          </w:p>
        </w:tc>
      </w:tr>
      <w:tr>
        <w:tc>
          <w:tcPr>
            <w:tcW w:type="dxa" w:w="2493"/>
          </w:tcPr>
          <w:p>
            <w:pPr>
              <w:spacing w:after="0" w:line="240" w:lineRule="auto"/>
              <w:ind w:firstLine="0"/>
              <w:jc w:val="left"/>
            </w:pPr>
            <w:r>
              <w:rPr>
                <w:b w:val="0"/>
                <w:i w:val="0"/>
                <w:sz w:val="20"/>
              </w:rPr>
              <w:t>Технологии GBD и замещения</w:t>
            </w:r>
          </w:p>
        </w:tc>
        <w:tc>
          <w:tcPr>
            <w:tcW w:type="dxa" w:w="2493"/>
          </w:tcPr>
          <w:p>
            <w:pPr>
              <w:spacing w:after="0" w:line="240" w:lineRule="auto"/>
              <w:ind w:firstLine="0"/>
              <w:jc w:val="center"/>
            </w:pPr>
            <w:r>
              <w:rPr>
                <w:b w:val="0"/>
                <w:i w:val="0"/>
                <w:sz w:val="20"/>
              </w:rPr>
              <w:t>→ снижение цен на Dy, Tb</w:t>
            </w:r>
          </w:p>
        </w:tc>
        <w:tc>
          <w:tcPr>
            <w:tcW w:type="dxa" w:w="2493"/>
          </w:tcPr>
          <w:p>
            <w:pPr>
              <w:spacing w:after="0" w:line="240" w:lineRule="auto"/>
              <w:ind w:firstLine="0"/>
              <w:jc w:val="center"/>
            </w:pPr>
            <w:r>
              <w:rPr>
                <w:b w:val="0"/>
                <w:i w:val="0"/>
                <w:sz w:val="20"/>
              </w:rPr>
              <w:t>3–7 лет</w:t>
            </w:r>
          </w:p>
        </w:tc>
        <w:tc>
          <w:tcPr>
            <w:tcW w:type="dxa" w:w="2493"/>
          </w:tcPr>
          <w:p>
            <w:pPr>
              <w:spacing w:after="0" w:line="240" w:lineRule="auto"/>
              <w:ind w:firstLine="0"/>
              <w:jc w:val="center"/>
            </w:pPr>
            <w:r>
              <w:rPr>
                <w:b w:val="0"/>
                <w:i w:val="0"/>
                <w:sz w:val="20"/>
              </w:rPr>
              <w:t>структурный фактор</w:t>
            </w:r>
          </w:p>
        </w:tc>
      </w:tr>
      <w:tr>
        <w:tc>
          <w:tcPr>
            <w:tcW w:type="dxa" w:w="2493"/>
          </w:tcPr>
          <w:p>
            <w:pPr>
              <w:spacing w:after="0" w:line="240" w:lineRule="auto"/>
              <w:ind w:firstLine="0"/>
              <w:jc w:val="left"/>
            </w:pPr>
            <w:r>
              <w:rPr>
                <w:b w:val="0"/>
                <w:i w:val="0"/>
                <w:sz w:val="20"/>
              </w:rPr>
              <w:t>Рециклинг</w:t>
            </w:r>
          </w:p>
        </w:tc>
        <w:tc>
          <w:tcPr>
            <w:tcW w:type="dxa" w:w="2493"/>
          </w:tcPr>
          <w:p>
            <w:pPr>
              <w:spacing w:after="0" w:line="240" w:lineRule="auto"/>
              <w:ind w:firstLine="0"/>
              <w:jc w:val="center"/>
            </w:pPr>
            <w:r>
              <w:rPr>
                <w:b w:val="0"/>
                <w:i w:val="0"/>
                <w:sz w:val="20"/>
              </w:rPr>
              <w:t>→ снижение цен</w:t>
            </w:r>
          </w:p>
        </w:tc>
        <w:tc>
          <w:tcPr>
            <w:tcW w:type="dxa" w:w="2493"/>
          </w:tcPr>
          <w:p>
            <w:pPr>
              <w:spacing w:after="0" w:line="240" w:lineRule="auto"/>
              <w:ind w:firstLine="0"/>
              <w:jc w:val="center"/>
            </w:pPr>
            <w:r>
              <w:rPr>
                <w:b w:val="0"/>
                <w:i w:val="0"/>
                <w:sz w:val="20"/>
              </w:rPr>
              <w:t>5–10 лет</w:t>
            </w:r>
          </w:p>
        </w:tc>
        <w:tc>
          <w:tcPr>
            <w:tcW w:type="dxa" w:w="2493"/>
          </w:tcPr>
          <w:p>
            <w:pPr>
              <w:spacing w:after="0" w:line="240" w:lineRule="auto"/>
              <w:ind w:firstLine="0"/>
              <w:jc w:val="center"/>
            </w:pPr>
            <w:r>
              <w:rPr>
                <w:b w:val="0"/>
                <w:i w:val="0"/>
                <w:sz w:val="20"/>
              </w:rPr>
              <w:t>пока незначителен</w:t>
            </w:r>
          </w:p>
        </w:tc>
      </w:tr>
      <w:tr>
        <w:tc>
          <w:tcPr>
            <w:tcW w:type="dxa" w:w="2493"/>
          </w:tcPr>
          <w:p>
            <w:pPr>
              <w:spacing w:after="0" w:line="240" w:lineRule="auto"/>
              <w:ind w:firstLine="0"/>
              <w:jc w:val="left"/>
            </w:pPr>
            <w:r>
              <w:rPr>
                <w:b w:val="0"/>
                <w:i w:val="0"/>
                <w:sz w:val="20"/>
              </w:rPr>
              <w:t>Ценовые полы (США)</w:t>
            </w:r>
          </w:p>
        </w:tc>
        <w:tc>
          <w:tcPr>
            <w:tcW w:type="dxa" w:w="2493"/>
          </w:tcPr>
          <w:p>
            <w:pPr>
              <w:spacing w:after="0" w:line="240" w:lineRule="auto"/>
              <w:ind w:firstLine="0"/>
              <w:jc w:val="center"/>
            </w:pPr>
            <w:r>
              <w:rPr>
                <w:b w:val="0"/>
                <w:i w:val="0"/>
                <w:sz w:val="20"/>
              </w:rPr>
              <w:t>→ повышение нижней границы</w:t>
            </w:r>
          </w:p>
        </w:tc>
        <w:tc>
          <w:tcPr>
            <w:tcW w:type="dxa" w:w="2493"/>
          </w:tcPr>
          <w:p>
            <w:pPr>
              <w:spacing w:after="0" w:line="240" w:lineRule="auto"/>
              <w:ind w:firstLine="0"/>
              <w:jc w:val="center"/>
            </w:pPr>
            <w:r>
              <w:rPr>
                <w:b w:val="0"/>
                <w:i w:val="0"/>
                <w:sz w:val="20"/>
              </w:rPr>
              <w:t>10 лет</w:t>
            </w:r>
          </w:p>
        </w:tc>
        <w:tc>
          <w:tcPr>
            <w:tcW w:type="dxa" w:w="2493"/>
          </w:tcPr>
          <w:p>
            <w:pPr>
              <w:spacing w:after="0" w:line="240" w:lineRule="auto"/>
              <w:ind w:firstLine="0"/>
              <w:jc w:val="center"/>
            </w:pPr>
            <w:r>
              <w:rPr>
                <w:b w:val="0"/>
                <w:i w:val="0"/>
                <w:sz w:val="20"/>
              </w:rPr>
              <w:t>новый институциональный фактор</w:t>
            </w:r>
          </w:p>
        </w:tc>
      </w:tr>
    </w:tbl>
    <w:p>
      <w:pPr>
        <w:spacing w:after="180"/>
        <w:ind w:firstLine="0"/>
      </w:pPr>
      <w:r>
        <w:rPr>
          <w:i/>
          <w:sz w:val="20"/>
        </w:rPr>
        <w:t>Источник: аналитический центр</w:t>
      </w:r>
    </w:p>
    <w:p>
      <w:pPr>
        <w:keepNext/>
        <w:spacing w:before="160" w:after="60"/>
        <w:ind w:firstLine="0"/>
        <w:jc w:val="left"/>
      </w:pPr>
      <w:r>
        <w:rPr>
          <w:b/>
          <w:sz w:val="22"/>
        </w:rPr>
        <w:t>Рисунок 38. Волатильность цен на редкоземельные оксиды (среднегодовое стандартное отклонение месячных изменений), 2015–2025 гг., %</w:t>
      </w:r>
    </w:p>
    <w:p>
      <w:pPr>
        <w:ind w:firstLine="0"/>
        <w:jc w:val="center"/>
      </w:pPr>
      <w:r>
        <w:drawing>
          <wp:inline xmlns:a="http://schemas.openxmlformats.org/drawingml/2006/main" xmlns:pic="http://schemas.openxmlformats.org/drawingml/2006/picture">
            <wp:extent cx="5580000" cy="2749565"/>
            <wp:docPr id="38" name="Picture 38"/>
            <wp:cNvGraphicFramePr>
              <a:graphicFrameLocks noChangeAspect="1"/>
            </wp:cNvGraphicFramePr>
            <a:graphic>
              <a:graphicData uri="http://schemas.openxmlformats.org/drawingml/2006/picture">
                <pic:pic>
                  <pic:nvPicPr>
                    <pic:cNvPr id="0" name="fig38.png"/>
                    <pic:cNvPicPr/>
                  </pic:nvPicPr>
                  <pic:blipFill>
                    <a:blip r:embed="rId48"/>
                    <a:stretch>
                      <a:fillRect/>
                    </a:stretch>
                  </pic:blipFill>
                  <pic:spPr>
                    <a:xfrm>
                      <a:off x="0" y="0"/>
                      <a:ext cx="5580000" cy="2749565"/>
                    </a:xfrm>
                    <a:prstGeom prst="rect"/>
                  </pic:spPr>
                </pic:pic>
              </a:graphicData>
            </a:graphic>
          </wp:inline>
        </w:drawing>
      </w:r>
    </w:p>
    <w:p>
      <w:pPr>
        <w:spacing w:after="180"/>
        <w:ind w:firstLine="0"/>
      </w:pPr>
      <w:r>
        <w:rPr>
          <w:i/>
          <w:sz w:val="20"/>
        </w:rPr>
        <w:t>Источник: расчёт аналитического центра</w:t>
      </w:r>
    </w:p>
    <w:p>
      <w:r>
        <w:rPr>
          <w:b w:val="0"/>
          <w:i w:val="0"/>
        </w:rPr>
        <w:t>Средняя волатильность рынка редкоземельных оксидов (7–12% месячного стандартного отклонения) в 2–4 раза превышает показатели биржевых цветных металлов (медь — 4,5%, алюминий — 4,0%, никель — 6,5%). Столь высокая волатильность при отсутствии инструментов хеджирования является самостоятельным барьером для инвестиций и объясняет распространение в отрасли механизмов внерыночной ценовой стабилизации.</w:t>
      </w:r>
    </w:p>
    <w:p>
      <w:pPr>
        <w:keepNext/>
        <w:spacing w:before="160" w:after="60"/>
        <w:ind w:firstLine="0"/>
        <w:jc w:val="left"/>
      </w:pPr>
      <w:r>
        <w:rPr>
          <w:b/>
          <w:sz w:val="22"/>
        </w:rPr>
        <w:t>Таблица 49. Сопоставление ценовых уровней с порогами рентабельности не-китайских производителей, $/кг NdPr</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Категория производителей</w:t>
            </w:r>
          </w:p>
        </w:tc>
        <w:tc>
          <w:tcPr>
            <w:tcW w:type="dxa" w:w="2493"/>
            <w:shd w:val="clear" w:fill="DCE6F1"/>
          </w:tcPr>
          <w:p>
            <w:pPr>
              <w:spacing w:after="0" w:line="240" w:lineRule="auto"/>
              <w:ind w:firstLine="0"/>
              <w:jc w:val="center"/>
            </w:pPr>
            <w:r>
              <w:rPr>
                <w:b/>
                <w:i w:val="0"/>
                <w:sz w:val="20"/>
              </w:rPr>
              <w:t>Порог безубыточности</w:t>
            </w:r>
          </w:p>
        </w:tc>
        <w:tc>
          <w:tcPr>
            <w:tcW w:type="dxa" w:w="2493"/>
            <w:shd w:val="clear" w:fill="DCE6F1"/>
          </w:tcPr>
          <w:p>
            <w:pPr>
              <w:spacing w:after="0" w:line="240" w:lineRule="auto"/>
              <w:ind w:firstLine="0"/>
              <w:jc w:val="center"/>
            </w:pPr>
            <w:r>
              <w:rPr>
                <w:b/>
                <w:i w:val="0"/>
                <w:sz w:val="20"/>
              </w:rPr>
              <w:t>Порог инвест. привлекательности</w:t>
            </w:r>
          </w:p>
        </w:tc>
        <w:tc>
          <w:tcPr>
            <w:tcW w:type="dxa" w:w="2493"/>
            <w:shd w:val="clear" w:fill="DCE6F1"/>
          </w:tcPr>
          <w:p>
            <w:pPr>
              <w:spacing w:after="0" w:line="240" w:lineRule="auto"/>
              <w:ind w:firstLine="0"/>
              <w:jc w:val="center"/>
            </w:pPr>
            <w:r>
              <w:rPr>
                <w:b/>
                <w:i w:val="0"/>
                <w:sz w:val="20"/>
              </w:rPr>
              <w:t>Комментарий</w:t>
            </w:r>
          </w:p>
        </w:tc>
      </w:tr>
      <w:tr>
        <w:tc>
          <w:tcPr>
            <w:tcW w:type="dxa" w:w="2493"/>
          </w:tcPr>
          <w:p>
            <w:pPr>
              <w:spacing w:after="0" w:line="240" w:lineRule="auto"/>
              <w:ind w:firstLine="0"/>
              <w:jc w:val="left"/>
            </w:pPr>
            <w:r>
              <w:rPr>
                <w:b w:val="0"/>
                <w:i w:val="0"/>
                <w:sz w:val="20"/>
              </w:rPr>
              <w:t>Китайские интегрированные</w:t>
            </w:r>
          </w:p>
        </w:tc>
        <w:tc>
          <w:tcPr>
            <w:tcW w:type="dxa" w:w="2493"/>
          </w:tcPr>
          <w:p>
            <w:pPr>
              <w:spacing w:after="0" w:line="240" w:lineRule="auto"/>
              <w:ind w:firstLine="0"/>
              <w:jc w:val="center"/>
            </w:pPr>
            <w:r>
              <w:rPr>
                <w:b w:val="0"/>
                <w:i w:val="0"/>
                <w:sz w:val="20"/>
              </w:rPr>
              <w:t>22–30</w:t>
            </w:r>
          </w:p>
        </w:tc>
        <w:tc>
          <w:tcPr>
            <w:tcW w:type="dxa" w:w="2493"/>
          </w:tcPr>
          <w:p>
            <w:pPr>
              <w:spacing w:after="0" w:line="240" w:lineRule="auto"/>
              <w:ind w:firstLine="0"/>
              <w:jc w:val="center"/>
            </w:pPr>
            <w:r>
              <w:rPr>
                <w:b w:val="0"/>
                <w:i w:val="0"/>
                <w:sz w:val="20"/>
              </w:rPr>
              <w:t>35–40</w:t>
            </w:r>
          </w:p>
        </w:tc>
        <w:tc>
          <w:tcPr>
            <w:tcW w:type="dxa" w:w="2493"/>
          </w:tcPr>
          <w:p>
            <w:pPr>
              <w:spacing w:after="0" w:line="240" w:lineRule="auto"/>
              <w:ind w:firstLine="0"/>
              <w:jc w:val="center"/>
            </w:pPr>
            <w:r>
              <w:rPr>
                <w:b w:val="0"/>
                <w:i w:val="0"/>
                <w:sz w:val="20"/>
              </w:rPr>
              <w:t>наименьшая себестоимость</w:t>
            </w:r>
          </w:p>
        </w:tc>
      </w:tr>
      <w:tr>
        <w:tc>
          <w:tcPr>
            <w:tcW w:type="dxa" w:w="2493"/>
          </w:tcPr>
          <w:p>
            <w:pPr>
              <w:spacing w:after="0" w:line="240" w:lineRule="auto"/>
              <w:ind w:firstLine="0"/>
              <w:jc w:val="left"/>
            </w:pPr>
            <w:r>
              <w:rPr>
                <w:b w:val="0"/>
                <w:i w:val="0"/>
                <w:sz w:val="20"/>
              </w:rPr>
              <w:t>Mountain Pass (действующее)</w:t>
            </w:r>
          </w:p>
        </w:tc>
        <w:tc>
          <w:tcPr>
            <w:tcW w:type="dxa" w:w="2493"/>
          </w:tcPr>
          <w:p>
            <w:pPr>
              <w:spacing w:after="0" w:line="240" w:lineRule="auto"/>
              <w:ind w:firstLine="0"/>
              <w:jc w:val="center"/>
            </w:pPr>
            <w:r>
              <w:rPr>
                <w:b w:val="0"/>
                <w:i w:val="0"/>
                <w:sz w:val="20"/>
              </w:rPr>
              <w:t>34–38</w:t>
            </w:r>
          </w:p>
        </w:tc>
        <w:tc>
          <w:tcPr>
            <w:tcW w:type="dxa" w:w="2493"/>
          </w:tcPr>
          <w:p>
            <w:pPr>
              <w:spacing w:after="0" w:line="240" w:lineRule="auto"/>
              <w:ind w:firstLine="0"/>
              <w:jc w:val="center"/>
            </w:pPr>
            <w:r>
              <w:rPr>
                <w:b w:val="0"/>
                <w:i w:val="0"/>
                <w:sz w:val="20"/>
              </w:rPr>
              <w:t>55–60</w:t>
            </w:r>
          </w:p>
        </w:tc>
        <w:tc>
          <w:tcPr>
            <w:tcW w:type="dxa" w:w="2493"/>
          </w:tcPr>
          <w:p>
            <w:pPr>
              <w:spacing w:after="0" w:line="240" w:lineRule="auto"/>
              <w:ind w:firstLine="0"/>
              <w:jc w:val="center"/>
            </w:pPr>
            <w:r>
              <w:rPr>
                <w:b w:val="0"/>
                <w:i w:val="0"/>
                <w:sz w:val="20"/>
              </w:rPr>
              <w:t>инфраструктура создана</w:t>
            </w:r>
          </w:p>
        </w:tc>
      </w:tr>
      <w:tr>
        <w:tc>
          <w:tcPr>
            <w:tcW w:type="dxa" w:w="2493"/>
          </w:tcPr>
          <w:p>
            <w:pPr>
              <w:spacing w:after="0" w:line="240" w:lineRule="auto"/>
              <w:ind w:firstLine="0"/>
              <w:jc w:val="left"/>
            </w:pPr>
            <w:r>
              <w:rPr>
                <w:b w:val="0"/>
                <w:i w:val="0"/>
                <w:sz w:val="20"/>
              </w:rPr>
              <w:t>Lynas (действующее)</w:t>
            </w:r>
          </w:p>
        </w:tc>
        <w:tc>
          <w:tcPr>
            <w:tcW w:type="dxa" w:w="2493"/>
          </w:tcPr>
          <w:p>
            <w:pPr>
              <w:spacing w:after="0" w:line="240" w:lineRule="auto"/>
              <w:ind w:firstLine="0"/>
              <w:jc w:val="center"/>
            </w:pPr>
            <w:r>
              <w:rPr>
                <w:b w:val="0"/>
                <w:i w:val="0"/>
                <w:sz w:val="20"/>
              </w:rPr>
              <w:t>40–45</w:t>
            </w:r>
          </w:p>
        </w:tc>
        <w:tc>
          <w:tcPr>
            <w:tcW w:type="dxa" w:w="2493"/>
          </w:tcPr>
          <w:p>
            <w:pPr>
              <w:spacing w:after="0" w:line="240" w:lineRule="auto"/>
              <w:ind w:firstLine="0"/>
              <w:jc w:val="center"/>
            </w:pPr>
            <w:r>
              <w:rPr>
                <w:b w:val="0"/>
                <w:i w:val="0"/>
                <w:sz w:val="20"/>
              </w:rPr>
              <w:t>62–68</w:t>
            </w:r>
          </w:p>
        </w:tc>
        <w:tc>
          <w:tcPr>
            <w:tcW w:type="dxa" w:w="2493"/>
          </w:tcPr>
          <w:p>
            <w:pPr>
              <w:spacing w:after="0" w:line="240" w:lineRule="auto"/>
              <w:ind w:firstLine="0"/>
              <w:jc w:val="center"/>
            </w:pPr>
            <w:r>
              <w:rPr>
                <w:b w:val="0"/>
                <w:i w:val="0"/>
                <w:sz w:val="20"/>
              </w:rPr>
              <w:t>логистическое плечо</w:t>
            </w:r>
          </w:p>
        </w:tc>
      </w:tr>
      <w:tr>
        <w:tc>
          <w:tcPr>
            <w:tcW w:type="dxa" w:w="2493"/>
          </w:tcPr>
          <w:p>
            <w:pPr>
              <w:spacing w:after="0" w:line="240" w:lineRule="auto"/>
              <w:ind w:firstLine="0"/>
              <w:jc w:val="left"/>
            </w:pPr>
            <w:r>
              <w:rPr>
                <w:b w:val="0"/>
                <w:i w:val="0"/>
                <w:sz w:val="20"/>
              </w:rPr>
              <w:t>Проекты стадии строительства</w:t>
            </w:r>
          </w:p>
        </w:tc>
        <w:tc>
          <w:tcPr>
            <w:tcW w:type="dxa" w:w="2493"/>
          </w:tcPr>
          <w:p>
            <w:pPr>
              <w:spacing w:after="0" w:line="240" w:lineRule="auto"/>
              <w:ind w:firstLine="0"/>
              <w:jc w:val="center"/>
            </w:pPr>
            <w:r>
              <w:rPr>
                <w:b w:val="0"/>
                <w:i w:val="0"/>
                <w:sz w:val="20"/>
              </w:rPr>
              <w:t>45–55</w:t>
            </w:r>
          </w:p>
        </w:tc>
        <w:tc>
          <w:tcPr>
            <w:tcW w:type="dxa" w:w="2493"/>
          </w:tcPr>
          <w:p>
            <w:pPr>
              <w:spacing w:after="0" w:line="240" w:lineRule="auto"/>
              <w:ind w:firstLine="0"/>
              <w:jc w:val="center"/>
            </w:pPr>
            <w:r>
              <w:rPr>
                <w:b w:val="0"/>
                <w:i w:val="0"/>
                <w:sz w:val="20"/>
              </w:rPr>
              <w:t>75–85</w:t>
            </w:r>
          </w:p>
        </w:tc>
        <w:tc>
          <w:tcPr>
            <w:tcW w:type="dxa" w:w="2493"/>
          </w:tcPr>
          <w:p>
            <w:pPr>
              <w:spacing w:after="0" w:line="240" w:lineRule="auto"/>
              <w:ind w:firstLine="0"/>
              <w:jc w:val="center"/>
            </w:pPr>
            <w:r>
              <w:rPr>
                <w:b w:val="0"/>
                <w:i w:val="0"/>
                <w:sz w:val="20"/>
              </w:rPr>
              <w:t>требуется возврат капитала</w:t>
            </w:r>
          </w:p>
        </w:tc>
      </w:tr>
      <w:tr>
        <w:tc>
          <w:tcPr>
            <w:tcW w:type="dxa" w:w="2493"/>
          </w:tcPr>
          <w:p>
            <w:pPr>
              <w:spacing w:after="0" w:line="240" w:lineRule="auto"/>
              <w:ind w:firstLine="0"/>
              <w:jc w:val="left"/>
            </w:pPr>
            <w:r>
              <w:rPr>
                <w:b w:val="0"/>
                <w:i w:val="0"/>
                <w:sz w:val="20"/>
              </w:rPr>
              <w:t>Проекты стадии ТЭО</w:t>
            </w:r>
          </w:p>
        </w:tc>
        <w:tc>
          <w:tcPr>
            <w:tcW w:type="dxa" w:w="2493"/>
          </w:tcPr>
          <w:p>
            <w:pPr>
              <w:spacing w:after="0" w:line="240" w:lineRule="auto"/>
              <w:ind w:firstLine="0"/>
              <w:jc w:val="center"/>
            </w:pPr>
            <w:r>
              <w:rPr>
                <w:b w:val="0"/>
                <w:i w:val="0"/>
                <w:sz w:val="20"/>
              </w:rPr>
              <w:t>50–65</w:t>
            </w:r>
          </w:p>
        </w:tc>
        <w:tc>
          <w:tcPr>
            <w:tcW w:type="dxa" w:w="2493"/>
          </w:tcPr>
          <w:p>
            <w:pPr>
              <w:spacing w:after="0" w:line="240" w:lineRule="auto"/>
              <w:ind w:firstLine="0"/>
              <w:jc w:val="center"/>
            </w:pPr>
            <w:r>
              <w:rPr>
                <w:b w:val="0"/>
                <w:i w:val="0"/>
                <w:sz w:val="20"/>
              </w:rPr>
              <w:t>90–110</w:t>
            </w:r>
          </w:p>
        </w:tc>
        <w:tc>
          <w:tcPr>
            <w:tcW w:type="dxa" w:w="2493"/>
          </w:tcPr>
          <w:p>
            <w:pPr>
              <w:spacing w:after="0" w:line="240" w:lineRule="auto"/>
              <w:ind w:firstLine="0"/>
              <w:jc w:val="center"/>
            </w:pPr>
            <w:r>
              <w:rPr>
                <w:b w:val="0"/>
                <w:i w:val="0"/>
                <w:sz w:val="20"/>
              </w:rPr>
              <w:t>высокая премия за риск</w:t>
            </w:r>
          </w:p>
        </w:tc>
      </w:tr>
      <w:tr>
        <w:tc>
          <w:tcPr>
            <w:tcW w:type="dxa" w:w="2493"/>
          </w:tcPr>
          <w:p>
            <w:pPr>
              <w:spacing w:after="0" w:line="240" w:lineRule="auto"/>
              <w:ind w:firstLine="0"/>
              <w:jc w:val="left"/>
            </w:pPr>
            <w:r>
              <w:rPr>
                <w:b w:val="0"/>
                <w:i w:val="0"/>
                <w:sz w:val="20"/>
              </w:rPr>
              <w:t>Российские проекты (лопарит)</w:t>
            </w:r>
          </w:p>
        </w:tc>
        <w:tc>
          <w:tcPr>
            <w:tcW w:type="dxa" w:w="2493"/>
          </w:tcPr>
          <w:p>
            <w:pPr>
              <w:spacing w:after="0" w:line="240" w:lineRule="auto"/>
              <w:ind w:firstLine="0"/>
              <w:jc w:val="center"/>
            </w:pPr>
            <w:r>
              <w:rPr>
                <w:b w:val="0"/>
                <w:i w:val="0"/>
                <w:sz w:val="20"/>
              </w:rPr>
              <w:t>55–62</w:t>
            </w:r>
          </w:p>
        </w:tc>
        <w:tc>
          <w:tcPr>
            <w:tcW w:type="dxa" w:w="2493"/>
          </w:tcPr>
          <w:p>
            <w:pPr>
              <w:spacing w:after="0" w:line="240" w:lineRule="auto"/>
              <w:ind w:firstLine="0"/>
              <w:jc w:val="center"/>
            </w:pPr>
            <w:r>
              <w:rPr>
                <w:b w:val="0"/>
                <w:i w:val="0"/>
                <w:sz w:val="20"/>
              </w:rPr>
              <w:t>85–95</w:t>
            </w:r>
          </w:p>
        </w:tc>
        <w:tc>
          <w:tcPr>
            <w:tcW w:type="dxa" w:w="2493"/>
          </w:tcPr>
          <w:p>
            <w:pPr>
              <w:spacing w:after="0" w:line="240" w:lineRule="auto"/>
              <w:ind w:firstLine="0"/>
              <w:jc w:val="center"/>
            </w:pPr>
            <w:r>
              <w:rPr>
                <w:b w:val="0"/>
                <w:i w:val="0"/>
                <w:sz w:val="20"/>
              </w:rPr>
              <w:t>оценка при текущей схеме</w:t>
            </w:r>
          </w:p>
        </w:tc>
      </w:tr>
      <w:tr>
        <w:tc>
          <w:tcPr>
            <w:tcW w:type="dxa" w:w="2493"/>
          </w:tcPr>
          <w:p>
            <w:pPr>
              <w:spacing w:after="0" w:line="240" w:lineRule="auto"/>
              <w:ind w:firstLine="0"/>
              <w:jc w:val="left"/>
            </w:pPr>
            <w:r>
              <w:rPr>
                <w:b w:val="0"/>
                <w:i w:val="0"/>
                <w:sz w:val="20"/>
              </w:rPr>
              <w:t>Российские проекты (Томтор)</w:t>
            </w:r>
          </w:p>
        </w:tc>
        <w:tc>
          <w:tcPr>
            <w:tcW w:type="dxa" w:w="2493"/>
          </w:tcPr>
          <w:p>
            <w:pPr>
              <w:spacing w:after="0" w:line="240" w:lineRule="auto"/>
              <w:ind w:firstLine="0"/>
              <w:jc w:val="center"/>
            </w:pPr>
            <w:r>
              <w:rPr>
                <w:b w:val="0"/>
                <w:i w:val="0"/>
                <w:sz w:val="20"/>
              </w:rPr>
              <w:t>30–40</w:t>
            </w:r>
          </w:p>
        </w:tc>
        <w:tc>
          <w:tcPr>
            <w:tcW w:type="dxa" w:w="2493"/>
          </w:tcPr>
          <w:p>
            <w:pPr>
              <w:spacing w:after="0" w:line="240" w:lineRule="auto"/>
              <w:ind w:firstLine="0"/>
              <w:jc w:val="center"/>
            </w:pPr>
            <w:r>
              <w:rPr>
                <w:b w:val="0"/>
                <w:i w:val="0"/>
                <w:sz w:val="20"/>
              </w:rPr>
              <w:t>60–70</w:t>
            </w:r>
          </w:p>
        </w:tc>
        <w:tc>
          <w:tcPr>
            <w:tcW w:type="dxa" w:w="2493"/>
          </w:tcPr>
          <w:p>
            <w:pPr>
              <w:spacing w:after="0" w:line="240" w:lineRule="auto"/>
              <w:ind w:firstLine="0"/>
              <w:jc w:val="center"/>
            </w:pPr>
            <w:r>
              <w:rPr>
                <w:b w:val="0"/>
                <w:i w:val="0"/>
                <w:sz w:val="20"/>
              </w:rPr>
              <w:t>оценка при полном цикле</w:t>
            </w:r>
          </w:p>
        </w:tc>
      </w:tr>
    </w:tbl>
    <w:p>
      <w:pPr>
        <w:spacing w:after="180"/>
        <w:ind w:firstLine="0"/>
      </w:pPr>
      <w:r>
        <w:rPr>
          <w:i/>
          <w:sz w:val="20"/>
        </w:rPr>
        <w:t>Источник: расчёт аналитического центра</w:t>
      </w:r>
    </w:p>
    <w:p>
      <w:pPr>
        <w:keepNext/>
        <w:spacing w:before="160" w:after="60"/>
        <w:ind w:firstLine="0"/>
        <w:jc w:val="left"/>
      </w:pPr>
      <w:r>
        <w:rPr>
          <w:b/>
          <w:sz w:val="22"/>
        </w:rPr>
        <w:t>Рисунок 39. Цена оксида NdPr и пороги рентабельности категорий производителей, $/кг</w:t>
      </w:r>
    </w:p>
    <w:p>
      <w:pPr>
        <w:ind w:firstLine="0"/>
        <w:jc w:val="center"/>
      </w:pPr>
      <w:r>
        <w:drawing>
          <wp:inline xmlns:a="http://schemas.openxmlformats.org/drawingml/2006/main" xmlns:pic="http://schemas.openxmlformats.org/drawingml/2006/picture">
            <wp:extent cx="5580000" cy="2731327"/>
            <wp:docPr id="39" name="Picture 39"/>
            <wp:cNvGraphicFramePr>
              <a:graphicFrameLocks noChangeAspect="1"/>
            </wp:cNvGraphicFramePr>
            <a:graphic>
              <a:graphicData uri="http://schemas.openxmlformats.org/drawingml/2006/picture">
                <pic:pic>
                  <pic:nvPicPr>
                    <pic:cNvPr id="0" name="fig39.png"/>
                    <pic:cNvPicPr/>
                  </pic:nvPicPr>
                  <pic:blipFill>
                    <a:blip r:embed="rId49"/>
                    <a:stretch>
                      <a:fillRect/>
                    </a:stretch>
                  </pic:blipFill>
                  <pic:spPr>
                    <a:xfrm>
                      <a:off x="0" y="0"/>
                      <a:ext cx="5580000" cy="2731327"/>
                    </a:xfrm>
                    <a:prstGeom prst="rect"/>
                  </pic:spPr>
                </pic:pic>
              </a:graphicData>
            </a:graphic>
          </wp:inline>
        </w:drawing>
      </w:r>
    </w:p>
    <w:p>
      <w:pPr>
        <w:spacing w:after="180"/>
        <w:ind w:firstLine="0"/>
      </w:pPr>
      <w:r>
        <w:rPr>
          <w:i/>
          <w:sz w:val="20"/>
        </w:rPr>
        <w:t>Источник: аналитический центр (табл. 43, 49)</w:t>
      </w:r>
    </w:p>
    <w:p>
      <w:r>
        <w:rPr>
          <w:b w:val="0"/>
          <w:i w:val="0"/>
        </w:rPr>
        <w:t>Рисунок 39 обобщает центральную проблему отрасли. За семь лет цена оксида NdPr лишь дважды и кратковременно превышала порог инвестиционной привлекательности проектов, находящихся вне КНР, тогда как китайские производители сохраняли положительную маржу на всём протяжении периода. Инвестиционный цикл в отрасли (5–8 лет от решения до выхода на мощность) существенно превышает длительность ценовых пиков (12–18 месяцев), вследствие чего рыночный сигнал не транслируется в устойчивое расширение предложения вне КНР. Разрыв между этими двумя горизонтами и является фундаментальным обоснованием применяемых государствами мер прямой поддержки — ценовых полов, гарантированных закупок и субсидируемого капитала.</w:t>
      </w:r>
    </w:p>
    <w:p>
      <w:r>
        <w:br w:type="page"/>
      </w:r>
    </w:p>
    <w:p>
      <w:pPr>
        <w:pStyle w:val="Heading1"/>
      </w:pPr>
      <w:r>
        <w:rPr>
          <w:b w:val="0"/>
          <w:i w:val="0"/>
        </w:rPr>
        <w:t>7. Государственное регулирование и геополитика редкоземельного рынка</w:t>
      </w:r>
    </w:p>
    <w:p>
      <w:pPr>
        <w:pStyle w:val="Heading2"/>
      </w:pPr>
      <w:r>
        <w:rPr>
          <w:b w:val="0"/>
          <w:i w:val="0"/>
        </w:rPr>
        <w:t>7.1. Политика Китайской Народной Республики</w:t>
      </w:r>
    </w:p>
    <w:p>
      <w:pPr>
        <w:pStyle w:val="Heading3"/>
      </w:pPr>
      <w:r>
        <w:rPr>
          <w:b w:val="0"/>
          <w:i w:val="0"/>
        </w:rPr>
        <w:t>7.1.1. Эволюция регулирования</w:t>
      </w:r>
    </w:p>
    <w:p>
      <w:r>
        <w:rPr>
          <w:b w:val="0"/>
          <w:i w:val="0"/>
        </w:rPr>
        <w:t>Китайская политика в редкоземельной сфере прошла путь от стимулирования экспорта к его жёсткому ограничению, причём смена парадигмы происходила постепенно и последовательно на протяжении трёх десятилетий.</w:t>
      </w:r>
    </w:p>
    <w:p>
      <w:r>
        <w:rPr>
          <w:b/>
          <w:i w:val="0"/>
        </w:rPr>
        <w:t>1990-е — начало 2000-х гг.</w:t>
      </w:r>
      <w:r>
        <w:rPr>
          <w:b w:val="0"/>
          <w:i w:val="0"/>
        </w:rPr>
        <w:t xml:space="preserve"> Государственная поддержка экспорта, налоговые льготы, отсутствие экологических требований. Результат — вытеснение с рынка американских, французских и японских производителей за счёт демпинга.</w:t>
      </w:r>
    </w:p>
    <w:p>
      <w:r>
        <w:rPr>
          <w:b/>
          <w:i w:val="0"/>
        </w:rPr>
        <w:t>2006–2010 гг.</w:t>
      </w:r>
      <w:r>
        <w:rPr>
          <w:b w:val="0"/>
          <w:i w:val="0"/>
        </w:rPr>
        <w:t xml:space="preserve"> Введение экспортных квот и пошлин, отмена возврата НДС при экспорте, ограничение доступа иностранного капитала. Цель — стимулирование локализации потребляющих производств на территории КНР.</w:t>
      </w:r>
    </w:p>
    <w:p>
      <w:r>
        <w:rPr>
          <w:b/>
          <w:i w:val="0"/>
        </w:rPr>
        <w:t>2010–2014 гг.</w:t>
      </w:r>
      <w:r>
        <w:rPr>
          <w:b w:val="0"/>
          <w:i w:val="0"/>
        </w:rPr>
        <w:t xml:space="preserve"> Резкое сокращение квот (2010 г.), кульминация — редкоземельный кризис. В 2012 г. США, ЕС и Япония инициировали разбирательство в ВТО (спор DS431/432/433). В 2014 г. апелляционный орган ВТО признал китайские экспортные ограничения не соответствующими обязательствам; в 2015 г. квоты и пошлины отменены.</w:t>
      </w:r>
    </w:p>
    <w:p>
      <w:r>
        <w:rPr>
          <w:b/>
          <w:i w:val="0"/>
        </w:rPr>
        <w:t>2015–2020 гг.</w:t>
      </w:r>
      <w:r>
        <w:rPr>
          <w:b w:val="0"/>
          <w:i w:val="0"/>
        </w:rPr>
        <w:t xml:space="preserve"> Переход от прямых внешнеторговых мер к внутренним: консолидация отрасли, квотирование добычи и разделения, экологические стандарты, борьба с нелегальной добычей, система прослеживаемости. Формально эти меры не являются экспортными ограничениями и не противоречат нормам ВТО, но столь же эффективно управляют предложением.</w:t>
      </w:r>
    </w:p>
    <w:p>
      <w:r>
        <w:rPr>
          <w:b/>
          <w:i w:val="0"/>
        </w:rPr>
        <w:t>2021–2025 гг.</w:t>
      </w:r>
      <w:r>
        <w:rPr>
          <w:b w:val="0"/>
          <w:i w:val="0"/>
        </w:rPr>
        <w:t xml:space="preserve"> Формирование системы экспортного контроля на основании Закона КНР об экспортном контроле (2020 г.) и Закона о противодействии иностранным санкциям (2021 г.). Ключевые события:</w:t>
      </w:r>
    </w:p>
    <w:p>
      <w:pPr>
        <w:pStyle w:val="ListBullet"/>
        <w:spacing w:after="20"/>
        <w:ind w:firstLine="0"/>
      </w:pPr>
      <w:r>
        <w:rPr>
          <w:b/>
          <w:i w:val="0"/>
        </w:rPr>
        <w:t>декабрь 2023 г.</w:t>
      </w:r>
      <w:r>
        <w:rPr>
          <w:b w:val="0"/>
          <w:i w:val="0"/>
        </w:rPr>
        <w:t xml:space="preserve"> — включение технологий добычи, разделения и производства магнитов из редкоземельного сырья в Каталог технологий, запрещённых или ограниченных к экспорту. Экспорт технологии стал невозможен, что закрыло путь трансфера компетенций;</w:t>
      </w:r>
    </w:p>
    <w:p>
      <w:pPr>
        <w:pStyle w:val="ListBullet"/>
        <w:spacing w:after="20"/>
        <w:ind w:firstLine="0"/>
      </w:pPr>
      <w:r>
        <w:rPr>
          <w:b/>
          <w:i w:val="0"/>
        </w:rPr>
        <w:t>октябрь 2024 г.</w:t>
      </w:r>
      <w:r>
        <w:rPr>
          <w:b w:val="0"/>
          <w:i w:val="0"/>
        </w:rPr>
        <w:t xml:space="preserve"> — вступление в силу «Правил управления редкоземельной отраслью» (Постановление Госсовета КНР № 785), закрепивших государственную собственность на редкоземельные ресурсы, полное квотирование и обязательную прослеживаемость;</w:t>
      </w:r>
    </w:p>
    <w:p>
      <w:pPr>
        <w:pStyle w:val="ListBullet"/>
        <w:spacing w:after="20"/>
        <w:ind w:firstLine="0"/>
      </w:pPr>
      <w:r>
        <w:rPr>
          <w:b/>
          <w:i w:val="0"/>
        </w:rPr>
        <w:t>апрель 2025 г.</w:t>
      </w:r>
      <w:r>
        <w:rPr>
          <w:b w:val="0"/>
          <w:i w:val="0"/>
        </w:rPr>
        <w:t xml:space="preserve"> — введение лицензирования экспорта семи элементов средней и тяжёлой групп (самарий, гадолиний, тербий, диспрозий, лютеций, скандий, иттрий), их соединений, а также постоянных магнитов, их содержащих;</w:t>
      </w:r>
    </w:p>
    <w:p>
      <w:pPr>
        <w:pStyle w:val="ListBullet"/>
        <w:spacing w:after="20"/>
        <w:ind w:firstLine="0"/>
      </w:pPr>
      <w:r>
        <w:rPr>
          <w:b/>
          <w:i w:val="0"/>
        </w:rPr>
        <w:t>октябрь 2025 г.</w:t>
      </w:r>
      <w:r>
        <w:rPr>
          <w:b w:val="0"/>
          <w:i w:val="0"/>
        </w:rPr>
        <w:t xml:space="preserve"> — расширение перечня (гольмий, эрбий, тулий, европий, иттербий), введение экстерриториального правила де-минимис (0,1% по стоимости), распространение контроля на оборудование и технологии производства магнитов, введение особого порядка для конечных пользователей оборонного сектора.</w:t>
      </w:r>
    </w:p>
    <w:p>
      <w:pPr>
        <w:keepNext/>
        <w:spacing w:before="160" w:after="60"/>
        <w:ind w:firstLine="0"/>
        <w:jc w:val="left"/>
      </w:pPr>
      <w:r>
        <w:rPr>
          <w:b/>
          <w:sz w:val="22"/>
        </w:rPr>
        <w:t>Таблица 50. Хронология ключевых мер регулирования редкоземельной отрасли КНР</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Год</w:t>
            </w:r>
          </w:p>
        </w:tc>
        <w:tc>
          <w:tcPr>
            <w:tcW w:type="dxa" w:w="3324"/>
            <w:shd w:val="clear" w:fill="DCE6F1"/>
          </w:tcPr>
          <w:p>
            <w:pPr>
              <w:spacing w:after="0" w:line="240" w:lineRule="auto"/>
              <w:ind w:firstLine="0"/>
              <w:jc w:val="center"/>
            </w:pPr>
            <w:r>
              <w:rPr>
                <w:b/>
                <w:i w:val="0"/>
                <w:sz w:val="20"/>
              </w:rPr>
              <w:t>Мера</w:t>
            </w:r>
          </w:p>
        </w:tc>
        <w:tc>
          <w:tcPr>
            <w:tcW w:type="dxa" w:w="3324"/>
            <w:shd w:val="clear" w:fill="DCE6F1"/>
          </w:tcPr>
          <w:p>
            <w:pPr>
              <w:spacing w:after="0" w:line="240" w:lineRule="auto"/>
              <w:ind w:firstLine="0"/>
              <w:jc w:val="center"/>
            </w:pPr>
            <w:r>
              <w:rPr>
                <w:b/>
                <w:i w:val="0"/>
                <w:sz w:val="20"/>
              </w:rPr>
              <w:t>Последствия для рынка</w:t>
            </w:r>
          </w:p>
        </w:tc>
      </w:tr>
      <w:tr>
        <w:tc>
          <w:tcPr>
            <w:tcW w:type="dxa" w:w="3324"/>
          </w:tcPr>
          <w:p>
            <w:pPr>
              <w:spacing w:after="0" w:line="240" w:lineRule="auto"/>
              <w:ind w:firstLine="0"/>
              <w:jc w:val="left"/>
            </w:pPr>
            <w:r>
              <w:rPr>
                <w:b w:val="0"/>
                <w:i w:val="0"/>
                <w:sz w:val="20"/>
              </w:rPr>
              <w:t>1998</w:t>
            </w:r>
          </w:p>
        </w:tc>
        <w:tc>
          <w:tcPr>
            <w:tcW w:type="dxa" w:w="3324"/>
          </w:tcPr>
          <w:p>
            <w:pPr>
              <w:spacing w:after="0" w:line="240" w:lineRule="auto"/>
              <w:ind w:firstLine="0"/>
              <w:jc w:val="center"/>
            </w:pPr>
            <w:r>
              <w:rPr>
                <w:b w:val="0"/>
                <w:i w:val="0"/>
                <w:sz w:val="20"/>
              </w:rPr>
              <w:t>Введение системы экспортных квот</w:t>
            </w:r>
          </w:p>
        </w:tc>
        <w:tc>
          <w:tcPr>
            <w:tcW w:type="dxa" w:w="3324"/>
          </w:tcPr>
          <w:p>
            <w:pPr>
              <w:spacing w:after="0" w:line="240" w:lineRule="auto"/>
              <w:ind w:firstLine="0"/>
              <w:jc w:val="center"/>
            </w:pPr>
            <w:r>
              <w:rPr>
                <w:b w:val="0"/>
                <w:i w:val="0"/>
                <w:sz w:val="20"/>
              </w:rPr>
              <w:t>начало управления предложением</w:t>
            </w:r>
          </w:p>
        </w:tc>
      </w:tr>
      <w:tr>
        <w:tc>
          <w:tcPr>
            <w:tcW w:type="dxa" w:w="3324"/>
          </w:tcPr>
          <w:p>
            <w:pPr>
              <w:spacing w:after="0" w:line="240" w:lineRule="auto"/>
              <w:ind w:firstLine="0"/>
              <w:jc w:val="left"/>
            </w:pPr>
            <w:r>
              <w:rPr>
                <w:b w:val="0"/>
                <w:i w:val="0"/>
                <w:sz w:val="20"/>
              </w:rPr>
              <w:t>2006</w:t>
            </w:r>
          </w:p>
        </w:tc>
        <w:tc>
          <w:tcPr>
            <w:tcW w:type="dxa" w:w="3324"/>
          </w:tcPr>
          <w:p>
            <w:pPr>
              <w:spacing w:after="0" w:line="240" w:lineRule="auto"/>
              <w:ind w:firstLine="0"/>
              <w:jc w:val="left"/>
            </w:pPr>
            <w:r>
              <w:rPr>
                <w:b w:val="0"/>
                <w:i w:val="0"/>
                <w:sz w:val="20"/>
              </w:rPr>
              <w:t>Сокращение числа экспортёров, введение пошлин</w:t>
            </w:r>
          </w:p>
        </w:tc>
        <w:tc>
          <w:tcPr>
            <w:tcW w:type="dxa" w:w="3324"/>
          </w:tcPr>
          <w:p>
            <w:pPr>
              <w:spacing w:after="0" w:line="240" w:lineRule="auto"/>
              <w:ind w:firstLine="0"/>
              <w:jc w:val="center"/>
            </w:pPr>
            <w:r>
              <w:rPr>
                <w:b w:val="0"/>
                <w:i w:val="0"/>
                <w:sz w:val="20"/>
              </w:rPr>
              <w:t>рост экспортных цен</w:t>
            </w:r>
          </w:p>
        </w:tc>
      </w:tr>
      <w:tr>
        <w:tc>
          <w:tcPr>
            <w:tcW w:type="dxa" w:w="3324"/>
          </w:tcPr>
          <w:p>
            <w:pPr>
              <w:spacing w:after="0" w:line="240" w:lineRule="auto"/>
              <w:ind w:firstLine="0"/>
              <w:jc w:val="left"/>
            </w:pPr>
            <w:r>
              <w:rPr>
                <w:b w:val="0"/>
                <w:i w:val="0"/>
                <w:sz w:val="20"/>
              </w:rPr>
              <w:t>2010</w:t>
            </w:r>
          </w:p>
        </w:tc>
        <w:tc>
          <w:tcPr>
            <w:tcW w:type="dxa" w:w="3324"/>
          </w:tcPr>
          <w:p>
            <w:pPr>
              <w:spacing w:after="0" w:line="240" w:lineRule="auto"/>
              <w:ind w:firstLine="0"/>
              <w:jc w:val="center"/>
            </w:pPr>
            <w:r>
              <w:rPr>
                <w:b w:val="0"/>
                <w:i w:val="0"/>
                <w:sz w:val="20"/>
              </w:rPr>
              <w:t>Сокращение экспортных квот на 40%</w:t>
            </w:r>
          </w:p>
        </w:tc>
        <w:tc>
          <w:tcPr>
            <w:tcW w:type="dxa" w:w="3324"/>
          </w:tcPr>
          <w:p>
            <w:pPr>
              <w:spacing w:after="0" w:line="240" w:lineRule="auto"/>
              <w:ind w:firstLine="0"/>
              <w:jc w:val="center"/>
            </w:pPr>
            <w:r>
              <w:rPr>
                <w:b w:val="0"/>
                <w:i w:val="0"/>
                <w:sz w:val="20"/>
              </w:rPr>
              <w:t>ценовой кризис 2010–2011 гг.</w:t>
            </w:r>
          </w:p>
        </w:tc>
      </w:tr>
      <w:tr>
        <w:tc>
          <w:tcPr>
            <w:tcW w:type="dxa" w:w="3324"/>
          </w:tcPr>
          <w:p>
            <w:pPr>
              <w:spacing w:after="0" w:line="240" w:lineRule="auto"/>
              <w:ind w:firstLine="0"/>
              <w:jc w:val="left"/>
            </w:pPr>
            <w:r>
              <w:rPr>
                <w:b w:val="0"/>
                <w:i w:val="0"/>
                <w:sz w:val="20"/>
              </w:rPr>
              <w:t>2011</w:t>
            </w:r>
          </w:p>
        </w:tc>
        <w:tc>
          <w:tcPr>
            <w:tcW w:type="dxa" w:w="3324"/>
          </w:tcPr>
          <w:p>
            <w:pPr>
              <w:spacing w:after="0" w:line="240" w:lineRule="auto"/>
              <w:ind w:firstLine="0"/>
              <w:jc w:val="left"/>
            </w:pPr>
            <w:r>
              <w:rPr>
                <w:b w:val="0"/>
                <w:i w:val="0"/>
                <w:sz w:val="20"/>
              </w:rPr>
              <w:t>Введение экологических стандартов отрасли</w:t>
            </w:r>
          </w:p>
        </w:tc>
        <w:tc>
          <w:tcPr>
            <w:tcW w:type="dxa" w:w="3324"/>
          </w:tcPr>
          <w:p>
            <w:pPr>
              <w:spacing w:after="0" w:line="240" w:lineRule="auto"/>
              <w:ind w:firstLine="0"/>
              <w:jc w:val="center"/>
            </w:pPr>
            <w:r>
              <w:rPr>
                <w:b w:val="0"/>
                <w:i w:val="0"/>
                <w:sz w:val="20"/>
              </w:rPr>
              <w:t>закрытие мелких производств</w:t>
            </w:r>
          </w:p>
        </w:tc>
      </w:tr>
      <w:tr>
        <w:tc>
          <w:tcPr>
            <w:tcW w:type="dxa" w:w="3324"/>
          </w:tcPr>
          <w:p>
            <w:pPr>
              <w:spacing w:after="0" w:line="240" w:lineRule="auto"/>
              <w:ind w:firstLine="0"/>
              <w:jc w:val="left"/>
            </w:pPr>
            <w:r>
              <w:rPr>
                <w:b w:val="0"/>
                <w:i w:val="0"/>
                <w:sz w:val="20"/>
              </w:rPr>
              <w:t>2012</w:t>
            </w:r>
          </w:p>
        </w:tc>
        <w:tc>
          <w:tcPr>
            <w:tcW w:type="dxa" w:w="3324"/>
          </w:tcPr>
          <w:p>
            <w:pPr>
              <w:spacing w:after="0" w:line="240" w:lineRule="auto"/>
              <w:ind w:firstLine="0"/>
              <w:jc w:val="center"/>
            </w:pPr>
            <w:r>
              <w:rPr>
                <w:b w:val="0"/>
                <w:i w:val="0"/>
                <w:sz w:val="20"/>
              </w:rPr>
              <w:t>Начало консолидации в 6 групп</w:t>
            </w:r>
          </w:p>
        </w:tc>
        <w:tc>
          <w:tcPr>
            <w:tcW w:type="dxa" w:w="3324"/>
          </w:tcPr>
          <w:p>
            <w:pPr>
              <w:spacing w:after="0" w:line="240" w:lineRule="auto"/>
              <w:ind w:firstLine="0"/>
              <w:jc w:val="center"/>
            </w:pPr>
            <w:r>
              <w:rPr>
                <w:b w:val="0"/>
                <w:i w:val="0"/>
                <w:sz w:val="20"/>
              </w:rPr>
              <w:t>сокращение числа игроков с 300 до 6</w:t>
            </w:r>
          </w:p>
        </w:tc>
      </w:tr>
      <w:tr>
        <w:tc>
          <w:tcPr>
            <w:tcW w:type="dxa" w:w="3324"/>
          </w:tcPr>
          <w:p>
            <w:pPr>
              <w:spacing w:after="0" w:line="240" w:lineRule="auto"/>
              <w:ind w:firstLine="0"/>
              <w:jc w:val="left"/>
            </w:pPr>
            <w:r>
              <w:rPr>
                <w:b w:val="0"/>
                <w:i w:val="0"/>
                <w:sz w:val="20"/>
              </w:rPr>
              <w:t>2014</w:t>
            </w:r>
          </w:p>
        </w:tc>
        <w:tc>
          <w:tcPr>
            <w:tcW w:type="dxa" w:w="3324"/>
          </w:tcPr>
          <w:p>
            <w:pPr>
              <w:spacing w:after="0" w:line="240" w:lineRule="auto"/>
              <w:ind w:firstLine="0"/>
              <w:jc w:val="center"/>
            </w:pPr>
            <w:r>
              <w:rPr>
                <w:b w:val="0"/>
                <w:i w:val="0"/>
                <w:sz w:val="20"/>
              </w:rPr>
              <w:t>Поражение КНР в споре ВТО DS431</w:t>
            </w:r>
          </w:p>
        </w:tc>
        <w:tc>
          <w:tcPr>
            <w:tcW w:type="dxa" w:w="3324"/>
          </w:tcPr>
          <w:p>
            <w:pPr>
              <w:spacing w:after="0" w:line="240" w:lineRule="auto"/>
              <w:ind w:firstLine="0"/>
              <w:jc w:val="center"/>
            </w:pPr>
            <w:r>
              <w:rPr>
                <w:b w:val="0"/>
                <w:i w:val="0"/>
                <w:sz w:val="20"/>
              </w:rPr>
              <w:t>отмена квот и пошлин с 2015 г.</w:t>
            </w:r>
          </w:p>
        </w:tc>
      </w:tr>
      <w:tr>
        <w:tc>
          <w:tcPr>
            <w:tcW w:type="dxa" w:w="3324"/>
          </w:tcPr>
          <w:p>
            <w:pPr>
              <w:spacing w:after="0" w:line="240" w:lineRule="auto"/>
              <w:ind w:firstLine="0"/>
              <w:jc w:val="left"/>
            </w:pPr>
            <w:r>
              <w:rPr>
                <w:b w:val="0"/>
                <w:i w:val="0"/>
                <w:sz w:val="20"/>
              </w:rPr>
              <w:t>2015</w:t>
            </w:r>
          </w:p>
        </w:tc>
        <w:tc>
          <w:tcPr>
            <w:tcW w:type="dxa" w:w="3324"/>
          </w:tcPr>
          <w:p>
            <w:pPr>
              <w:spacing w:after="0" w:line="240" w:lineRule="auto"/>
              <w:ind w:firstLine="0"/>
              <w:jc w:val="center"/>
            </w:pPr>
            <w:r>
              <w:rPr>
                <w:b w:val="0"/>
                <w:i w:val="0"/>
                <w:sz w:val="20"/>
              </w:rPr>
              <w:t>Введение квот на добычу и разделение</w:t>
            </w:r>
          </w:p>
        </w:tc>
        <w:tc>
          <w:tcPr>
            <w:tcW w:type="dxa" w:w="3324"/>
          </w:tcPr>
          <w:p>
            <w:pPr>
              <w:spacing w:after="0" w:line="240" w:lineRule="auto"/>
              <w:ind w:firstLine="0"/>
              <w:jc w:val="center"/>
            </w:pPr>
            <w:r>
              <w:rPr>
                <w:b w:val="0"/>
                <w:i w:val="0"/>
                <w:sz w:val="20"/>
              </w:rPr>
              <w:t>внутренний механизм управления</w:t>
            </w:r>
          </w:p>
        </w:tc>
      </w:tr>
      <w:tr>
        <w:tc>
          <w:tcPr>
            <w:tcW w:type="dxa" w:w="3324"/>
          </w:tcPr>
          <w:p>
            <w:pPr>
              <w:spacing w:after="0" w:line="240" w:lineRule="auto"/>
              <w:ind w:firstLine="0"/>
              <w:jc w:val="left"/>
            </w:pPr>
            <w:r>
              <w:rPr>
                <w:b w:val="0"/>
                <w:i w:val="0"/>
                <w:sz w:val="20"/>
              </w:rPr>
              <w:t>2016</w:t>
            </w:r>
          </w:p>
        </w:tc>
        <w:tc>
          <w:tcPr>
            <w:tcW w:type="dxa" w:w="3324"/>
          </w:tcPr>
          <w:p>
            <w:pPr>
              <w:spacing w:after="0" w:line="240" w:lineRule="auto"/>
              <w:ind w:firstLine="0"/>
              <w:jc w:val="center"/>
            </w:pPr>
            <w:r>
              <w:rPr>
                <w:b w:val="0"/>
                <w:i w:val="0"/>
                <w:sz w:val="20"/>
              </w:rPr>
              <w:t>Запуск системы прослеживаемости</w:t>
            </w:r>
          </w:p>
        </w:tc>
        <w:tc>
          <w:tcPr>
            <w:tcW w:type="dxa" w:w="3324"/>
          </w:tcPr>
          <w:p>
            <w:pPr>
              <w:spacing w:after="0" w:line="240" w:lineRule="auto"/>
              <w:ind w:firstLine="0"/>
              <w:jc w:val="center"/>
            </w:pPr>
            <w:r>
              <w:rPr>
                <w:b w:val="0"/>
                <w:i w:val="0"/>
                <w:sz w:val="20"/>
              </w:rPr>
              <w:t>сокращение нелегальной добычи</w:t>
            </w:r>
          </w:p>
        </w:tc>
      </w:tr>
      <w:tr>
        <w:tc>
          <w:tcPr>
            <w:tcW w:type="dxa" w:w="3324"/>
          </w:tcPr>
          <w:p>
            <w:pPr>
              <w:spacing w:after="0" w:line="240" w:lineRule="auto"/>
              <w:ind w:firstLine="0"/>
              <w:jc w:val="left"/>
            </w:pPr>
            <w:r>
              <w:rPr>
                <w:b w:val="0"/>
                <w:i w:val="0"/>
                <w:sz w:val="20"/>
              </w:rPr>
              <w:t>2021</w:t>
            </w:r>
          </w:p>
        </w:tc>
        <w:tc>
          <w:tcPr>
            <w:tcW w:type="dxa" w:w="3324"/>
          </w:tcPr>
          <w:p>
            <w:pPr>
              <w:spacing w:after="0" w:line="240" w:lineRule="auto"/>
              <w:ind w:firstLine="0"/>
              <w:jc w:val="center"/>
            </w:pPr>
            <w:r>
              <w:rPr>
                <w:b w:val="0"/>
                <w:i w:val="0"/>
                <w:sz w:val="20"/>
              </w:rPr>
              <w:t>Создание China Rare Earth Group</w:t>
            </w:r>
          </w:p>
        </w:tc>
        <w:tc>
          <w:tcPr>
            <w:tcW w:type="dxa" w:w="3324"/>
          </w:tcPr>
          <w:p>
            <w:pPr>
              <w:spacing w:after="0" w:line="240" w:lineRule="auto"/>
              <w:ind w:firstLine="0"/>
              <w:jc w:val="center"/>
            </w:pPr>
            <w:r>
              <w:rPr>
                <w:b w:val="0"/>
                <w:i w:val="0"/>
                <w:sz w:val="20"/>
              </w:rPr>
              <w:t>двухполюсная структура отрасли</w:t>
            </w:r>
          </w:p>
        </w:tc>
      </w:tr>
      <w:tr>
        <w:tc>
          <w:tcPr>
            <w:tcW w:type="dxa" w:w="3324"/>
          </w:tcPr>
          <w:p>
            <w:pPr>
              <w:spacing w:after="0" w:line="240" w:lineRule="auto"/>
              <w:ind w:firstLine="0"/>
              <w:jc w:val="left"/>
            </w:pPr>
            <w:r>
              <w:rPr>
                <w:b w:val="0"/>
                <w:i w:val="0"/>
                <w:sz w:val="20"/>
              </w:rPr>
              <w:t>2023</w:t>
            </w:r>
          </w:p>
        </w:tc>
        <w:tc>
          <w:tcPr>
            <w:tcW w:type="dxa" w:w="3324"/>
          </w:tcPr>
          <w:p>
            <w:pPr>
              <w:spacing w:after="0" w:line="240" w:lineRule="auto"/>
              <w:ind w:firstLine="0"/>
              <w:jc w:val="center"/>
            </w:pPr>
            <w:r>
              <w:rPr>
                <w:b w:val="0"/>
                <w:i w:val="0"/>
                <w:sz w:val="20"/>
              </w:rPr>
              <w:t>Запрет экспорта технологий разделения</w:t>
            </w:r>
          </w:p>
        </w:tc>
        <w:tc>
          <w:tcPr>
            <w:tcW w:type="dxa" w:w="3324"/>
          </w:tcPr>
          <w:p>
            <w:pPr>
              <w:spacing w:after="0" w:line="240" w:lineRule="auto"/>
              <w:ind w:firstLine="0"/>
              <w:jc w:val="center"/>
            </w:pPr>
            <w:r>
              <w:rPr>
                <w:b w:val="0"/>
                <w:i w:val="0"/>
                <w:sz w:val="20"/>
              </w:rPr>
              <w:t>блокирование трансфера компетенций</w:t>
            </w:r>
          </w:p>
        </w:tc>
      </w:tr>
      <w:tr>
        <w:tc>
          <w:tcPr>
            <w:tcW w:type="dxa" w:w="3324"/>
          </w:tcPr>
          <w:p>
            <w:pPr>
              <w:spacing w:after="0" w:line="240" w:lineRule="auto"/>
              <w:ind w:firstLine="0"/>
              <w:jc w:val="left"/>
            </w:pPr>
            <w:r>
              <w:rPr>
                <w:b w:val="0"/>
                <w:i w:val="0"/>
                <w:sz w:val="20"/>
              </w:rPr>
              <w:t>2024</w:t>
            </w:r>
          </w:p>
        </w:tc>
        <w:tc>
          <w:tcPr>
            <w:tcW w:type="dxa" w:w="3324"/>
          </w:tcPr>
          <w:p>
            <w:pPr>
              <w:spacing w:after="0" w:line="240" w:lineRule="auto"/>
              <w:ind w:firstLine="0"/>
              <w:jc w:val="center"/>
            </w:pPr>
            <w:r>
              <w:rPr>
                <w:b w:val="0"/>
                <w:i w:val="0"/>
                <w:sz w:val="20"/>
              </w:rPr>
              <w:t>Правила управления отраслью (№ 785)</w:t>
            </w:r>
          </w:p>
        </w:tc>
        <w:tc>
          <w:tcPr>
            <w:tcW w:type="dxa" w:w="3324"/>
          </w:tcPr>
          <w:p>
            <w:pPr>
              <w:spacing w:after="0" w:line="240" w:lineRule="auto"/>
              <w:ind w:firstLine="0"/>
              <w:jc w:val="center"/>
            </w:pPr>
            <w:r>
              <w:rPr>
                <w:b w:val="0"/>
                <w:i w:val="0"/>
                <w:sz w:val="20"/>
              </w:rPr>
              <w:t>госсобственность на ресурсы</w:t>
            </w:r>
          </w:p>
        </w:tc>
      </w:tr>
      <w:tr>
        <w:tc>
          <w:tcPr>
            <w:tcW w:type="dxa" w:w="3324"/>
          </w:tcPr>
          <w:p>
            <w:pPr>
              <w:spacing w:after="0" w:line="240" w:lineRule="auto"/>
              <w:ind w:firstLine="0"/>
              <w:jc w:val="left"/>
            </w:pPr>
            <w:r>
              <w:rPr>
                <w:b w:val="0"/>
                <w:i w:val="0"/>
                <w:sz w:val="20"/>
              </w:rPr>
              <w:t>2025 (апр.)</w:t>
            </w:r>
          </w:p>
        </w:tc>
        <w:tc>
          <w:tcPr>
            <w:tcW w:type="dxa" w:w="3324"/>
          </w:tcPr>
          <w:p>
            <w:pPr>
              <w:spacing w:after="0" w:line="240" w:lineRule="auto"/>
              <w:ind w:firstLine="0"/>
              <w:jc w:val="left"/>
            </w:pPr>
            <w:r>
              <w:rPr>
                <w:b w:val="0"/>
                <w:i w:val="0"/>
                <w:sz w:val="20"/>
              </w:rPr>
              <w:t>Экспортный контроль 7 элементов и магнитов</w:t>
            </w:r>
          </w:p>
        </w:tc>
        <w:tc>
          <w:tcPr>
            <w:tcW w:type="dxa" w:w="3324"/>
          </w:tcPr>
          <w:p>
            <w:pPr>
              <w:spacing w:after="0" w:line="240" w:lineRule="auto"/>
              <w:ind w:firstLine="0"/>
              <w:jc w:val="center"/>
            </w:pPr>
            <w:r>
              <w:rPr>
                <w:b w:val="0"/>
                <w:i w:val="0"/>
                <w:sz w:val="20"/>
              </w:rPr>
              <w:t>ценовой разрыв, дефицит вне КНР</w:t>
            </w:r>
          </w:p>
        </w:tc>
      </w:tr>
      <w:tr>
        <w:tc>
          <w:tcPr>
            <w:tcW w:type="dxa" w:w="3324"/>
          </w:tcPr>
          <w:p>
            <w:pPr>
              <w:spacing w:after="0" w:line="240" w:lineRule="auto"/>
              <w:ind w:firstLine="0"/>
              <w:jc w:val="left"/>
            </w:pPr>
            <w:r>
              <w:rPr>
                <w:b w:val="0"/>
                <w:i w:val="0"/>
                <w:sz w:val="20"/>
              </w:rPr>
              <w:t>2025 (окт.)</w:t>
            </w:r>
          </w:p>
        </w:tc>
        <w:tc>
          <w:tcPr>
            <w:tcW w:type="dxa" w:w="3324"/>
          </w:tcPr>
          <w:p>
            <w:pPr>
              <w:spacing w:after="0" w:line="240" w:lineRule="auto"/>
              <w:ind w:firstLine="0"/>
              <w:jc w:val="center"/>
            </w:pPr>
            <w:r>
              <w:rPr>
                <w:b w:val="0"/>
                <w:i w:val="0"/>
                <w:sz w:val="20"/>
              </w:rPr>
              <w:t>Расширение перечня, правило 0,1%</w:t>
            </w:r>
          </w:p>
        </w:tc>
        <w:tc>
          <w:tcPr>
            <w:tcW w:type="dxa" w:w="3324"/>
          </w:tcPr>
          <w:p>
            <w:pPr>
              <w:spacing w:after="0" w:line="240" w:lineRule="auto"/>
              <w:ind w:firstLine="0"/>
              <w:jc w:val="center"/>
            </w:pPr>
            <w:r>
              <w:rPr>
                <w:b w:val="0"/>
                <w:i w:val="0"/>
                <w:sz w:val="20"/>
              </w:rPr>
              <w:t>экстерриториальный охват</w:t>
            </w:r>
          </w:p>
        </w:tc>
      </w:tr>
    </w:tbl>
    <w:p>
      <w:pPr>
        <w:spacing w:after="180"/>
        <w:ind w:firstLine="0"/>
      </w:pPr>
      <w:r>
        <w:rPr>
          <w:i/>
          <w:sz w:val="20"/>
        </w:rPr>
        <w:t>Источник: официальные публикации Госсовета КНР, Министерства коммерции, Министерства промышленности и информатизации КНР</w:t>
      </w:r>
    </w:p>
    <w:p>
      <w:pPr>
        <w:pStyle w:val="Heading3"/>
      </w:pPr>
      <w:r>
        <w:rPr>
          <w:b w:val="0"/>
          <w:i w:val="0"/>
        </w:rPr>
        <w:t>7.1.2. Механика экспортного контроля 2025 г.</w:t>
      </w:r>
    </w:p>
    <w:p>
      <w:r>
        <w:rPr>
          <w:b w:val="0"/>
          <w:i w:val="0"/>
        </w:rPr>
        <w:t>Практическое значение имеют детали механизма, поскольку именно они определяют реальную степень ограничений.</w:t>
      </w:r>
    </w:p>
    <w:p>
      <w:r>
        <w:rPr>
          <w:b w:val="0"/>
          <w:i w:val="0"/>
        </w:rPr>
        <w:t>Экспорт контролируемых товаров осуществляется по индивидуальным лицензиям Министерства коммерции КНР. Срок рассмотрения заявки — до 45 рабочих дней. Требуется раскрытие конечного пользователя и назначения продукции. Для конечных пользователей, связанных с оборонной сферой других государств, установлен принцип презумпции отказа.</w:t>
      </w:r>
    </w:p>
    <w:p>
      <w:r>
        <w:rPr>
          <w:b w:val="0"/>
          <w:i w:val="0"/>
        </w:rPr>
        <w:t>Правило де-минимис, введённое в октябре 2025 г., распространяет требование лицензирования на товары, произведённые за пределами КНР, если доля контролируемых китайских редкоземельных материалов в их стоимости превышает 0,1%. Механизм воспроизводит логику американских правил экспортного контроля (EAR) и означает, что производитель магнитов в третьей стране, использующий китайское сырьё, обязан получать китайскую экспортную лицензию на поставку своей продукции.</w:t>
      </w:r>
    </w:p>
    <w:p>
      <w:r>
        <w:rPr>
          <w:b w:val="0"/>
          <w:i w:val="0"/>
        </w:rPr>
        <w:t>Практические последствия, наблюдавшиеся в 2025 г.:</w:t>
      </w:r>
    </w:p>
    <w:p>
      <w:pPr>
        <w:pStyle w:val="ListBullet"/>
        <w:spacing w:after="20"/>
        <w:ind w:firstLine="0"/>
      </w:pPr>
      <w:r>
        <w:rPr>
          <w:b w:val="0"/>
          <w:i w:val="0"/>
        </w:rPr>
        <w:t>приостановка отдельных производственных линий у европейских и индийских автопроизводителей вследствие исчерпания запасов магнитов;</w:t>
      </w:r>
    </w:p>
    <w:p>
      <w:pPr>
        <w:pStyle w:val="ListBullet"/>
        <w:spacing w:after="20"/>
        <w:ind w:firstLine="0"/>
      </w:pPr>
      <w:r>
        <w:rPr>
          <w:b w:val="0"/>
          <w:i w:val="0"/>
        </w:rPr>
        <w:t>формирование очередей на получение лицензий, срок фактического рассмотрения — до 60–90 дней;</w:t>
      </w:r>
    </w:p>
    <w:p>
      <w:pPr>
        <w:pStyle w:val="ListBullet"/>
        <w:spacing w:after="20"/>
        <w:ind w:firstLine="0"/>
      </w:pPr>
      <w:r>
        <w:rPr>
          <w:b w:val="0"/>
          <w:i w:val="0"/>
        </w:rPr>
        <w:t>избирательность выдачи: заявки гражданских потребителей удовлетворялись быстрее, оборонных — отклонялись;</w:t>
      </w:r>
    </w:p>
    <w:p>
      <w:pPr>
        <w:pStyle w:val="ListBullet"/>
        <w:spacing w:after="20"/>
        <w:ind w:firstLine="0"/>
      </w:pPr>
      <w:r>
        <w:rPr>
          <w:b w:val="0"/>
          <w:i w:val="0"/>
        </w:rPr>
        <w:t>ускоренное накопление запасов потребителями, усилившее дефицит;</w:t>
      </w:r>
    </w:p>
    <w:p>
      <w:pPr>
        <w:pStyle w:val="ListBullet"/>
        <w:spacing w:after="20"/>
        <w:ind w:firstLine="0"/>
      </w:pPr>
      <w:r>
        <w:rPr>
          <w:b w:val="0"/>
          <w:i w:val="0"/>
        </w:rPr>
        <w:t>заключение межгосударственных договорённостей о смягчении ограничений (в частности, американо-китайские договорённости, достигнутые осенью 2025 г. и предусматривающие приостановку части мер).</w:t>
      </w:r>
    </w:p>
    <w:p>
      <w:pPr>
        <w:ind w:left="454" w:firstLine="0"/>
      </w:pPr>
      <w:r>
        <w:rPr>
          <w:i/>
        </w:rPr>
        <w:t>При использовании настоящего раздела следует учитывать высокую динамику регулирования: перечни и порядок применения мер изменялись неоднократно в течение 2025 г. Приведённое описание отражает состояние на момент подготовки отчёта и требует актуализации.</w:t>
      </w:r>
    </w:p>
    <w:p>
      <w:pPr>
        <w:pStyle w:val="Heading2"/>
      </w:pPr>
      <w:r>
        <w:rPr>
          <w:b w:val="0"/>
          <w:i w:val="0"/>
        </w:rPr>
        <w:t>7.2. Политика Соединённых Штатов Америки</w:t>
      </w:r>
    </w:p>
    <w:p>
      <w:r>
        <w:rPr>
          <w:b w:val="0"/>
          <w:i w:val="0"/>
        </w:rPr>
        <w:t>Американская политика прошла путь от осознания уязвимости (доклады Счётной палаты США 2010 и 2016 гг.) к системному вмешательству с прямым участием государства в капитале компаний.</w:t>
      </w:r>
    </w:p>
    <w:p>
      <w:r>
        <w:rPr>
          <w:b/>
          <w:i w:val="0"/>
        </w:rPr>
        <w:t>Институциональная база:</w:t>
      </w:r>
    </w:p>
    <w:p>
      <w:pPr>
        <w:pStyle w:val="ListBullet"/>
        <w:spacing w:after="20"/>
        <w:ind w:firstLine="0"/>
      </w:pPr>
      <w:r>
        <w:rPr>
          <w:b/>
          <w:i w:val="0"/>
        </w:rPr>
        <w:t>Закон об оборонном производстве (Defense Production Act), раздел III</w:t>
      </w:r>
      <w:r>
        <w:rPr>
          <w:b w:val="0"/>
          <w:i w:val="0"/>
        </w:rPr>
        <w:t xml:space="preserve"> — предоставление грантов на создание мощностей критического значения. По этой линии финансировались MP Materials, Lynas USA, Noveon Magnetics и др.;</w:t>
      </w:r>
    </w:p>
    <w:p>
      <w:pPr>
        <w:pStyle w:val="ListBullet"/>
        <w:spacing w:after="20"/>
        <w:ind w:firstLine="0"/>
      </w:pPr>
      <w:r>
        <w:rPr>
          <w:b/>
          <w:i w:val="0"/>
        </w:rPr>
        <w:t>Закон о снижении инфляции (IRA, 2022 г.)</w:t>
      </w:r>
      <w:r>
        <w:rPr>
          <w:b w:val="0"/>
          <w:i w:val="0"/>
        </w:rPr>
        <w:t xml:space="preserve"> — производственный налоговый кредит по разделу 45X в размере 10% от затрат на производство критических минералов, а также требования локализации для налогового кредита на приобретение электромобилей;</w:t>
      </w:r>
    </w:p>
    <w:p>
      <w:pPr>
        <w:pStyle w:val="ListBullet"/>
        <w:spacing w:after="20"/>
        <w:ind w:firstLine="0"/>
      </w:pPr>
      <w:r>
        <w:rPr>
          <w:b/>
          <w:i w:val="0"/>
        </w:rPr>
        <w:t>Национальный оборонный резерв (National Defense Stockpile)</w:t>
      </w:r>
      <w:r>
        <w:rPr>
          <w:b w:val="0"/>
          <w:i w:val="0"/>
        </w:rPr>
        <w:t xml:space="preserve"> — закупки для государственного резерва;</w:t>
      </w:r>
    </w:p>
    <w:p>
      <w:pPr>
        <w:pStyle w:val="ListBullet"/>
        <w:spacing w:after="20"/>
        <w:ind w:firstLine="0"/>
      </w:pPr>
      <w:r>
        <w:rPr>
          <w:b/>
          <w:i w:val="0"/>
        </w:rPr>
        <w:t>Экспортно-импортный банк США и Международная корпорация финансирования развития (DFC)</w:t>
      </w:r>
      <w:r>
        <w:rPr>
          <w:b w:val="0"/>
          <w:i w:val="0"/>
        </w:rPr>
        <w:t xml:space="preserve"> — финансирование зарубежных проектов союзников;</w:t>
      </w:r>
    </w:p>
    <w:p>
      <w:pPr>
        <w:pStyle w:val="ListBullet"/>
        <w:spacing w:after="20"/>
        <w:ind w:firstLine="0"/>
      </w:pPr>
      <w:r>
        <w:rPr>
          <w:b/>
          <w:i w:val="0"/>
        </w:rPr>
        <w:t>Тарифные меры</w:t>
      </w:r>
      <w:r>
        <w:rPr>
          <w:b w:val="0"/>
          <w:i w:val="0"/>
        </w:rPr>
        <w:t xml:space="preserve"> — пошлины на импорт редкоземельных магнитов из КНР;</w:t>
      </w:r>
    </w:p>
    <w:p>
      <w:pPr>
        <w:pStyle w:val="ListBullet"/>
        <w:spacing w:after="20"/>
        <w:ind w:firstLine="0"/>
      </w:pPr>
      <w:r>
        <w:rPr>
          <w:b/>
          <w:i w:val="0"/>
        </w:rPr>
        <w:t>Запрет с 2027 г.</w:t>
      </w:r>
      <w:r>
        <w:rPr>
          <w:b w:val="0"/>
          <w:i w:val="0"/>
        </w:rPr>
        <w:t xml:space="preserve"> на использование в системах вооружений магнитов, произведённых в КНР, России, Иране и КНДР (положение Закона о полномочиях в области национальной обороны).</w:t>
      </w:r>
    </w:p>
    <w:p>
      <w:r>
        <w:rPr>
          <w:b/>
          <w:i w:val="0"/>
        </w:rPr>
        <w:t>Сделка Министерства обороны США с MP Materials (июль 2025 г.)</w:t>
      </w:r>
      <w:r>
        <w:rPr>
          <w:b w:val="0"/>
          <w:i w:val="0"/>
        </w:rPr>
        <w:t xml:space="preserve"> является прецедентом, меняющим экономическую модель отрасли. Её ключевые параметры описаны в разделе 4.4. Принципиальное новшество — установление гарантированного ценового пола 110 долл./кг на оксид NdPr сроком на 10 лет. Механизм устраняет главный барьер для инвестиций — ценовую волатильность — и фактически переносит на государство ценовой риск. Если рыночная цена ниже пола, разница компенсируется государством; если выше — прибыль делится.</w:t>
      </w:r>
    </w:p>
    <w:p>
      <w:pPr>
        <w:keepNext/>
        <w:spacing w:before="160" w:after="60"/>
        <w:ind w:firstLine="0"/>
        <w:jc w:val="left"/>
      </w:pPr>
      <w:r>
        <w:rPr>
          <w:b/>
          <w:sz w:val="22"/>
        </w:rPr>
        <w:t>Таблица 51. Основные меры государственной поддержки редкоземельной отрасли в США</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Мера / получатель</w:t>
            </w:r>
          </w:p>
        </w:tc>
        <w:tc>
          <w:tcPr>
            <w:tcW w:type="dxa" w:w="2493"/>
            <w:shd w:val="clear" w:fill="DCE6F1"/>
          </w:tcPr>
          <w:p>
            <w:pPr>
              <w:spacing w:after="0" w:line="240" w:lineRule="auto"/>
              <w:ind w:firstLine="0"/>
              <w:jc w:val="center"/>
            </w:pPr>
            <w:r>
              <w:rPr>
                <w:b/>
                <w:i w:val="0"/>
                <w:sz w:val="20"/>
              </w:rPr>
              <w:t>Инструмент</w:t>
            </w:r>
          </w:p>
        </w:tc>
        <w:tc>
          <w:tcPr>
            <w:tcW w:type="dxa" w:w="2493"/>
            <w:shd w:val="clear" w:fill="DCE6F1"/>
          </w:tcPr>
          <w:p>
            <w:pPr>
              <w:spacing w:after="0" w:line="240" w:lineRule="auto"/>
              <w:ind w:firstLine="0"/>
              <w:jc w:val="center"/>
            </w:pPr>
            <w:r>
              <w:rPr>
                <w:b/>
                <w:i w:val="0"/>
                <w:sz w:val="20"/>
              </w:rPr>
              <w:t>Объём</w:t>
            </w:r>
          </w:p>
        </w:tc>
        <w:tc>
          <w:tcPr>
            <w:tcW w:type="dxa" w:w="2493"/>
            <w:shd w:val="clear" w:fill="DCE6F1"/>
          </w:tcPr>
          <w:p>
            <w:pPr>
              <w:spacing w:after="0" w:line="240" w:lineRule="auto"/>
              <w:ind w:firstLine="0"/>
              <w:jc w:val="center"/>
            </w:pPr>
            <w:r>
              <w:rPr>
                <w:b/>
                <w:i w:val="0"/>
                <w:sz w:val="20"/>
              </w:rPr>
              <w:t>Назначение</w:t>
            </w:r>
          </w:p>
        </w:tc>
      </w:tr>
      <w:tr>
        <w:tc>
          <w:tcPr>
            <w:tcW w:type="dxa" w:w="2493"/>
          </w:tcPr>
          <w:p>
            <w:pPr>
              <w:spacing w:after="0" w:line="240" w:lineRule="auto"/>
              <w:ind w:firstLine="0"/>
              <w:jc w:val="left"/>
            </w:pPr>
            <w:r>
              <w:rPr>
                <w:b w:val="0"/>
                <w:i w:val="0"/>
                <w:sz w:val="20"/>
              </w:rPr>
              <w:t>MP Materials</w:t>
            </w:r>
          </w:p>
        </w:tc>
        <w:tc>
          <w:tcPr>
            <w:tcW w:type="dxa" w:w="2493"/>
          </w:tcPr>
          <w:p>
            <w:pPr>
              <w:spacing w:after="0" w:line="240" w:lineRule="auto"/>
              <w:ind w:firstLine="0"/>
              <w:jc w:val="center"/>
            </w:pPr>
            <w:r>
              <w:rPr>
                <w:b w:val="0"/>
                <w:i w:val="0"/>
                <w:sz w:val="20"/>
              </w:rPr>
              <w:t>акционерный капитал + ценовой пол</w:t>
            </w:r>
          </w:p>
        </w:tc>
        <w:tc>
          <w:tcPr>
            <w:tcW w:type="dxa" w:w="2493"/>
          </w:tcPr>
          <w:p>
            <w:pPr>
              <w:spacing w:after="0" w:line="240" w:lineRule="auto"/>
              <w:ind w:firstLine="0"/>
              <w:jc w:val="center"/>
            </w:pPr>
            <w:r>
              <w:rPr>
                <w:b w:val="0"/>
                <w:i w:val="0"/>
                <w:sz w:val="20"/>
              </w:rPr>
              <w:t>400 млн $ + гарантии</w:t>
            </w:r>
          </w:p>
        </w:tc>
        <w:tc>
          <w:tcPr>
            <w:tcW w:type="dxa" w:w="2493"/>
          </w:tcPr>
          <w:p>
            <w:pPr>
              <w:spacing w:after="0" w:line="240" w:lineRule="auto"/>
              <w:ind w:firstLine="0"/>
              <w:jc w:val="center"/>
            </w:pPr>
            <w:r>
              <w:rPr>
                <w:b w:val="0"/>
                <w:i w:val="0"/>
                <w:sz w:val="20"/>
              </w:rPr>
              <w:t>разделение, магниты 10 тыс. т</w:t>
            </w:r>
          </w:p>
        </w:tc>
      </w:tr>
      <w:tr>
        <w:tc>
          <w:tcPr>
            <w:tcW w:type="dxa" w:w="2493"/>
          </w:tcPr>
          <w:p>
            <w:pPr>
              <w:spacing w:after="0" w:line="240" w:lineRule="auto"/>
              <w:ind w:firstLine="0"/>
              <w:jc w:val="left"/>
            </w:pPr>
            <w:r>
              <w:rPr>
                <w:b w:val="0"/>
                <w:i w:val="0"/>
                <w:sz w:val="20"/>
              </w:rPr>
              <w:t>MP Materials</w:t>
            </w:r>
          </w:p>
        </w:tc>
        <w:tc>
          <w:tcPr>
            <w:tcW w:type="dxa" w:w="2493"/>
          </w:tcPr>
          <w:p>
            <w:pPr>
              <w:spacing w:after="0" w:line="240" w:lineRule="auto"/>
              <w:ind w:firstLine="0"/>
              <w:jc w:val="center"/>
            </w:pPr>
            <w:r>
              <w:rPr>
                <w:b w:val="0"/>
                <w:i w:val="0"/>
                <w:sz w:val="20"/>
              </w:rPr>
              <w:t>грант DPA Title III</w:t>
            </w:r>
          </w:p>
        </w:tc>
        <w:tc>
          <w:tcPr>
            <w:tcW w:type="dxa" w:w="2493"/>
          </w:tcPr>
          <w:p>
            <w:pPr>
              <w:spacing w:after="0" w:line="240" w:lineRule="auto"/>
              <w:ind w:firstLine="0"/>
              <w:jc w:val="center"/>
            </w:pPr>
            <w:r>
              <w:rPr>
                <w:b w:val="0"/>
                <w:i w:val="0"/>
                <w:sz w:val="20"/>
              </w:rPr>
              <w:t>45 млн $</w:t>
            </w:r>
          </w:p>
        </w:tc>
        <w:tc>
          <w:tcPr>
            <w:tcW w:type="dxa" w:w="2493"/>
          </w:tcPr>
          <w:p>
            <w:pPr>
              <w:spacing w:after="0" w:line="240" w:lineRule="auto"/>
              <w:ind w:firstLine="0"/>
              <w:jc w:val="center"/>
            </w:pPr>
            <w:r>
              <w:rPr>
                <w:b w:val="0"/>
                <w:i w:val="0"/>
                <w:sz w:val="20"/>
              </w:rPr>
              <w:t>разделение тяжёлых РЗМ</w:t>
            </w:r>
          </w:p>
        </w:tc>
      </w:tr>
      <w:tr>
        <w:tc>
          <w:tcPr>
            <w:tcW w:type="dxa" w:w="2493"/>
          </w:tcPr>
          <w:p>
            <w:pPr>
              <w:spacing w:after="0" w:line="240" w:lineRule="auto"/>
              <w:ind w:firstLine="0"/>
              <w:jc w:val="left"/>
            </w:pPr>
            <w:r>
              <w:rPr>
                <w:b w:val="0"/>
                <w:i w:val="0"/>
                <w:sz w:val="20"/>
              </w:rPr>
              <w:t>Lynas USA (Сибрук, Техас)</w:t>
            </w:r>
          </w:p>
        </w:tc>
        <w:tc>
          <w:tcPr>
            <w:tcW w:type="dxa" w:w="2493"/>
          </w:tcPr>
          <w:p>
            <w:pPr>
              <w:spacing w:after="0" w:line="240" w:lineRule="auto"/>
              <w:ind w:firstLine="0"/>
              <w:jc w:val="center"/>
            </w:pPr>
            <w:r>
              <w:rPr>
                <w:b w:val="0"/>
                <w:i w:val="0"/>
                <w:sz w:val="20"/>
              </w:rPr>
              <w:t>контракт DoD</w:t>
            </w:r>
          </w:p>
        </w:tc>
        <w:tc>
          <w:tcPr>
            <w:tcW w:type="dxa" w:w="2493"/>
          </w:tcPr>
          <w:p>
            <w:pPr>
              <w:spacing w:after="0" w:line="240" w:lineRule="auto"/>
              <w:ind w:firstLine="0"/>
              <w:jc w:val="center"/>
            </w:pPr>
            <w:r>
              <w:rPr>
                <w:b w:val="0"/>
                <w:i w:val="0"/>
                <w:sz w:val="20"/>
              </w:rPr>
              <w:t>258 млн $</w:t>
            </w:r>
          </w:p>
        </w:tc>
        <w:tc>
          <w:tcPr>
            <w:tcW w:type="dxa" w:w="2493"/>
          </w:tcPr>
          <w:p>
            <w:pPr>
              <w:spacing w:after="0" w:line="240" w:lineRule="auto"/>
              <w:ind w:firstLine="0"/>
              <w:jc w:val="center"/>
            </w:pPr>
            <w:r>
              <w:rPr>
                <w:b w:val="0"/>
                <w:i w:val="0"/>
                <w:sz w:val="20"/>
              </w:rPr>
              <w:t>разделительный завод</w:t>
            </w:r>
          </w:p>
        </w:tc>
      </w:tr>
      <w:tr>
        <w:tc>
          <w:tcPr>
            <w:tcW w:type="dxa" w:w="2493"/>
          </w:tcPr>
          <w:p>
            <w:pPr>
              <w:spacing w:after="0" w:line="240" w:lineRule="auto"/>
              <w:ind w:firstLine="0"/>
              <w:jc w:val="left"/>
            </w:pPr>
            <w:r>
              <w:rPr>
                <w:b w:val="0"/>
                <w:i w:val="0"/>
                <w:sz w:val="20"/>
              </w:rPr>
              <w:t>Noveon Magnetics</w:t>
            </w:r>
          </w:p>
        </w:tc>
        <w:tc>
          <w:tcPr>
            <w:tcW w:type="dxa" w:w="2493"/>
          </w:tcPr>
          <w:p>
            <w:pPr>
              <w:spacing w:after="0" w:line="240" w:lineRule="auto"/>
              <w:ind w:firstLine="0"/>
              <w:jc w:val="center"/>
            </w:pPr>
            <w:r>
              <w:rPr>
                <w:b w:val="0"/>
                <w:i w:val="0"/>
                <w:sz w:val="20"/>
              </w:rPr>
              <w:t>DPA Title III</w:t>
            </w:r>
          </w:p>
        </w:tc>
        <w:tc>
          <w:tcPr>
            <w:tcW w:type="dxa" w:w="2493"/>
          </w:tcPr>
          <w:p>
            <w:pPr>
              <w:spacing w:after="0" w:line="240" w:lineRule="auto"/>
              <w:ind w:firstLine="0"/>
              <w:jc w:val="center"/>
            </w:pPr>
            <w:r>
              <w:rPr>
                <w:b w:val="0"/>
                <w:i w:val="0"/>
                <w:sz w:val="20"/>
              </w:rPr>
              <w:t>29 млн $</w:t>
            </w:r>
          </w:p>
        </w:tc>
        <w:tc>
          <w:tcPr>
            <w:tcW w:type="dxa" w:w="2493"/>
          </w:tcPr>
          <w:p>
            <w:pPr>
              <w:spacing w:after="0" w:line="240" w:lineRule="auto"/>
              <w:ind w:firstLine="0"/>
              <w:jc w:val="center"/>
            </w:pPr>
            <w:r>
              <w:rPr>
                <w:b w:val="0"/>
                <w:i w:val="0"/>
                <w:sz w:val="20"/>
              </w:rPr>
              <w:t>магниты из вторичного сырья</w:t>
            </w:r>
          </w:p>
        </w:tc>
      </w:tr>
      <w:tr>
        <w:tc>
          <w:tcPr>
            <w:tcW w:type="dxa" w:w="2493"/>
          </w:tcPr>
          <w:p>
            <w:pPr>
              <w:spacing w:after="0" w:line="240" w:lineRule="auto"/>
              <w:ind w:firstLine="0"/>
              <w:jc w:val="left"/>
            </w:pPr>
            <w:r>
              <w:rPr>
                <w:b w:val="0"/>
                <w:i w:val="0"/>
                <w:sz w:val="20"/>
              </w:rPr>
              <w:t>e-VAC Magnetics (Сумтер)</w:t>
            </w:r>
          </w:p>
        </w:tc>
        <w:tc>
          <w:tcPr>
            <w:tcW w:type="dxa" w:w="2493"/>
          </w:tcPr>
          <w:p>
            <w:pPr>
              <w:spacing w:after="0" w:line="240" w:lineRule="auto"/>
              <w:ind w:firstLine="0"/>
              <w:jc w:val="center"/>
            </w:pPr>
            <w:r>
              <w:rPr>
                <w:b w:val="0"/>
                <w:i w:val="0"/>
                <w:sz w:val="20"/>
              </w:rPr>
              <w:t>IRA 45X + контракты</w:t>
            </w:r>
          </w:p>
        </w:tc>
        <w:tc>
          <w:tcPr>
            <w:tcW w:type="dxa" w:w="2493"/>
          </w:tcPr>
          <w:p>
            <w:pPr>
              <w:spacing w:after="0" w:line="240" w:lineRule="auto"/>
              <w:ind w:firstLine="0"/>
              <w:jc w:val="center"/>
            </w:pPr>
            <w:r>
              <w:rPr>
                <w:b w:val="0"/>
                <w:i w:val="0"/>
                <w:sz w:val="20"/>
              </w:rPr>
              <w:t>~500 млн $ (инвест.)</w:t>
            </w:r>
          </w:p>
        </w:tc>
        <w:tc>
          <w:tcPr>
            <w:tcW w:type="dxa" w:w="2493"/>
          </w:tcPr>
          <w:p>
            <w:pPr>
              <w:spacing w:after="0" w:line="240" w:lineRule="auto"/>
              <w:ind w:firstLine="0"/>
              <w:jc w:val="center"/>
            </w:pPr>
            <w:r>
              <w:rPr>
                <w:b w:val="0"/>
                <w:i w:val="0"/>
                <w:sz w:val="20"/>
              </w:rPr>
              <w:t>магниты 2 тыс. т</w:t>
            </w:r>
          </w:p>
        </w:tc>
      </w:tr>
      <w:tr>
        <w:tc>
          <w:tcPr>
            <w:tcW w:type="dxa" w:w="2493"/>
          </w:tcPr>
          <w:p>
            <w:pPr>
              <w:spacing w:after="0" w:line="240" w:lineRule="auto"/>
              <w:ind w:firstLine="0"/>
              <w:jc w:val="left"/>
            </w:pPr>
            <w:r>
              <w:rPr>
                <w:b w:val="0"/>
                <w:i w:val="0"/>
                <w:sz w:val="20"/>
              </w:rPr>
              <w:t>Energy Fuels</w:t>
            </w:r>
          </w:p>
        </w:tc>
        <w:tc>
          <w:tcPr>
            <w:tcW w:type="dxa" w:w="2493"/>
          </w:tcPr>
          <w:p>
            <w:pPr>
              <w:spacing w:after="0" w:line="240" w:lineRule="auto"/>
              <w:ind w:firstLine="0"/>
              <w:jc w:val="center"/>
            </w:pPr>
            <w:r>
              <w:rPr>
                <w:b w:val="0"/>
                <w:i w:val="0"/>
                <w:sz w:val="20"/>
              </w:rPr>
              <w:t>контракты, гранты</w:t>
            </w:r>
          </w:p>
        </w:tc>
        <w:tc>
          <w:tcPr>
            <w:tcW w:type="dxa" w:w="2493"/>
          </w:tcPr>
          <w:p>
            <w:pPr>
              <w:spacing w:after="0" w:line="240" w:lineRule="auto"/>
              <w:ind w:firstLine="0"/>
              <w:jc w:val="center"/>
            </w:pPr>
            <w:r>
              <w:rPr>
                <w:b w:val="0"/>
                <w:i w:val="0"/>
                <w:sz w:val="20"/>
              </w:rPr>
              <w:t>н/д</w:t>
            </w:r>
          </w:p>
        </w:tc>
        <w:tc>
          <w:tcPr>
            <w:tcW w:type="dxa" w:w="2493"/>
          </w:tcPr>
          <w:p>
            <w:pPr>
              <w:spacing w:after="0" w:line="240" w:lineRule="auto"/>
              <w:ind w:firstLine="0"/>
              <w:jc w:val="center"/>
            </w:pPr>
            <w:r>
              <w:rPr>
                <w:b w:val="0"/>
                <w:i w:val="0"/>
                <w:sz w:val="20"/>
              </w:rPr>
              <w:t>переработка монацита</w:t>
            </w:r>
          </w:p>
        </w:tc>
      </w:tr>
      <w:tr>
        <w:tc>
          <w:tcPr>
            <w:tcW w:type="dxa" w:w="2493"/>
          </w:tcPr>
          <w:p>
            <w:pPr>
              <w:spacing w:after="0" w:line="240" w:lineRule="auto"/>
              <w:ind w:firstLine="0"/>
              <w:jc w:val="left"/>
            </w:pPr>
            <w:r>
              <w:rPr>
                <w:b w:val="0"/>
                <w:i w:val="0"/>
                <w:sz w:val="20"/>
              </w:rPr>
              <w:t>Ucore</w:t>
            </w:r>
          </w:p>
        </w:tc>
        <w:tc>
          <w:tcPr>
            <w:tcW w:type="dxa" w:w="2493"/>
          </w:tcPr>
          <w:p>
            <w:pPr>
              <w:spacing w:after="0" w:line="240" w:lineRule="auto"/>
              <w:ind w:firstLine="0"/>
              <w:jc w:val="center"/>
            </w:pPr>
            <w:r>
              <w:rPr>
                <w:b w:val="0"/>
                <w:i w:val="0"/>
                <w:sz w:val="20"/>
              </w:rPr>
              <w:t>DoD</w:t>
            </w:r>
          </w:p>
        </w:tc>
        <w:tc>
          <w:tcPr>
            <w:tcW w:type="dxa" w:w="2493"/>
          </w:tcPr>
          <w:p>
            <w:pPr>
              <w:spacing w:after="0" w:line="240" w:lineRule="auto"/>
              <w:ind w:firstLine="0"/>
              <w:jc w:val="center"/>
            </w:pPr>
            <w:r>
              <w:rPr>
                <w:b w:val="0"/>
                <w:i w:val="0"/>
                <w:sz w:val="20"/>
              </w:rPr>
              <w:t>18 млн $</w:t>
            </w:r>
          </w:p>
        </w:tc>
        <w:tc>
          <w:tcPr>
            <w:tcW w:type="dxa" w:w="2493"/>
          </w:tcPr>
          <w:p>
            <w:pPr>
              <w:spacing w:after="0" w:line="240" w:lineRule="auto"/>
              <w:ind w:firstLine="0"/>
              <w:jc w:val="center"/>
            </w:pPr>
            <w:r>
              <w:rPr>
                <w:b w:val="0"/>
                <w:i w:val="0"/>
                <w:sz w:val="20"/>
              </w:rPr>
              <w:t>разделение (Луизиана)</w:t>
            </w:r>
          </w:p>
        </w:tc>
      </w:tr>
      <w:tr>
        <w:tc>
          <w:tcPr>
            <w:tcW w:type="dxa" w:w="2493"/>
          </w:tcPr>
          <w:p>
            <w:pPr>
              <w:spacing w:after="0" w:line="240" w:lineRule="auto"/>
              <w:ind w:firstLine="0"/>
              <w:jc w:val="left"/>
            </w:pPr>
            <w:r>
              <w:rPr>
                <w:b w:val="0"/>
                <w:i w:val="0"/>
                <w:sz w:val="20"/>
              </w:rPr>
              <w:t>Vulcan Elements</w:t>
            </w:r>
          </w:p>
        </w:tc>
        <w:tc>
          <w:tcPr>
            <w:tcW w:type="dxa" w:w="2493"/>
          </w:tcPr>
          <w:p>
            <w:pPr>
              <w:spacing w:after="0" w:line="240" w:lineRule="auto"/>
              <w:ind w:firstLine="0"/>
              <w:jc w:val="center"/>
            </w:pPr>
            <w:r>
              <w:rPr>
                <w:b w:val="0"/>
                <w:i w:val="0"/>
                <w:sz w:val="20"/>
              </w:rPr>
              <w:t>DoD/DoE</w:t>
            </w:r>
          </w:p>
        </w:tc>
        <w:tc>
          <w:tcPr>
            <w:tcW w:type="dxa" w:w="2493"/>
          </w:tcPr>
          <w:p>
            <w:pPr>
              <w:spacing w:after="0" w:line="240" w:lineRule="auto"/>
              <w:ind w:firstLine="0"/>
              <w:jc w:val="center"/>
            </w:pPr>
            <w:r>
              <w:rPr>
                <w:b w:val="0"/>
                <w:i w:val="0"/>
                <w:sz w:val="20"/>
              </w:rPr>
              <w:t>620 млн $ (пакет)</w:t>
            </w:r>
          </w:p>
        </w:tc>
        <w:tc>
          <w:tcPr>
            <w:tcW w:type="dxa" w:w="2493"/>
          </w:tcPr>
          <w:p>
            <w:pPr>
              <w:spacing w:after="0" w:line="240" w:lineRule="auto"/>
              <w:ind w:firstLine="0"/>
              <w:jc w:val="center"/>
            </w:pPr>
            <w:r>
              <w:rPr>
                <w:b w:val="0"/>
                <w:i w:val="0"/>
                <w:sz w:val="20"/>
              </w:rPr>
              <w:t>магниты</w:t>
            </w:r>
          </w:p>
        </w:tc>
      </w:tr>
      <w:tr>
        <w:tc>
          <w:tcPr>
            <w:tcW w:type="dxa" w:w="2493"/>
          </w:tcPr>
          <w:p>
            <w:pPr>
              <w:spacing w:after="0" w:line="240" w:lineRule="auto"/>
              <w:ind w:firstLine="0"/>
              <w:jc w:val="left"/>
            </w:pPr>
            <w:r>
              <w:rPr>
                <w:b w:val="0"/>
                <w:i w:val="0"/>
                <w:sz w:val="20"/>
              </w:rPr>
              <w:t>ReElement Technologies</w:t>
            </w:r>
          </w:p>
        </w:tc>
        <w:tc>
          <w:tcPr>
            <w:tcW w:type="dxa" w:w="2493"/>
          </w:tcPr>
          <w:p>
            <w:pPr>
              <w:spacing w:after="0" w:line="240" w:lineRule="auto"/>
              <w:ind w:firstLine="0"/>
              <w:jc w:val="center"/>
            </w:pPr>
            <w:r>
              <w:rPr>
                <w:b w:val="0"/>
                <w:i w:val="0"/>
                <w:sz w:val="20"/>
              </w:rPr>
              <w:t>гранты</w:t>
            </w:r>
          </w:p>
        </w:tc>
        <w:tc>
          <w:tcPr>
            <w:tcW w:type="dxa" w:w="2493"/>
          </w:tcPr>
          <w:p>
            <w:pPr>
              <w:spacing w:after="0" w:line="240" w:lineRule="auto"/>
              <w:ind w:firstLine="0"/>
              <w:jc w:val="center"/>
            </w:pPr>
            <w:r>
              <w:rPr>
                <w:b w:val="0"/>
                <w:i w:val="0"/>
                <w:sz w:val="20"/>
              </w:rPr>
              <w:t>н/д</w:t>
            </w:r>
          </w:p>
        </w:tc>
        <w:tc>
          <w:tcPr>
            <w:tcW w:type="dxa" w:w="2493"/>
          </w:tcPr>
          <w:p>
            <w:pPr>
              <w:spacing w:after="0" w:line="240" w:lineRule="auto"/>
              <w:ind w:firstLine="0"/>
              <w:jc w:val="center"/>
            </w:pPr>
            <w:r>
              <w:rPr>
                <w:b w:val="0"/>
                <w:i w:val="0"/>
                <w:sz w:val="20"/>
              </w:rPr>
              <w:t>разделение, рециклинг</w:t>
            </w:r>
          </w:p>
        </w:tc>
      </w:tr>
    </w:tbl>
    <w:p>
      <w:pPr>
        <w:spacing w:after="180"/>
        <w:ind w:firstLine="0"/>
      </w:pPr>
      <w:r>
        <w:rPr>
          <w:i/>
          <w:sz w:val="20"/>
        </w:rPr>
        <w:t>Источник: публикации Министерства обороны, Министерства энергетики США, отчётность компаний</w:t>
      </w:r>
    </w:p>
    <w:p>
      <w:pPr>
        <w:pStyle w:val="Heading2"/>
      </w:pPr>
      <w:r>
        <w:rPr>
          <w:b w:val="0"/>
          <w:i w:val="0"/>
        </w:rPr>
        <w:t>7.3. Политика Европейского союза</w:t>
      </w:r>
    </w:p>
    <w:p>
      <w:r>
        <w:rPr>
          <w:b w:val="0"/>
          <w:i w:val="0"/>
        </w:rPr>
        <w:t xml:space="preserve">Европейский подход институционально оформлен </w:t>
      </w:r>
      <w:r>
        <w:rPr>
          <w:b/>
          <w:i w:val="0"/>
        </w:rPr>
        <w:t>Регламентом о критическом сырье</w:t>
      </w:r>
      <w:r>
        <w:rPr>
          <w:b w:val="0"/>
          <w:i w:val="0"/>
        </w:rPr>
        <w:t xml:space="preserve"> (Critical Raw Materials Act, Регламент (ЕС) 2024/1252, вступил в силу в мае 2024 г.). Регламент устанавливает количественные ориентиры, подлежащие достижению к 2030 г.:</w:t>
      </w:r>
    </w:p>
    <w:p>
      <w:pPr>
        <w:pStyle w:val="ListBullet"/>
        <w:spacing w:after="20"/>
        <w:ind w:firstLine="0"/>
      </w:pPr>
      <w:r>
        <w:rPr>
          <w:b w:val="0"/>
          <w:i w:val="0"/>
        </w:rPr>
        <w:t xml:space="preserve">не менее </w:t>
      </w:r>
      <w:r>
        <w:rPr>
          <w:b/>
          <w:i w:val="0"/>
        </w:rPr>
        <w:t>10%</w:t>
      </w:r>
      <w:r>
        <w:rPr>
          <w:b w:val="0"/>
          <w:i w:val="0"/>
        </w:rPr>
        <w:t xml:space="preserve"> годового потребления стратегического сырья должно обеспечиваться добычей в ЕС;</w:t>
      </w:r>
    </w:p>
    <w:p>
      <w:pPr>
        <w:pStyle w:val="ListBullet"/>
        <w:spacing w:after="20"/>
        <w:ind w:firstLine="0"/>
      </w:pPr>
      <w:r>
        <w:rPr>
          <w:b w:val="0"/>
          <w:i w:val="0"/>
        </w:rPr>
        <w:t xml:space="preserve">не менее </w:t>
      </w:r>
      <w:r>
        <w:rPr>
          <w:b/>
          <w:i w:val="0"/>
        </w:rPr>
        <w:t>40%</w:t>
      </w:r>
      <w:r>
        <w:rPr>
          <w:b w:val="0"/>
          <w:i w:val="0"/>
        </w:rPr>
        <w:t xml:space="preserve"> — переработкой в ЕС;</w:t>
      </w:r>
    </w:p>
    <w:p>
      <w:pPr>
        <w:pStyle w:val="ListBullet"/>
        <w:spacing w:after="20"/>
        <w:ind w:firstLine="0"/>
      </w:pPr>
      <w:r>
        <w:rPr>
          <w:b w:val="0"/>
          <w:i w:val="0"/>
        </w:rPr>
        <w:t xml:space="preserve">не менее </w:t>
      </w:r>
      <w:r>
        <w:rPr>
          <w:b/>
          <w:i w:val="0"/>
        </w:rPr>
        <w:t>25%</w:t>
      </w:r>
      <w:r>
        <w:rPr>
          <w:b w:val="0"/>
          <w:i w:val="0"/>
        </w:rPr>
        <w:t xml:space="preserve"> — рециклингом;</w:t>
      </w:r>
    </w:p>
    <w:p>
      <w:pPr>
        <w:pStyle w:val="ListBullet"/>
        <w:spacing w:after="20"/>
        <w:ind w:firstLine="0"/>
      </w:pPr>
      <w:r>
        <w:rPr>
          <w:b w:val="0"/>
          <w:i w:val="0"/>
        </w:rPr>
        <w:t xml:space="preserve">не более </w:t>
      </w:r>
      <w:r>
        <w:rPr>
          <w:b/>
          <w:i w:val="0"/>
        </w:rPr>
        <w:t>65%</w:t>
      </w:r>
      <w:r>
        <w:rPr>
          <w:b w:val="0"/>
          <w:i w:val="0"/>
        </w:rPr>
        <w:t xml:space="preserve"> годового потребления любого стратегического сырья на любой стадии передела должно приходиться на одну третью страну.</w:t>
      </w:r>
    </w:p>
    <w:p>
      <w:r>
        <w:rPr>
          <w:b w:val="0"/>
          <w:i w:val="0"/>
        </w:rPr>
        <w:t>Редкоземельные элементы для магнитов (Nd, Pr, Dy, Tb, Sm, Gd) включены в перечень стратегического сырья. Регламент предусматривает механизм присвоения проектам статуса стратегических с ускоренным разрешительным режимом (не более 27 месяцев для добычных и 15 месяцев для перерабатывающих проектов), обязательный мониторинг цепочек поставок крупными потребителями и создание совместных закупочных механизмов.</w:t>
      </w:r>
    </w:p>
    <w:p>
      <w:r>
        <w:rPr>
          <w:b w:val="0"/>
          <w:i w:val="0"/>
        </w:rPr>
        <w:t>Оценка реалистичности целевых показателей для редких земель неоднозначна. Показатель 40% переработки теоретически достижим за счёт расширения мощностей Solvay, Neo (Эстония) и Carester (Франция), однако показатель 10% добычи в ЕС не обеспечен проектами: единственные значимые объекты — Норра-Чер (Швеция, LKAB) и Фен (Норвегия, не входящая в ЕС) — находятся на ранних стадиях. Показатель 25% рециклинга требует кратного роста относительно текущих 1–3%.</w:t>
      </w:r>
    </w:p>
    <w:p>
      <w:pPr>
        <w:keepNext/>
        <w:spacing w:before="160" w:after="60"/>
        <w:ind w:firstLine="0"/>
        <w:jc w:val="left"/>
      </w:pPr>
      <w:r>
        <w:rPr>
          <w:b/>
          <w:sz w:val="22"/>
        </w:rPr>
        <w:t>Таблица 52. Целевые показатели Регламента ЕС о критическом сырье и оценка их достижимости для РЗМ</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Показатель к 2030 г.</w:t>
            </w:r>
          </w:p>
        </w:tc>
        <w:tc>
          <w:tcPr>
            <w:tcW w:type="dxa" w:w="2493"/>
            <w:shd w:val="clear" w:fill="DCE6F1"/>
          </w:tcPr>
          <w:p>
            <w:pPr>
              <w:spacing w:after="0" w:line="240" w:lineRule="auto"/>
              <w:ind w:firstLine="0"/>
              <w:jc w:val="center"/>
            </w:pPr>
            <w:r>
              <w:rPr>
                <w:b/>
                <w:i w:val="0"/>
                <w:sz w:val="20"/>
              </w:rPr>
              <w:t>Цель</w:t>
            </w:r>
          </w:p>
        </w:tc>
        <w:tc>
          <w:tcPr>
            <w:tcW w:type="dxa" w:w="2493"/>
            <w:shd w:val="clear" w:fill="DCE6F1"/>
          </w:tcPr>
          <w:p>
            <w:pPr>
              <w:spacing w:after="0" w:line="240" w:lineRule="auto"/>
              <w:ind w:firstLine="0"/>
              <w:jc w:val="center"/>
            </w:pPr>
            <w:r>
              <w:rPr>
                <w:b/>
                <w:i w:val="0"/>
                <w:sz w:val="20"/>
              </w:rPr>
              <w:t>Факт 2025</w:t>
            </w:r>
          </w:p>
        </w:tc>
        <w:tc>
          <w:tcPr>
            <w:tcW w:type="dxa" w:w="2493"/>
            <w:shd w:val="clear" w:fill="DCE6F1"/>
          </w:tcPr>
          <w:p>
            <w:pPr>
              <w:spacing w:after="0" w:line="240" w:lineRule="auto"/>
              <w:ind w:firstLine="0"/>
              <w:jc w:val="center"/>
            </w:pPr>
            <w:r>
              <w:rPr>
                <w:b/>
                <w:i w:val="0"/>
                <w:sz w:val="20"/>
              </w:rPr>
              <w:t>Оценка достижимости</w:t>
            </w:r>
          </w:p>
        </w:tc>
      </w:tr>
      <w:tr>
        <w:tc>
          <w:tcPr>
            <w:tcW w:type="dxa" w:w="2493"/>
          </w:tcPr>
          <w:p>
            <w:pPr>
              <w:spacing w:after="0" w:line="240" w:lineRule="auto"/>
              <w:ind w:firstLine="0"/>
              <w:jc w:val="left"/>
            </w:pPr>
            <w:r>
              <w:rPr>
                <w:b w:val="0"/>
                <w:i w:val="0"/>
                <w:sz w:val="20"/>
              </w:rPr>
              <w:t>Добыча в ЕС</w:t>
            </w:r>
          </w:p>
        </w:tc>
        <w:tc>
          <w:tcPr>
            <w:tcW w:type="dxa" w:w="2493"/>
          </w:tcPr>
          <w:p>
            <w:pPr>
              <w:spacing w:after="0" w:line="240" w:lineRule="auto"/>
              <w:ind w:firstLine="0"/>
              <w:jc w:val="center"/>
            </w:pPr>
            <w:r>
              <w:rPr>
                <w:b w:val="0"/>
                <w:i w:val="0"/>
                <w:sz w:val="20"/>
              </w:rPr>
              <w:t>10%</w:t>
            </w:r>
          </w:p>
        </w:tc>
        <w:tc>
          <w:tcPr>
            <w:tcW w:type="dxa" w:w="2493"/>
          </w:tcPr>
          <w:p>
            <w:pPr>
              <w:spacing w:after="0" w:line="240" w:lineRule="auto"/>
              <w:ind w:firstLine="0"/>
              <w:jc w:val="center"/>
            </w:pPr>
            <w:r>
              <w:rPr>
                <w:b w:val="0"/>
                <w:i w:val="0"/>
                <w:sz w:val="20"/>
              </w:rPr>
              <w:t>~0%</w:t>
            </w:r>
          </w:p>
        </w:tc>
        <w:tc>
          <w:tcPr>
            <w:tcW w:type="dxa" w:w="2493"/>
          </w:tcPr>
          <w:p>
            <w:pPr>
              <w:spacing w:after="0" w:line="240" w:lineRule="auto"/>
              <w:ind w:firstLine="0"/>
              <w:jc w:val="center"/>
            </w:pPr>
            <w:r>
              <w:rPr>
                <w:b w:val="0"/>
                <w:i w:val="0"/>
                <w:sz w:val="20"/>
              </w:rPr>
              <w:t>низкая</w:t>
            </w:r>
          </w:p>
        </w:tc>
      </w:tr>
      <w:tr>
        <w:tc>
          <w:tcPr>
            <w:tcW w:type="dxa" w:w="2493"/>
          </w:tcPr>
          <w:p>
            <w:pPr>
              <w:spacing w:after="0" w:line="240" w:lineRule="auto"/>
              <w:ind w:firstLine="0"/>
              <w:jc w:val="left"/>
            </w:pPr>
            <w:r>
              <w:rPr>
                <w:b w:val="0"/>
                <w:i w:val="0"/>
                <w:sz w:val="20"/>
              </w:rPr>
              <w:t>Переработка в ЕС</w:t>
            </w:r>
          </w:p>
        </w:tc>
        <w:tc>
          <w:tcPr>
            <w:tcW w:type="dxa" w:w="2493"/>
          </w:tcPr>
          <w:p>
            <w:pPr>
              <w:spacing w:after="0" w:line="240" w:lineRule="auto"/>
              <w:ind w:firstLine="0"/>
              <w:jc w:val="center"/>
            </w:pPr>
            <w:r>
              <w:rPr>
                <w:b w:val="0"/>
                <w:i w:val="0"/>
                <w:sz w:val="20"/>
              </w:rPr>
              <w:t>40%</w:t>
            </w:r>
          </w:p>
        </w:tc>
        <w:tc>
          <w:tcPr>
            <w:tcW w:type="dxa" w:w="2493"/>
          </w:tcPr>
          <w:p>
            <w:pPr>
              <w:spacing w:after="0" w:line="240" w:lineRule="auto"/>
              <w:ind w:firstLine="0"/>
              <w:jc w:val="center"/>
            </w:pPr>
            <w:r>
              <w:rPr>
                <w:b w:val="0"/>
                <w:i w:val="0"/>
                <w:sz w:val="20"/>
              </w:rPr>
              <w:t>~6%</w:t>
            </w:r>
          </w:p>
        </w:tc>
        <w:tc>
          <w:tcPr>
            <w:tcW w:type="dxa" w:w="2493"/>
          </w:tcPr>
          <w:p>
            <w:pPr>
              <w:spacing w:after="0" w:line="240" w:lineRule="auto"/>
              <w:ind w:firstLine="0"/>
              <w:jc w:val="center"/>
            </w:pPr>
            <w:r>
              <w:rPr>
                <w:b w:val="0"/>
                <w:i w:val="0"/>
                <w:sz w:val="20"/>
              </w:rPr>
              <w:t>средняя</w:t>
            </w:r>
          </w:p>
        </w:tc>
      </w:tr>
      <w:tr>
        <w:tc>
          <w:tcPr>
            <w:tcW w:type="dxa" w:w="2493"/>
          </w:tcPr>
          <w:p>
            <w:pPr>
              <w:spacing w:after="0" w:line="240" w:lineRule="auto"/>
              <w:ind w:firstLine="0"/>
              <w:jc w:val="left"/>
            </w:pPr>
            <w:r>
              <w:rPr>
                <w:b w:val="0"/>
                <w:i w:val="0"/>
                <w:sz w:val="20"/>
              </w:rPr>
              <w:t>Рециклинг</w:t>
            </w:r>
          </w:p>
        </w:tc>
        <w:tc>
          <w:tcPr>
            <w:tcW w:type="dxa" w:w="2493"/>
          </w:tcPr>
          <w:p>
            <w:pPr>
              <w:spacing w:after="0" w:line="240" w:lineRule="auto"/>
              <w:ind w:firstLine="0"/>
              <w:jc w:val="center"/>
            </w:pPr>
            <w:r>
              <w:rPr>
                <w:b w:val="0"/>
                <w:i w:val="0"/>
                <w:sz w:val="20"/>
              </w:rPr>
              <w:t>25%</w:t>
            </w:r>
          </w:p>
        </w:tc>
        <w:tc>
          <w:tcPr>
            <w:tcW w:type="dxa" w:w="2493"/>
          </w:tcPr>
          <w:p>
            <w:pPr>
              <w:spacing w:after="0" w:line="240" w:lineRule="auto"/>
              <w:ind w:firstLine="0"/>
              <w:jc w:val="center"/>
            </w:pPr>
            <w:r>
              <w:rPr>
                <w:b w:val="0"/>
                <w:i w:val="0"/>
                <w:sz w:val="20"/>
              </w:rPr>
              <w:t>~2%</w:t>
            </w:r>
          </w:p>
        </w:tc>
        <w:tc>
          <w:tcPr>
            <w:tcW w:type="dxa" w:w="2493"/>
          </w:tcPr>
          <w:p>
            <w:pPr>
              <w:spacing w:after="0" w:line="240" w:lineRule="auto"/>
              <w:ind w:firstLine="0"/>
              <w:jc w:val="center"/>
            </w:pPr>
            <w:r>
              <w:rPr>
                <w:b w:val="0"/>
                <w:i w:val="0"/>
                <w:sz w:val="20"/>
              </w:rPr>
              <w:t>низкая</w:t>
            </w:r>
          </w:p>
        </w:tc>
      </w:tr>
      <w:tr>
        <w:tc>
          <w:tcPr>
            <w:tcW w:type="dxa" w:w="2493"/>
          </w:tcPr>
          <w:p>
            <w:pPr>
              <w:spacing w:after="0" w:line="240" w:lineRule="auto"/>
              <w:ind w:firstLine="0"/>
              <w:jc w:val="left"/>
            </w:pPr>
            <w:r>
              <w:rPr>
                <w:b w:val="0"/>
                <w:i w:val="0"/>
                <w:sz w:val="20"/>
              </w:rPr>
              <w:t>Зависимость от одной страны</w:t>
            </w:r>
          </w:p>
        </w:tc>
        <w:tc>
          <w:tcPr>
            <w:tcW w:type="dxa" w:w="2493"/>
          </w:tcPr>
          <w:p>
            <w:pPr>
              <w:spacing w:after="0" w:line="240" w:lineRule="auto"/>
              <w:ind w:firstLine="0"/>
              <w:jc w:val="center"/>
            </w:pPr>
            <w:r>
              <w:rPr>
                <w:b w:val="0"/>
                <w:i w:val="0"/>
                <w:sz w:val="20"/>
              </w:rPr>
              <w:t>≤65%</w:t>
            </w:r>
          </w:p>
        </w:tc>
        <w:tc>
          <w:tcPr>
            <w:tcW w:type="dxa" w:w="2493"/>
          </w:tcPr>
          <w:p>
            <w:pPr>
              <w:spacing w:after="0" w:line="240" w:lineRule="auto"/>
              <w:ind w:firstLine="0"/>
              <w:jc w:val="center"/>
            </w:pPr>
            <w:r>
              <w:rPr>
                <w:b w:val="0"/>
                <w:i w:val="0"/>
                <w:sz w:val="20"/>
              </w:rPr>
              <w:t>~92%</w:t>
            </w:r>
          </w:p>
        </w:tc>
        <w:tc>
          <w:tcPr>
            <w:tcW w:type="dxa" w:w="2493"/>
          </w:tcPr>
          <w:p>
            <w:pPr>
              <w:spacing w:after="0" w:line="240" w:lineRule="auto"/>
              <w:ind w:firstLine="0"/>
              <w:jc w:val="center"/>
            </w:pPr>
            <w:r>
              <w:rPr>
                <w:b w:val="0"/>
                <w:i w:val="0"/>
                <w:sz w:val="20"/>
              </w:rPr>
              <w:t>средняя</w:t>
            </w:r>
          </w:p>
        </w:tc>
      </w:tr>
      <w:tr>
        <w:tc>
          <w:tcPr>
            <w:tcW w:type="dxa" w:w="2493"/>
          </w:tcPr>
          <w:p>
            <w:pPr>
              <w:spacing w:after="0" w:line="240" w:lineRule="auto"/>
              <w:ind w:firstLine="0"/>
              <w:jc w:val="left"/>
            </w:pPr>
            <w:r>
              <w:rPr>
                <w:b w:val="0"/>
                <w:i w:val="0"/>
                <w:sz w:val="20"/>
              </w:rPr>
              <w:t>Производство магнитов в ЕС</w:t>
            </w:r>
          </w:p>
        </w:tc>
        <w:tc>
          <w:tcPr>
            <w:tcW w:type="dxa" w:w="2493"/>
          </w:tcPr>
          <w:p>
            <w:pPr>
              <w:spacing w:after="0" w:line="240" w:lineRule="auto"/>
              <w:ind w:firstLine="0"/>
              <w:jc w:val="center"/>
            </w:pPr>
            <w:r>
              <w:rPr>
                <w:b w:val="0"/>
                <w:i w:val="0"/>
                <w:sz w:val="20"/>
              </w:rPr>
              <w:t>н/у</w:t>
            </w:r>
          </w:p>
        </w:tc>
        <w:tc>
          <w:tcPr>
            <w:tcW w:type="dxa" w:w="2493"/>
          </w:tcPr>
          <w:p>
            <w:pPr>
              <w:spacing w:after="0" w:line="240" w:lineRule="auto"/>
              <w:ind w:firstLine="0"/>
              <w:jc w:val="center"/>
            </w:pPr>
            <w:r>
              <w:rPr>
                <w:b w:val="0"/>
                <w:i w:val="0"/>
                <w:sz w:val="20"/>
              </w:rPr>
              <w:t>~0,4% мир.</w:t>
            </w:r>
          </w:p>
        </w:tc>
        <w:tc>
          <w:tcPr>
            <w:tcW w:type="dxa" w:w="2493"/>
          </w:tcPr>
          <w:p>
            <w:pPr>
              <w:spacing w:after="0" w:line="240" w:lineRule="auto"/>
              <w:ind w:firstLine="0"/>
              <w:jc w:val="center"/>
            </w:pPr>
            <w:r>
              <w:rPr>
                <w:b w:val="0"/>
                <w:i w:val="0"/>
                <w:sz w:val="20"/>
              </w:rPr>
              <w:t>средняя</w:t>
            </w:r>
          </w:p>
        </w:tc>
      </w:tr>
    </w:tbl>
    <w:p>
      <w:pPr>
        <w:spacing w:after="180"/>
        <w:ind w:firstLine="0"/>
      </w:pPr>
      <w:r>
        <w:rPr>
          <w:i/>
          <w:sz w:val="20"/>
        </w:rPr>
        <w:t>Источник: Регламент (ЕС) 2024/1252; оценка аналитического центра</w:t>
      </w:r>
    </w:p>
    <w:p>
      <w:pPr>
        <w:pStyle w:val="Heading2"/>
      </w:pPr>
      <w:r>
        <w:rPr>
          <w:b w:val="0"/>
          <w:i w:val="0"/>
        </w:rPr>
        <w:t>7.4. Политика Японии, Республики Корея и Индии</w:t>
      </w:r>
    </w:p>
    <w:p>
      <w:r>
        <w:rPr>
          <w:b/>
          <w:i w:val="0"/>
        </w:rPr>
        <w:t>Япония</w:t>
      </w:r>
      <w:r>
        <w:rPr>
          <w:b w:val="0"/>
          <w:i w:val="0"/>
        </w:rPr>
        <w:t xml:space="preserve"> первой в мире столкнулась с редкоземельным шоком (2010 г.) и первой выработала системный ответ. Элементы японской модели:</w:t>
      </w:r>
    </w:p>
    <w:p>
      <w:pPr>
        <w:pStyle w:val="ListBullet"/>
        <w:spacing w:after="20"/>
        <w:ind w:firstLine="0"/>
      </w:pPr>
      <w:r>
        <w:rPr>
          <w:b w:val="0"/>
          <w:i w:val="0"/>
        </w:rPr>
        <w:t>государственные стратегические запасы критического сырья, формируемые Японской корпорацией по национальным ресурсам и энергетике (JOGMEC), — норматив покрытия до 180 дней потребления;</w:t>
      </w:r>
    </w:p>
    <w:p>
      <w:pPr>
        <w:pStyle w:val="ListBullet"/>
        <w:spacing w:after="20"/>
        <w:ind w:firstLine="0"/>
      </w:pPr>
      <w:r>
        <w:rPr>
          <w:b w:val="0"/>
          <w:i w:val="0"/>
        </w:rPr>
        <w:t>прямое участие государства в зарубежных проектах: JOGMEC и Sojitz инвестировали в Lynas на условиях приоритетных поставок (соглашение действует с 2011 г. и продлевалось), участвуют в проектах во Вьетнаме, Австралии, Франции;</w:t>
      </w:r>
    </w:p>
    <w:p>
      <w:pPr>
        <w:pStyle w:val="ListBullet"/>
        <w:spacing w:after="20"/>
        <w:ind w:firstLine="0"/>
      </w:pPr>
      <w:r>
        <w:rPr>
          <w:b w:val="0"/>
          <w:i w:val="0"/>
        </w:rPr>
        <w:t>программы НИОКР по снижению удельного расхода и замещению (в рамках этих программ создана и доведена до промышленного применения технология зернограничной диффузии);</w:t>
      </w:r>
    </w:p>
    <w:p>
      <w:pPr>
        <w:pStyle w:val="ListBullet"/>
        <w:spacing w:after="20"/>
        <w:ind w:firstLine="0"/>
      </w:pPr>
      <w:r>
        <w:rPr>
          <w:b w:val="0"/>
          <w:i w:val="0"/>
        </w:rPr>
        <w:t>развитие технологий рециклинга и глубоководной добычи (исследования илов вблизи острова Минамитори).</w:t>
      </w:r>
    </w:p>
    <w:p>
      <w:r>
        <w:rPr>
          <w:b w:val="0"/>
          <w:i w:val="0"/>
        </w:rPr>
        <w:t>Результат: доля КНР в японском импорте редкоземельной продукции снижена с 90% (2009 г.) до 55–60% (2024 г.).</w:t>
      </w:r>
    </w:p>
    <w:p>
      <w:r>
        <w:rPr>
          <w:b/>
          <w:i w:val="0"/>
        </w:rPr>
        <w:t>Республика Корея</w:t>
      </w:r>
      <w:r>
        <w:rPr>
          <w:b w:val="0"/>
          <w:i w:val="0"/>
        </w:rPr>
        <w:t xml:space="preserve"> реализует программу диверсификации через государственную корпорацию KOMIR, формирование запасов (норматив 100 дней) и поддержку локальных производителей магнитов (Star Group, NovaTech).</w:t>
      </w:r>
    </w:p>
    <w:p>
      <w:r>
        <w:rPr>
          <w:b/>
          <w:i w:val="0"/>
        </w:rPr>
        <w:t>Индия</w:t>
      </w:r>
      <w:r>
        <w:rPr>
          <w:b w:val="0"/>
          <w:i w:val="0"/>
        </w:rPr>
        <w:t xml:space="preserve"> в 2025 г. запустила Национальную миссию по критическим минералам (National Critical Mineral Mission) с бюджетом порядка 16,3 млрд рупий на разведку и 70 млрд рупий на программу стимулирования производства магнитов. Ключевые ограничения — государственная монополия IREL на монацит и связанное с торием регулирование, которые в 2025 г. обсуждались к пересмотру в целях привлечения частных инвестиций.</w:t>
      </w:r>
    </w:p>
    <w:p>
      <w:pPr>
        <w:keepNext/>
        <w:spacing w:before="160" w:after="60"/>
        <w:ind w:firstLine="0"/>
        <w:jc w:val="left"/>
      </w:pPr>
      <w:r>
        <w:rPr>
          <w:b/>
          <w:sz w:val="22"/>
        </w:rPr>
        <w:t>Таблица 53. Сопоставление национальных стратегий в области редкоземельного сырья</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Страна</w:t>
            </w:r>
          </w:p>
        </w:tc>
        <w:tc>
          <w:tcPr>
            <w:tcW w:type="dxa" w:w="1995"/>
            <w:shd w:val="clear" w:fill="DCE6F1"/>
          </w:tcPr>
          <w:p>
            <w:pPr>
              <w:spacing w:after="0" w:line="240" w:lineRule="auto"/>
              <w:ind w:firstLine="0"/>
              <w:jc w:val="center"/>
            </w:pPr>
            <w:r>
              <w:rPr>
                <w:b/>
                <w:i w:val="0"/>
                <w:sz w:val="20"/>
              </w:rPr>
              <w:t>Основной инструмент</w:t>
            </w:r>
          </w:p>
        </w:tc>
        <w:tc>
          <w:tcPr>
            <w:tcW w:type="dxa" w:w="1995"/>
            <w:shd w:val="clear" w:fill="DCE6F1"/>
          </w:tcPr>
          <w:p>
            <w:pPr>
              <w:spacing w:after="0" w:line="240" w:lineRule="auto"/>
              <w:ind w:firstLine="0"/>
              <w:jc w:val="center"/>
            </w:pPr>
            <w:r>
              <w:rPr>
                <w:b/>
                <w:i w:val="0"/>
                <w:sz w:val="20"/>
              </w:rPr>
              <w:t>Госзапасы</w:t>
            </w:r>
          </w:p>
        </w:tc>
        <w:tc>
          <w:tcPr>
            <w:tcW w:type="dxa" w:w="1995"/>
            <w:shd w:val="clear" w:fill="DCE6F1"/>
          </w:tcPr>
          <w:p>
            <w:pPr>
              <w:spacing w:after="0" w:line="240" w:lineRule="auto"/>
              <w:ind w:firstLine="0"/>
              <w:jc w:val="center"/>
            </w:pPr>
            <w:r>
              <w:rPr>
                <w:b/>
                <w:i w:val="0"/>
                <w:sz w:val="20"/>
              </w:rPr>
              <w:t>Прямое участие в капитале</w:t>
            </w:r>
          </w:p>
        </w:tc>
        <w:tc>
          <w:tcPr>
            <w:tcW w:type="dxa" w:w="1995"/>
            <w:shd w:val="clear" w:fill="DCE6F1"/>
          </w:tcPr>
          <w:p>
            <w:pPr>
              <w:spacing w:after="0" w:line="240" w:lineRule="auto"/>
              <w:ind w:firstLine="0"/>
              <w:jc w:val="center"/>
            </w:pPr>
            <w:r>
              <w:rPr>
                <w:b/>
                <w:i w:val="0"/>
                <w:sz w:val="20"/>
              </w:rPr>
              <w:t>Целевой горизонт</w:t>
            </w:r>
          </w:p>
        </w:tc>
      </w:tr>
      <w:tr>
        <w:tc>
          <w:tcPr>
            <w:tcW w:type="dxa" w:w="1995"/>
          </w:tcPr>
          <w:p>
            <w:pPr>
              <w:spacing w:after="0" w:line="240" w:lineRule="auto"/>
              <w:ind w:firstLine="0"/>
              <w:jc w:val="left"/>
            </w:pPr>
            <w:r>
              <w:rPr>
                <w:b w:val="0"/>
                <w:i w:val="0"/>
                <w:sz w:val="20"/>
              </w:rPr>
              <w:t>КНР</w:t>
            </w:r>
          </w:p>
        </w:tc>
        <w:tc>
          <w:tcPr>
            <w:tcW w:type="dxa" w:w="1995"/>
          </w:tcPr>
          <w:p>
            <w:pPr>
              <w:spacing w:after="0" w:line="240" w:lineRule="auto"/>
              <w:ind w:firstLine="0"/>
              <w:jc w:val="center"/>
            </w:pPr>
            <w:r>
              <w:rPr>
                <w:b w:val="0"/>
                <w:i w:val="0"/>
                <w:sz w:val="20"/>
              </w:rPr>
              <w:t>квоты, экспортный контроль</w:t>
            </w:r>
          </w:p>
        </w:tc>
        <w:tc>
          <w:tcPr>
            <w:tcW w:type="dxa" w:w="1995"/>
          </w:tcPr>
          <w:p>
            <w:pPr>
              <w:spacing w:after="0" w:line="240" w:lineRule="auto"/>
              <w:ind w:firstLine="0"/>
              <w:jc w:val="center"/>
            </w:pPr>
            <w:r>
              <w:rPr>
                <w:b w:val="0"/>
                <w:i w:val="0"/>
                <w:sz w:val="20"/>
              </w:rPr>
              <w:t>да (значительные)</w:t>
            </w:r>
          </w:p>
        </w:tc>
        <w:tc>
          <w:tcPr>
            <w:tcW w:type="dxa" w:w="1995"/>
          </w:tcPr>
          <w:p>
            <w:pPr>
              <w:spacing w:after="0" w:line="240" w:lineRule="auto"/>
              <w:ind w:firstLine="0"/>
              <w:jc w:val="center"/>
            </w:pPr>
            <w:r>
              <w:rPr>
                <w:b w:val="0"/>
                <w:i w:val="0"/>
                <w:sz w:val="20"/>
              </w:rPr>
              <w:t>полное</w:t>
            </w:r>
          </w:p>
        </w:tc>
        <w:tc>
          <w:tcPr>
            <w:tcW w:type="dxa" w:w="1995"/>
          </w:tcPr>
          <w:p>
            <w:pPr>
              <w:spacing w:after="0" w:line="240" w:lineRule="auto"/>
              <w:ind w:firstLine="0"/>
              <w:jc w:val="center"/>
            </w:pPr>
            <w:r>
              <w:rPr>
                <w:b w:val="0"/>
                <w:i w:val="0"/>
                <w:sz w:val="20"/>
              </w:rPr>
              <w:t>бессрочно</w:t>
            </w:r>
          </w:p>
        </w:tc>
      </w:tr>
      <w:tr>
        <w:tc>
          <w:tcPr>
            <w:tcW w:type="dxa" w:w="1995"/>
          </w:tcPr>
          <w:p>
            <w:pPr>
              <w:spacing w:after="0" w:line="240" w:lineRule="auto"/>
              <w:ind w:firstLine="0"/>
              <w:jc w:val="left"/>
            </w:pPr>
            <w:r>
              <w:rPr>
                <w:b w:val="0"/>
                <w:i w:val="0"/>
                <w:sz w:val="20"/>
              </w:rPr>
              <w:t>США</w:t>
            </w:r>
          </w:p>
        </w:tc>
        <w:tc>
          <w:tcPr>
            <w:tcW w:type="dxa" w:w="1995"/>
          </w:tcPr>
          <w:p>
            <w:pPr>
              <w:spacing w:after="0" w:line="240" w:lineRule="auto"/>
              <w:ind w:firstLine="0"/>
              <w:jc w:val="center"/>
            </w:pPr>
            <w:r>
              <w:rPr>
                <w:b w:val="0"/>
                <w:i w:val="0"/>
                <w:sz w:val="20"/>
              </w:rPr>
              <w:t>ценовой пол, DPA, тарифы</w:t>
            </w:r>
          </w:p>
        </w:tc>
        <w:tc>
          <w:tcPr>
            <w:tcW w:type="dxa" w:w="1995"/>
          </w:tcPr>
          <w:p>
            <w:pPr>
              <w:spacing w:after="0" w:line="240" w:lineRule="auto"/>
              <w:ind w:firstLine="0"/>
              <w:jc w:val="center"/>
            </w:pPr>
            <w:r>
              <w:rPr>
                <w:b w:val="0"/>
                <w:i w:val="0"/>
                <w:sz w:val="20"/>
              </w:rPr>
              <w:t>да (NDS)</w:t>
            </w:r>
          </w:p>
        </w:tc>
        <w:tc>
          <w:tcPr>
            <w:tcW w:type="dxa" w:w="1995"/>
          </w:tcPr>
          <w:p>
            <w:pPr>
              <w:spacing w:after="0" w:line="240" w:lineRule="auto"/>
              <w:ind w:firstLine="0"/>
              <w:jc w:val="center"/>
            </w:pPr>
            <w:r>
              <w:rPr>
                <w:b w:val="0"/>
                <w:i w:val="0"/>
                <w:sz w:val="20"/>
              </w:rPr>
              <w:t>да (с 2025 г.)</w:t>
            </w:r>
          </w:p>
        </w:tc>
        <w:tc>
          <w:tcPr>
            <w:tcW w:type="dxa" w:w="1995"/>
          </w:tcPr>
          <w:p>
            <w:pPr>
              <w:spacing w:after="0" w:line="240" w:lineRule="auto"/>
              <w:ind w:firstLine="0"/>
              <w:jc w:val="center"/>
            </w:pPr>
            <w:r>
              <w:rPr>
                <w:b w:val="0"/>
                <w:i w:val="0"/>
                <w:sz w:val="20"/>
              </w:rPr>
              <w:t>2030–2035</w:t>
            </w:r>
          </w:p>
        </w:tc>
      </w:tr>
      <w:tr>
        <w:tc>
          <w:tcPr>
            <w:tcW w:type="dxa" w:w="1995"/>
          </w:tcPr>
          <w:p>
            <w:pPr>
              <w:spacing w:after="0" w:line="240" w:lineRule="auto"/>
              <w:ind w:firstLine="0"/>
              <w:jc w:val="left"/>
            </w:pPr>
            <w:r>
              <w:rPr>
                <w:b w:val="0"/>
                <w:i w:val="0"/>
                <w:sz w:val="20"/>
              </w:rPr>
              <w:t>ЕС</w:t>
            </w:r>
          </w:p>
        </w:tc>
        <w:tc>
          <w:tcPr>
            <w:tcW w:type="dxa" w:w="1995"/>
          </w:tcPr>
          <w:p>
            <w:pPr>
              <w:spacing w:after="0" w:line="240" w:lineRule="auto"/>
              <w:ind w:firstLine="0"/>
              <w:jc w:val="center"/>
            </w:pPr>
            <w:r>
              <w:rPr>
                <w:b w:val="0"/>
                <w:i w:val="0"/>
                <w:sz w:val="20"/>
              </w:rPr>
              <w:t>нормативные цели (CRMA)</w:t>
            </w:r>
          </w:p>
        </w:tc>
        <w:tc>
          <w:tcPr>
            <w:tcW w:type="dxa" w:w="1995"/>
          </w:tcPr>
          <w:p>
            <w:pPr>
              <w:spacing w:after="0" w:line="240" w:lineRule="auto"/>
              <w:ind w:firstLine="0"/>
              <w:jc w:val="center"/>
            </w:pPr>
            <w:r>
              <w:rPr>
                <w:b w:val="0"/>
                <w:i w:val="0"/>
                <w:sz w:val="20"/>
              </w:rPr>
              <w:t>обсуждается</w:t>
            </w:r>
          </w:p>
        </w:tc>
        <w:tc>
          <w:tcPr>
            <w:tcW w:type="dxa" w:w="1995"/>
          </w:tcPr>
          <w:p>
            <w:pPr>
              <w:spacing w:after="0" w:line="240" w:lineRule="auto"/>
              <w:ind w:firstLine="0"/>
              <w:jc w:val="center"/>
            </w:pPr>
            <w:r>
              <w:rPr>
                <w:b w:val="0"/>
                <w:i w:val="0"/>
                <w:sz w:val="20"/>
              </w:rPr>
              <w:t>нет</w:t>
            </w:r>
          </w:p>
        </w:tc>
        <w:tc>
          <w:tcPr>
            <w:tcW w:type="dxa" w:w="1995"/>
          </w:tcPr>
          <w:p>
            <w:pPr>
              <w:spacing w:after="0" w:line="240" w:lineRule="auto"/>
              <w:ind w:firstLine="0"/>
              <w:jc w:val="center"/>
            </w:pPr>
            <w:r>
              <w:rPr>
                <w:b w:val="0"/>
                <w:i w:val="0"/>
                <w:sz w:val="20"/>
              </w:rPr>
              <w:t>2030</w:t>
            </w:r>
          </w:p>
        </w:tc>
      </w:tr>
      <w:tr>
        <w:tc>
          <w:tcPr>
            <w:tcW w:type="dxa" w:w="1995"/>
          </w:tcPr>
          <w:p>
            <w:pPr>
              <w:spacing w:after="0" w:line="240" w:lineRule="auto"/>
              <w:ind w:firstLine="0"/>
              <w:jc w:val="left"/>
            </w:pPr>
            <w:r>
              <w:rPr>
                <w:b w:val="0"/>
                <w:i w:val="0"/>
                <w:sz w:val="20"/>
              </w:rPr>
              <w:t>Япония</w:t>
            </w:r>
          </w:p>
        </w:tc>
        <w:tc>
          <w:tcPr>
            <w:tcW w:type="dxa" w:w="1995"/>
          </w:tcPr>
          <w:p>
            <w:pPr>
              <w:spacing w:after="0" w:line="240" w:lineRule="auto"/>
              <w:ind w:firstLine="0"/>
              <w:jc w:val="center"/>
            </w:pPr>
            <w:r>
              <w:rPr>
                <w:b w:val="0"/>
                <w:i w:val="0"/>
                <w:sz w:val="20"/>
              </w:rPr>
              <w:t>госзапасы, зарубежные активы</w:t>
            </w:r>
          </w:p>
        </w:tc>
        <w:tc>
          <w:tcPr>
            <w:tcW w:type="dxa" w:w="1995"/>
          </w:tcPr>
          <w:p>
            <w:pPr>
              <w:spacing w:after="0" w:line="240" w:lineRule="auto"/>
              <w:ind w:firstLine="0"/>
              <w:jc w:val="center"/>
            </w:pPr>
            <w:r>
              <w:rPr>
                <w:b w:val="0"/>
                <w:i w:val="0"/>
                <w:sz w:val="20"/>
              </w:rPr>
              <w:t>да (180 дней)</w:t>
            </w:r>
          </w:p>
        </w:tc>
        <w:tc>
          <w:tcPr>
            <w:tcW w:type="dxa" w:w="1995"/>
          </w:tcPr>
          <w:p>
            <w:pPr>
              <w:spacing w:after="0" w:line="240" w:lineRule="auto"/>
              <w:ind w:firstLine="0"/>
              <w:jc w:val="center"/>
            </w:pPr>
            <w:r>
              <w:rPr>
                <w:b w:val="0"/>
                <w:i w:val="0"/>
                <w:sz w:val="20"/>
              </w:rPr>
              <w:t>да (JOGMEC)</w:t>
            </w:r>
          </w:p>
        </w:tc>
        <w:tc>
          <w:tcPr>
            <w:tcW w:type="dxa" w:w="1995"/>
          </w:tcPr>
          <w:p>
            <w:pPr>
              <w:spacing w:after="0" w:line="240" w:lineRule="auto"/>
              <w:ind w:firstLine="0"/>
              <w:jc w:val="center"/>
            </w:pPr>
            <w:r>
              <w:rPr>
                <w:b w:val="0"/>
                <w:i w:val="0"/>
                <w:sz w:val="20"/>
              </w:rPr>
              <w:t>постоянно</w:t>
            </w:r>
          </w:p>
        </w:tc>
      </w:tr>
      <w:tr>
        <w:tc>
          <w:tcPr>
            <w:tcW w:type="dxa" w:w="1995"/>
          </w:tcPr>
          <w:p>
            <w:pPr>
              <w:spacing w:after="0" w:line="240" w:lineRule="auto"/>
              <w:ind w:firstLine="0"/>
              <w:jc w:val="left"/>
            </w:pPr>
            <w:r>
              <w:rPr>
                <w:b w:val="0"/>
                <w:i w:val="0"/>
                <w:sz w:val="20"/>
              </w:rPr>
              <w:t>Респ. Корея</w:t>
            </w:r>
          </w:p>
        </w:tc>
        <w:tc>
          <w:tcPr>
            <w:tcW w:type="dxa" w:w="1995"/>
          </w:tcPr>
          <w:p>
            <w:pPr>
              <w:spacing w:after="0" w:line="240" w:lineRule="auto"/>
              <w:ind w:firstLine="0"/>
              <w:jc w:val="center"/>
            </w:pPr>
            <w:r>
              <w:rPr>
                <w:b w:val="0"/>
                <w:i w:val="0"/>
                <w:sz w:val="20"/>
              </w:rPr>
              <w:t>госзапасы, субсидии</w:t>
            </w:r>
          </w:p>
        </w:tc>
        <w:tc>
          <w:tcPr>
            <w:tcW w:type="dxa" w:w="1995"/>
          </w:tcPr>
          <w:p>
            <w:pPr>
              <w:spacing w:after="0" w:line="240" w:lineRule="auto"/>
              <w:ind w:firstLine="0"/>
              <w:jc w:val="center"/>
            </w:pPr>
            <w:r>
              <w:rPr>
                <w:b w:val="0"/>
                <w:i w:val="0"/>
                <w:sz w:val="20"/>
              </w:rPr>
              <w:t>да (100 дней)</w:t>
            </w:r>
          </w:p>
        </w:tc>
        <w:tc>
          <w:tcPr>
            <w:tcW w:type="dxa" w:w="1995"/>
          </w:tcPr>
          <w:p>
            <w:pPr>
              <w:spacing w:after="0" w:line="240" w:lineRule="auto"/>
              <w:ind w:firstLine="0"/>
              <w:jc w:val="center"/>
            </w:pPr>
            <w:r>
              <w:rPr>
                <w:b w:val="0"/>
                <w:i w:val="0"/>
                <w:sz w:val="20"/>
              </w:rPr>
              <w:t>ограниченно</w:t>
            </w:r>
          </w:p>
        </w:tc>
        <w:tc>
          <w:tcPr>
            <w:tcW w:type="dxa" w:w="1995"/>
          </w:tcPr>
          <w:p>
            <w:pPr>
              <w:spacing w:after="0" w:line="240" w:lineRule="auto"/>
              <w:ind w:firstLine="0"/>
              <w:jc w:val="center"/>
            </w:pPr>
            <w:r>
              <w:rPr>
                <w:b w:val="0"/>
                <w:i w:val="0"/>
                <w:sz w:val="20"/>
              </w:rPr>
              <w:t>2030</w:t>
            </w:r>
          </w:p>
        </w:tc>
      </w:tr>
      <w:tr>
        <w:tc>
          <w:tcPr>
            <w:tcW w:type="dxa" w:w="1995"/>
          </w:tcPr>
          <w:p>
            <w:pPr>
              <w:spacing w:after="0" w:line="240" w:lineRule="auto"/>
              <w:ind w:firstLine="0"/>
              <w:jc w:val="left"/>
            </w:pPr>
            <w:r>
              <w:rPr>
                <w:b w:val="0"/>
                <w:i w:val="0"/>
                <w:sz w:val="20"/>
              </w:rPr>
              <w:t>Индия</w:t>
            </w:r>
          </w:p>
        </w:tc>
        <w:tc>
          <w:tcPr>
            <w:tcW w:type="dxa" w:w="1995"/>
          </w:tcPr>
          <w:p>
            <w:pPr>
              <w:spacing w:after="0" w:line="240" w:lineRule="auto"/>
              <w:ind w:firstLine="0"/>
              <w:jc w:val="center"/>
            </w:pPr>
            <w:r>
              <w:rPr>
                <w:b w:val="0"/>
                <w:i w:val="0"/>
                <w:sz w:val="20"/>
              </w:rPr>
              <w:t>госмонополия, PLI</w:t>
            </w:r>
          </w:p>
        </w:tc>
        <w:tc>
          <w:tcPr>
            <w:tcW w:type="dxa" w:w="1995"/>
          </w:tcPr>
          <w:p>
            <w:pPr>
              <w:spacing w:after="0" w:line="240" w:lineRule="auto"/>
              <w:ind w:firstLine="0"/>
              <w:jc w:val="center"/>
            </w:pPr>
            <w:r>
              <w:rPr>
                <w:b w:val="0"/>
                <w:i w:val="0"/>
                <w:sz w:val="20"/>
              </w:rPr>
              <w:t>формируются</w:t>
            </w:r>
          </w:p>
        </w:tc>
        <w:tc>
          <w:tcPr>
            <w:tcW w:type="dxa" w:w="1995"/>
          </w:tcPr>
          <w:p>
            <w:pPr>
              <w:spacing w:after="0" w:line="240" w:lineRule="auto"/>
              <w:ind w:firstLine="0"/>
              <w:jc w:val="center"/>
            </w:pPr>
            <w:r>
              <w:rPr>
                <w:b w:val="0"/>
                <w:i w:val="0"/>
                <w:sz w:val="20"/>
              </w:rPr>
              <w:t>полное (IREL)</w:t>
            </w:r>
          </w:p>
        </w:tc>
        <w:tc>
          <w:tcPr>
            <w:tcW w:type="dxa" w:w="1995"/>
          </w:tcPr>
          <w:p>
            <w:pPr>
              <w:spacing w:after="0" w:line="240" w:lineRule="auto"/>
              <w:ind w:firstLine="0"/>
              <w:jc w:val="center"/>
            </w:pPr>
            <w:r>
              <w:rPr>
                <w:b w:val="0"/>
                <w:i w:val="0"/>
                <w:sz w:val="20"/>
              </w:rPr>
              <w:t>2030–2035</w:t>
            </w:r>
          </w:p>
        </w:tc>
      </w:tr>
      <w:tr>
        <w:tc>
          <w:tcPr>
            <w:tcW w:type="dxa" w:w="1995"/>
          </w:tcPr>
          <w:p>
            <w:pPr>
              <w:spacing w:after="0" w:line="240" w:lineRule="auto"/>
              <w:ind w:firstLine="0"/>
              <w:jc w:val="left"/>
            </w:pPr>
            <w:r>
              <w:rPr>
                <w:b w:val="0"/>
                <w:i w:val="0"/>
                <w:sz w:val="20"/>
              </w:rPr>
              <w:t>Австралия</w:t>
            </w:r>
          </w:p>
        </w:tc>
        <w:tc>
          <w:tcPr>
            <w:tcW w:type="dxa" w:w="1995"/>
          </w:tcPr>
          <w:p>
            <w:pPr>
              <w:spacing w:after="0" w:line="240" w:lineRule="auto"/>
              <w:ind w:firstLine="0"/>
              <w:jc w:val="center"/>
            </w:pPr>
            <w:r>
              <w:rPr>
                <w:b w:val="0"/>
                <w:i w:val="0"/>
                <w:sz w:val="20"/>
              </w:rPr>
              <w:t>кредиты, стратегический резерв</w:t>
            </w:r>
          </w:p>
        </w:tc>
        <w:tc>
          <w:tcPr>
            <w:tcW w:type="dxa" w:w="1995"/>
          </w:tcPr>
          <w:p>
            <w:pPr>
              <w:spacing w:after="0" w:line="240" w:lineRule="auto"/>
              <w:ind w:firstLine="0"/>
              <w:jc w:val="center"/>
            </w:pPr>
            <w:r>
              <w:rPr>
                <w:b w:val="0"/>
                <w:i w:val="0"/>
                <w:sz w:val="20"/>
              </w:rPr>
              <w:t>создаётся</w:t>
            </w:r>
          </w:p>
        </w:tc>
        <w:tc>
          <w:tcPr>
            <w:tcW w:type="dxa" w:w="1995"/>
          </w:tcPr>
          <w:p>
            <w:pPr>
              <w:spacing w:after="0" w:line="240" w:lineRule="auto"/>
              <w:ind w:firstLine="0"/>
              <w:jc w:val="center"/>
            </w:pPr>
            <w:r>
              <w:rPr>
                <w:b w:val="0"/>
                <w:i w:val="0"/>
                <w:sz w:val="20"/>
              </w:rPr>
              <w:t>нет</w:t>
            </w:r>
          </w:p>
        </w:tc>
        <w:tc>
          <w:tcPr>
            <w:tcW w:type="dxa" w:w="1995"/>
          </w:tcPr>
          <w:p>
            <w:pPr>
              <w:spacing w:after="0" w:line="240" w:lineRule="auto"/>
              <w:ind w:firstLine="0"/>
              <w:jc w:val="center"/>
            </w:pPr>
            <w:r>
              <w:rPr>
                <w:b w:val="0"/>
                <w:i w:val="0"/>
                <w:sz w:val="20"/>
              </w:rPr>
              <w:t>2030</w:t>
            </w:r>
          </w:p>
        </w:tc>
      </w:tr>
      <w:tr>
        <w:tc>
          <w:tcPr>
            <w:tcW w:type="dxa" w:w="1995"/>
          </w:tcPr>
          <w:p>
            <w:pPr>
              <w:spacing w:after="0" w:line="240" w:lineRule="auto"/>
              <w:ind w:firstLine="0"/>
              <w:jc w:val="left"/>
            </w:pPr>
            <w:r>
              <w:rPr>
                <w:b w:val="0"/>
                <w:i w:val="0"/>
                <w:sz w:val="20"/>
              </w:rPr>
              <w:t>Россия</w:t>
            </w:r>
          </w:p>
        </w:tc>
        <w:tc>
          <w:tcPr>
            <w:tcW w:type="dxa" w:w="1995"/>
          </w:tcPr>
          <w:p>
            <w:pPr>
              <w:spacing w:after="0" w:line="240" w:lineRule="auto"/>
              <w:ind w:firstLine="0"/>
              <w:jc w:val="center"/>
            </w:pPr>
            <w:r>
              <w:rPr>
                <w:b w:val="0"/>
                <w:i w:val="0"/>
                <w:sz w:val="20"/>
              </w:rPr>
              <w:t>федеральный проект, госкорпорация</w:t>
            </w:r>
          </w:p>
        </w:tc>
        <w:tc>
          <w:tcPr>
            <w:tcW w:type="dxa" w:w="1995"/>
          </w:tcPr>
          <w:p>
            <w:pPr>
              <w:spacing w:after="0" w:line="240" w:lineRule="auto"/>
              <w:ind w:firstLine="0"/>
              <w:jc w:val="center"/>
            </w:pPr>
            <w:r>
              <w:rPr>
                <w:b w:val="0"/>
                <w:i w:val="0"/>
                <w:sz w:val="20"/>
              </w:rPr>
              <w:t>нет</w:t>
            </w:r>
          </w:p>
        </w:tc>
        <w:tc>
          <w:tcPr>
            <w:tcW w:type="dxa" w:w="1995"/>
          </w:tcPr>
          <w:p>
            <w:pPr>
              <w:spacing w:after="0" w:line="240" w:lineRule="auto"/>
              <w:ind w:firstLine="0"/>
              <w:jc w:val="center"/>
            </w:pPr>
            <w:r>
              <w:rPr>
                <w:b w:val="0"/>
                <w:i w:val="0"/>
                <w:sz w:val="20"/>
              </w:rPr>
              <w:t>полное (Росатом)</w:t>
            </w:r>
          </w:p>
        </w:tc>
        <w:tc>
          <w:tcPr>
            <w:tcW w:type="dxa" w:w="1995"/>
          </w:tcPr>
          <w:p>
            <w:pPr>
              <w:spacing w:after="0" w:line="240" w:lineRule="auto"/>
              <w:ind w:firstLine="0"/>
              <w:jc w:val="center"/>
            </w:pPr>
            <w:r>
              <w:rPr>
                <w:b w:val="0"/>
                <w:i w:val="0"/>
                <w:sz w:val="20"/>
              </w:rPr>
              <w:t>2030–2035</w:t>
            </w:r>
          </w:p>
        </w:tc>
      </w:tr>
    </w:tbl>
    <w:p>
      <w:pPr>
        <w:spacing w:after="180"/>
        <w:ind w:firstLine="0"/>
      </w:pPr>
      <w:r>
        <w:rPr>
          <w:i/>
          <w:sz w:val="20"/>
        </w:rPr>
        <w:t>Источник: аналитический центр по официальным документам соответствующих государств</w:t>
      </w:r>
    </w:p>
    <w:p>
      <w:pPr>
        <w:pStyle w:val="Heading2"/>
      </w:pPr>
      <w:r>
        <w:rPr>
          <w:b w:val="0"/>
          <w:i w:val="0"/>
        </w:rPr>
        <w:t>7.5. Международные альянсы и многосторонние механизмы</w:t>
      </w:r>
    </w:p>
    <w:p>
      <w:r>
        <w:rPr>
          <w:b/>
          <w:i w:val="0"/>
        </w:rPr>
        <w:t>Партнёрство по безопасности минеральных ресурсов (Minerals Security Partnership, MSP)</w:t>
      </w:r>
      <w:r>
        <w:rPr>
          <w:b w:val="0"/>
          <w:i w:val="0"/>
        </w:rPr>
        <w:t xml:space="preserve"> — создано в 2022 г. по инициативе США; участники: США, Австралия, Канада, Финляндия, Франция, Германия, Индия, Италия, Япония, Республика Корея, Норвегия, Швеция, Великобритания, ЕС и ряд других. Механизм координирует финансирование проектов в третьих странах, обмен геологической информацией и стандартами. К 2025 г. поддержку получили свыше 30 проектов.</w:t>
      </w:r>
    </w:p>
    <w:p>
      <w:r>
        <w:rPr>
          <w:b/>
          <w:i w:val="0"/>
        </w:rPr>
        <w:t>Соглашения о критических минералах</w:t>
      </w:r>
      <w:r>
        <w:rPr>
          <w:b w:val="0"/>
          <w:i w:val="0"/>
        </w:rPr>
        <w:t xml:space="preserve"> в рамках двусторонних торговых договорённостей (США — Япония, США — ЕС) предусматривают признание сырья партнёров для целей налоговых льгот IRA.</w:t>
      </w:r>
    </w:p>
    <w:p>
      <w:r>
        <w:rPr>
          <w:b/>
          <w:i w:val="0"/>
        </w:rPr>
        <w:t>Инициатива G7 по устойчивым цепочкам поставок</w:t>
      </w:r>
      <w:r>
        <w:rPr>
          <w:b w:val="0"/>
          <w:i w:val="0"/>
        </w:rPr>
        <w:t xml:space="preserve"> (2025 г.) предусматривает обсуждение механизмов коллективного ценового пола и скоординированных стратегических запасов.</w:t>
      </w:r>
    </w:p>
    <w:p>
      <w:r>
        <w:rPr>
          <w:b w:val="0"/>
          <w:i w:val="0"/>
        </w:rPr>
        <w:t>Практическая эффективность многосторонних механизмов пока ограничена: они обеспечивают координацию, но не устраняют экономическую первопричину — разрыв в себестоимости. Единственным доказавшим действенность инструментом остаётся прямое государственное вмешательство в ценообразование.</w:t>
      </w:r>
    </w:p>
    <w:p>
      <w:pPr>
        <w:keepNext/>
        <w:spacing w:before="160" w:after="60"/>
        <w:ind w:firstLine="0"/>
        <w:jc w:val="left"/>
      </w:pPr>
      <w:r>
        <w:rPr>
          <w:b/>
          <w:sz w:val="22"/>
        </w:rPr>
        <w:t>Рисунок 40. Оценка объёма объявленной государственной поддержки редкоземельной отрасли по странам, 2020–2025 гг., млрд $</w:t>
      </w:r>
    </w:p>
    <w:p>
      <w:pPr>
        <w:ind w:firstLine="0"/>
        <w:jc w:val="center"/>
      </w:pPr>
      <w:r>
        <w:drawing>
          <wp:inline xmlns:a="http://schemas.openxmlformats.org/drawingml/2006/main" xmlns:pic="http://schemas.openxmlformats.org/drawingml/2006/picture">
            <wp:extent cx="5580000" cy="2747574"/>
            <wp:docPr id="40" name="Picture 40"/>
            <wp:cNvGraphicFramePr>
              <a:graphicFrameLocks noChangeAspect="1"/>
            </wp:cNvGraphicFramePr>
            <a:graphic>
              <a:graphicData uri="http://schemas.openxmlformats.org/drawingml/2006/picture">
                <pic:pic>
                  <pic:nvPicPr>
                    <pic:cNvPr id="0" name="fig40.png"/>
                    <pic:cNvPicPr/>
                  </pic:nvPicPr>
                  <pic:blipFill>
                    <a:blip r:embed="rId50"/>
                    <a:stretch>
                      <a:fillRect/>
                    </a:stretch>
                  </pic:blipFill>
                  <pic:spPr>
                    <a:xfrm>
                      <a:off x="0" y="0"/>
                      <a:ext cx="5580000" cy="2747574"/>
                    </a:xfrm>
                    <a:prstGeom prst="rect"/>
                  </pic:spPr>
                </pic:pic>
              </a:graphicData>
            </a:graphic>
          </wp:inline>
        </w:drawing>
      </w:r>
    </w:p>
    <w:p>
      <w:pPr>
        <w:spacing w:after="180"/>
        <w:ind w:firstLine="0"/>
      </w:pPr>
      <w:r>
        <w:rPr>
          <w:i/>
          <w:sz w:val="20"/>
        </w:rPr>
        <w:t>Источник: аналитический центр по официальным сообщениям и корпоративным раскрытиям; включает гранты, кредиты, участие в капитале и гарантии</w:t>
      </w:r>
    </w:p>
    <w:p>
      <w:pPr>
        <w:pStyle w:val="Heading2"/>
      </w:pPr>
      <w:r>
        <w:rPr>
          <w:b w:val="0"/>
          <w:i w:val="0"/>
        </w:rPr>
        <w:t>7.6. Редкоземельные металлы как инструмент внешней политики</w:t>
      </w:r>
    </w:p>
    <w:p>
      <w:r>
        <w:rPr>
          <w:b w:val="0"/>
          <w:i w:val="0"/>
        </w:rPr>
        <w:t>Использование сырьевой зависимости в качестве инструмента внешнеполитического давления не является новым явлением, однако редкоземельный случай обладает рядом особенностей, определяющих его эффективность.</w:t>
      </w:r>
    </w:p>
    <w:p>
      <w:r>
        <w:rPr>
          <w:b/>
          <w:i w:val="0"/>
        </w:rPr>
        <w:t>Асимметрия ущерба.</w:t>
      </w:r>
      <w:r>
        <w:rPr>
          <w:b w:val="0"/>
          <w:i w:val="0"/>
        </w:rPr>
        <w:t xml:space="preserve"> Прекращение поставок наносит потребителю ущерб, многократно превышающий потери поставщика. Стоимость редкоземельных материалов в конечном изделии составляет доли процента, но их отсутствие останавливает производство целиком. При объёме китайского экспорта магнитов порядка 3–4 млрд долл. в год зависящие от них отрасли имеют оборот в сотни миллиардов.</w:t>
      </w:r>
    </w:p>
    <w:p>
      <w:r>
        <w:rPr>
          <w:b/>
          <w:i w:val="0"/>
        </w:rPr>
        <w:t>Труднозаменяемость в краткосрочном горизонте.</w:t>
      </w:r>
      <w:r>
        <w:rPr>
          <w:b w:val="0"/>
          <w:i w:val="0"/>
        </w:rPr>
        <w:t xml:space="preserve"> Создание альтернативной цепочки требует 5–8 лет и капитала, несопоставимого с ценностью самого рынка.</w:t>
      </w:r>
    </w:p>
    <w:p>
      <w:r>
        <w:rPr>
          <w:b/>
          <w:i w:val="0"/>
        </w:rPr>
        <w:t>Точечность применения.</w:t>
      </w:r>
      <w:r>
        <w:rPr>
          <w:b w:val="0"/>
          <w:i w:val="0"/>
        </w:rPr>
        <w:t xml:space="preserve"> Лицензионный механизм позволяет применять ограничения избирательно — по странам, отраслям и конечным пользователям, что делает меру инструментом тонкой настройки, а не тотального эмбарго.</w:t>
      </w:r>
    </w:p>
    <w:p>
      <w:r>
        <w:rPr>
          <w:b/>
          <w:i w:val="0"/>
        </w:rPr>
        <w:t>Обратные эффекты.</w:t>
      </w:r>
      <w:r>
        <w:rPr>
          <w:b w:val="0"/>
          <w:i w:val="0"/>
        </w:rPr>
        <w:t xml:space="preserve"> Применение ограничений ускоряет формирование альтернативных цепочек и разрушает репутацию надёжного поставщика. Опыт 2010 г. показал: японский шок стал причиной как создания Lynas, так и последующего десятилетнего снижения доли КНР в японском импорте. Аналогичный эффект наблюдается после 2025 г. — резкая активизация проектов и, что важнее, готовность государств принимать на себя ценовые риски.</w:t>
      </w:r>
    </w:p>
    <w:p>
      <w:pPr>
        <w:keepNext/>
        <w:spacing w:before="160" w:after="60"/>
        <w:ind w:firstLine="0"/>
        <w:jc w:val="left"/>
      </w:pPr>
      <w:r>
        <w:rPr>
          <w:b/>
          <w:sz w:val="22"/>
        </w:rPr>
        <w:t>Рисунок 41. Доля КНР в мировом производстве по стадиям передела: ретроспектива и прогноз, 2010–2035 гг., %</w:t>
      </w:r>
    </w:p>
    <w:p>
      <w:pPr>
        <w:ind w:firstLine="0"/>
        <w:jc w:val="center"/>
      </w:pPr>
      <w:r>
        <w:drawing>
          <wp:inline xmlns:a="http://schemas.openxmlformats.org/drawingml/2006/main" xmlns:pic="http://schemas.openxmlformats.org/drawingml/2006/picture">
            <wp:extent cx="5580000" cy="2729348"/>
            <wp:docPr id="41" name="Picture 41"/>
            <wp:cNvGraphicFramePr>
              <a:graphicFrameLocks noChangeAspect="1"/>
            </wp:cNvGraphicFramePr>
            <a:graphic>
              <a:graphicData uri="http://schemas.openxmlformats.org/drawingml/2006/picture">
                <pic:pic>
                  <pic:nvPicPr>
                    <pic:cNvPr id="0" name="fig41.png"/>
                    <pic:cNvPicPr/>
                  </pic:nvPicPr>
                  <pic:blipFill>
                    <a:blip r:embed="rId51"/>
                    <a:stretch>
                      <a:fillRect/>
                    </a:stretch>
                  </pic:blipFill>
                  <pic:spPr>
                    <a:xfrm>
                      <a:off x="0" y="0"/>
                      <a:ext cx="5580000" cy="2729348"/>
                    </a:xfrm>
                    <a:prstGeom prst="rect"/>
                  </pic:spPr>
                </pic:pic>
              </a:graphicData>
            </a:graphic>
          </wp:inline>
        </w:drawing>
      </w:r>
    </w:p>
    <w:p>
      <w:pPr>
        <w:spacing w:after="180"/>
        <w:ind w:firstLine="0"/>
      </w:pPr>
      <w:r>
        <w:rPr>
          <w:i/>
          <w:sz w:val="20"/>
        </w:rPr>
        <w:t>Источник: оценка и прогноз аналитического центра</w:t>
      </w:r>
    </w:p>
    <w:p>
      <w:r>
        <w:rPr>
          <w:b w:val="0"/>
          <w:i w:val="0"/>
        </w:rPr>
        <w:t>Прогноз, приведённый на рисунке 41, исходит из реализации примерно половины заявленных проектов и сохранения текущего уровня государственной поддержки. Даже при этих допущениях к 2035 г. КНР сохраняет доминирующие позиции на стадиях разделения и производства магнитов. Полное устранение зависимости в рассматриваемом горизонте не представляется достижимым; реалистичной целью для государств-потребителей является формирование резервного контура, обеспечивающего критические потребности (оборона, инфраструктура) и ограничивающего возможность ценового и логистического шантажа.</w:t>
      </w:r>
    </w:p>
    <w:p>
      <w:pPr>
        <w:pStyle w:val="Heading2"/>
      </w:pPr>
      <w:r>
        <w:rPr>
          <w:b w:val="0"/>
          <w:i w:val="0"/>
        </w:rPr>
        <w:t>7.7. Экологическое регулирование как фактор конкурентоспособности</w:t>
      </w:r>
    </w:p>
    <w:p>
      <w:r>
        <w:rPr>
          <w:b w:val="0"/>
          <w:i w:val="0"/>
        </w:rPr>
        <w:t>Экологическая составляющая является не второстепенным, а определяющим фактором географии отрасли.</w:t>
      </w:r>
    </w:p>
    <w:p>
      <w:r>
        <w:rPr>
          <w:b/>
          <w:i w:val="0"/>
        </w:rPr>
        <w:t>Радиационный аспект.</w:t>
      </w:r>
      <w:r>
        <w:rPr>
          <w:b w:val="0"/>
          <w:i w:val="0"/>
        </w:rPr>
        <w:t xml:space="preserve"> Монацит и, в меньшей степени, бастнезит и лопарит содержат торий и уран. При переработке они концентрируются в отходах, которые в большинстве юрисдикций классифицируются как радиоактивные (NORM/TENORM). Требования к обращению с ними — лицензирование, специализированные хранилища, мониторинг — добавляют к проекту 15–30% капитальных затрат и 2–4 года на согласования. Именно радиационный вопрос стал причиной многолетнего политического конфликта вокруг завода Lynas в Малайзии и остановки гренландского проекта Кванефьельд.</w:t>
      </w:r>
    </w:p>
    <w:p>
      <w:r>
        <w:rPr>
          <w:b/>
          <w:i w:val="0"/>
        </w:rPr>
        <w:t>Химический аспект.</w:t>
      </w:r>
      <w:r>
        <w:rPr>
          <w:b w:val="0"/>
          <w:i w:val="0"/>
        </w:rPr>
        <w:t xml:space="preserve"> Разделение требует больших объёмов кислот, щелочей и органических экстрагентов. Удельное образование сточных вод составляет 30–100 м³ на тонну TREO. Выщелачивание ионно-адсорбционных руд ведёт к аммонийному загрязнению подземных вод.</w:t>
      </w:r>
    </w:p>
    <w:p>
      <w:r>
        <w:rPr>
          <w:b/>
          <w:i w:val="0"/>
        </w:rPr>
        <w:t>Углеродный аспект.</w:t>
      </w:r>
      <w:r>
        <w:rPr>
          <w:b w:val="0"/>
          <w:i w:val="0"/>
        </w:rPr>
        <w:t xml:space="preserve"> Удельные выбросы при производстве оксида NdPr оцениваются в 25–65 т CO₂-экв. на тонну в зависимости от технологии и структуры энергобаланса. С 2026 г. по мере расширения механизма пограничной углеродной корректировки ЕС этот показатель приобретает коммерческое значение.</w:t>
      </w:r>
    </w:p>
    <w:p>
      <w:r>
        <w:rPr>
          <w:b w:val="0"/>
          <w:i w:val="0"/>
        </w:rPr>
        <w:t>Совокупный эффект экологического регулирования состоит в том, что оно создаёт устойчивое конкурентное преимущество для юрисдикций с менее строгими требованиями. Это обстоятельство необходимо учитывать при оценке любых сценариев переноса производства: сопоставление себестоимости без учёта различий в экологических издержках систематически искажает картину.</w:t>
      </w:r>
    </w:p>
    <w:p>
      <w:pPr>
        <w:keepNext/>
        <w:spacing w:before="160" w:after="60"/>
        <w:ind w:firstLine="0"/>
        <w:jc w:val="left"/>
      </w:pPr>
      <w:r>
        <w:rPr>
          <w:b/>
          <w:sz w:val="22"/>
        </w:rPr>
        <w:t>Рисунок 42. Оценка удельных выбросов CO₂-эквивалента при производстве оксида NdPr по технологиям, т CO₂-экв./т</w:t>
      </w:r>
    </w:p>
    <w:p>
      <w:pPr>
        <w:ind w:firstLine="0"/>
        <w:jc w:val="center"/>
      </w:pPr>
      <w:r>
        <w:drawing>
          <wp:inline xmlns:a="http://schemas.openxmlformats.org/drawingml/2006/main" xmlns:pic="http://schemas.openxmlformats.org/drawingml/2006/picture">
            <wp:extent cx="5580000" cy="2761572"/>
            <wp:docPr id="42" name="Picture 42"/>
            <wp:cNvGraphicFramePr>
              <a:graphicFrameLocks noChangeAspect="1"/>
            </wp:cNvGraphicFramePr>
            <a:graphic>
              <a:graphicData uri="http://schemas.openxmlformats.org/drawingml/2006/picture">
                <pic:pic>
                  <pic:nvPicPr>
                    <pic:cNvPr id="0" name="fig42.png"/>
                    <pic:cNvPicPr/>
                  </pic:nvPicPr>
                  <pic:blipFill>
                    <a:blip r:embed="rId52"/>
                    <a:stretch>
                      <a:fillRect/>
                    </a:stretch>
                  </pic:blipFill>
                  <pic:spPr>
                    <a:xfrm>
                      <a:off x="0" y="0"/>
                      <a:ext cx="5580000" cy="2761572"/>
                    </a:xfrm>
                    <a:prstGeom prst="rect"/>
                  </pic:spPr>
                </pic:pic>
              </a:graphicData>
            </a:graphic>
          </wp:inline>
        </w:drawing>
      </w:r>
    </w:p>
    <w:p>
      <w:pPr>
        <w:spacing w:after="180"/>
        <w:ind w:firstLine="0"/>
      </w:pPr>
      <w:r>
        <w:rPr>
          <w:i/>
          <w:sz w:val="20"/>
        </w:rPr>
        <w:t>Источник: оценка аналитического центра по данным отраслевых исследований жизненного цикла</w:t>
      </w:r>
    </w:p>
    <w:p>
      <w:pPr>
        <w:keepNext/>
        <w:spacing w:before="160" w:after="60"/>
        <w:ind w:firstLine="0"/>
        <w:jc w:val="left"/>
      </w:pPr>
      <w:r>
        <w:rPr>
          <w:b/>
          <w:sz w:val="22"/>
        </w:rPr>
        <w:t>Таблица 54. Сопоставление регуляторных условий реализации редкоземельных проектов</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Юрисдикция</w:t>
            </w:r>
          </w:p>
        </w:tc>
        <w:tc>
          <w:tcPr>
            <w:tcW w:type="dxa" w:w="1995"/>
            <w:shd w:val="clear" w:fill="DCE6F1"/>
          </w:tcPr>
          <w:p>
            <w:pPr>
              <w:spacing w:after="0" w:line="240" w:lineRule="auto"/>
              <w:ind w:firstLine="0"/>
              <w:jc w:val="center"/>
            </w:pPr>
            <w:r>
              <w:rPr>
                <w:b/>
                <w:i w:val="0"/>
                <w:sz w:val="20"/>
              </w:rPr>
              <w:t>Срок разрешений, лет</w:t>
            </w:r>
          </w:p>
        </w:tc>
        <w:tc>
          <w:tcPr>
            <w:tcW w:type="dxa" w:w="1995"/>
            <w:shd w:val="clear" w:fill="DCE6F1"/>
          </w:tcPr>
          <w:p>
            <w:pPr>
              <w:spacing w:after="0" w:line="240" w:lineRule="auto"/>
              <w:ind w:firstLine="0"/>
              <w:jc w:val="center"/>
            </w:pPr>
            <w:r>
              <w:rPr>
                <w:b/>
                <w:i w:val="0"/>
                <w:sz w:val="20"/>
              </w:rPr>
              <w:t>Обращение с NORM</w:t>
            </w:r>
          </w:p>
        </w:tc>
        <w:tc>
          <w:tcPr>
            <w:tcW w:type="dxa" w:w="1995"/>
            <w:shd w:val="clear" w:fill="DCE6F1"/>
          </w:tcPr>
          <w:p>
            <w:pPr>
              <w:spacing w:after="0" w:line="240" w:lineRule="auto"/>
              <w:ind w:firstLine="0"/>
              <w:jc w:val="center"/>
            </w:pPr>
            <w:r>
              <w:rPr>
                <w:b/>
                <w:i w:val="0"/>
                <w:sz w:val="20"/>
              </w:rPr>
              <w:t>Экол. издержки, $/кг TREO</w:t>
            </w:r>
          </w:p>
        </w:tc>
        <w:tc>
          <w:tcPr>
            <w:tcW w:type="dxa" w:w="1995"/>
            <w:shd w:val="clear" w:fill="DCE6F1"/>
          </w:tcPr>
          <w:p>
            <w:pPr>
              <w:spacing w:after="0" w:line="240" w:lineRule="auto"/>
              <w:ind w:firstLine="0"/>
              <w:jc w:val="center"/>
            </w:pPr>
            <w:r>
              <w:rPr>
                <w:b/>
                <w:i w:val="0"/>
                <w:sz w:val="20"/>
              </w:rPr>
              <w:t>Совокупная оценка</w:t>
            </w:r>
          </w:p>
        </w:tc>
      </w:tr>
      <w:tr>
        <w:tc>
          <w:tcPr>
            <w:tcW w:type="dxa" w:w="1995"/>
          </w:tcPr>
          <w:p>
            <w:pPr>
              <w:spacing w:after="0" w:line="240" w:lineRule="auto"/>
              <w:ind w:firstLine="0"/>
              <w:jc w:val="left"/>
            </w:pPr>
            <w:r>
              <w:rPr>
                <w:b w:val="0"/>
                <w:i w:val="0"/>
                <w:sz w:val="20"/>
              </w:rPr>
              <w:t>КНР</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упрощённое</w:t>
            </w:r>
          </w:p>
        </w:tc>
        <w:tc>
          <w:tcPr>
            <w:tcW w:type="dxa" w:w="1995"/>
          </w:tcPr>
          <w:p>
            <w:pPr>
              <w:spacing w:after="0" w:line="240" w:lineRule="auto"/>
              <w:ind w:firstLine="0"/>
              <w:jc w:val="center"/>
            </w:pPr>
            <w:r>
              <w:rPr>
                <w:b w:val="0"/>
                <w:i w:val="0"/>
                <w:sz w:val="20"/>
              </w:rPr>
              <w:t>1,5–3,0</w:t>
            </w:r>
          </w:p>
        </w:tc>
        <w:tc>
          <w:tcPr>
            <w:tcW w:type="dxa" w:w="1995"/>
          </w:tcPr>
          <w:p>
            <w:pPr>
              <w:spacing w:after="0" w:line="240" w:lineRule="auto"/>
              <w:ind w:firstLine="0"/>
              <w:jc w:val="center"/>
            </w:pPr>
            <w:r>
              <w:rPr>
                <w:b w:val="0"/>
                <w:i w:val="0"/>
                <w:sz w:val="20"/>
              </w:rPr>
              <w:t>наиболее благоприятная</w:t>
            </w:r>
          </w:p>
        </w:tc>
      </w:tr>
      <w:tr>
        <w:tc>
          <w:tcPr>
            <w:tcW w:type="dxa" w:w="1995"/>
          </w:tcPr>
          <w:p>
            <w:pPr>
              <w:spacing w:after="0" w:line="240" w:lineRule="auto"/>
              <w:ind w:firstLine="0"/>
              <w:jc w:val="left"/>
            </w:pPr>
            <w:r>
              <w:rPr>
                <w:b w:val="0"/>
                <w:i w:val="0"/>
                <w:sz w:val="20"/>
              </w:rPr>
              <w:t>Мьянма, Лаос</w:t>
            </w:r>
          </w:p>
        </w:tc>
        <w:tc>
          <w:tcPr>
            <w:tcW w:type="dxa" w:w="1995"/>
          </w:tcPr>
          <w:p>
            <w:pPr>
              <w:spacing w:after="0" w:line="240" w:lineRule="auto"/>
              <w:ind w:firstLine="0"/>
              <w:jc w:val="center"/>
            </w:pPr>
            <w:r>
              <w:rPr>
                <w:b w:val="0"/>
                <w:i w:val="0"/>
                <w:sz w:val="20"/>
              </w:rPr>
              <w:t>&lt;1</w:t>
            </w:r>
          </w:p>
        </w:tc>
        <w:tc>
          <w:tcPr>
            <w:tcW w:type="dxa" w:w="1995"/>
          </w:tcPr>
          <w:p>
            <w:pPr>
              <w:spacing w:after="0" w:line="240" w:lineRule="auto"/>
              <w:ind w:firstLine="0"/>
              <w:jc w:val="center"/>
            </w:pPr>
            <w:r>
              <w:rPr>
                <w:b w:val="0"/>
                <w:i w:val="0"/>
                <w:sz w:val="20"/>
              </w:rPr>
              <w:t>отсутствует</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вне регулирования</w:t>
            </w:r>
          </w:p>
        </w:tc>
      </w:tr>
      <w:tr>
        <w:tc>
          <w:tcPr>
            <w:tcW w:type="dxa" w:w="1995"/>
          </w:tcPr>
          <w:p>
            <w:pPr>
              <w:spacing w:after="0" w:line="240" w:lineRule="auto"/>
              <w:ind w:firstLine="0"/>
              <w:jc w:val="left"/>
            </w:pPr>
            <w:r>
              <w:rPr>
                <w:b w:val="0"/>
                <w:i w:val="0"/>
                <w:sz w:val="20"/>
              </w:rPr>
              <w:t>Малайзия</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строгое</w:t>
            </w:r>
          </w:p>
        </w:tc>
        <w:tc>
          <w:tcPr>
            <w:tcW w:type="dxa" w:w="1995"/>
          </w:tcPr>
          <w:p>
            <w:pPr>
              <w:spacing w:after="0" w:line="240" w:lineRule="auto"/>
              <w:ind w:firstLine="0"/>
              <w:jc w:val="center"/>
            </w:pPr>
            <w:r>
              <w:rPr>
                <w:b w:val="0"/>
                <w:i w:val="0"/>
                <w:sz w:val="20"/>
              </w:rPr>
              <w:t>4,0–6,5</w:t>
            </w:r>
          </w:p>
        </w:tc>
        <w:tc>
          <w:tcPr>
            <w:tcW w:type="dxa" w:w="1995"/>
          </w:tcPr>
          <w:p>
            <w:pPr>
              <w:spacing w:after="0" w:line="240" w:lineRule="auto"/>
              <w:ind w:firstLine="0"/>
              <w:jc w:val="center"/>
            </w:pPr>
            <w:r>
              <w:rPr>
                <w:b w:val="0"/>
                <w:i w:val="0"/>
                <w:sz w:val="20"/>
              </w:rPr>
              <w:t>ограничительная</w:t>
            </w:r>
          </w:p>
        </w:tc>
      </w:tr>
      <w:tr>
        <w:tc>
          <w:tcPr>
            <w:tcW w:type="dxa" w:w="1995"/>
          </w:tcPr>
          <w:p>
            <w:pPr>
              <w:spacing w:after="0" w:line="240" w:lineRule="auto"/>
              <w:ind w:firstLine="0"/>
              <w:jc w:val="left"/>
            </w:pPr>
            <w:r>
              <w:rPr>
                <w:b w:val="0"/>
                <w:i w:val="0"/>
                <w:sz w:val="20"/>
              </w:rPr>
              <w:t>Австралия</w:t>
            </w:r>
          </w:p>
        </w:tc>
        <w:tc>
          <w:tcPr>
            <w:tcW w:type="dxa" w:w="1995"/>
          </w:tcPr>
          <w:p>
            <w:pPr>
              <w:spacing w:after="0" w:line="240" w:lineRule="auto"/>
              <w:ind w:firstLine="0"/>
              <w:jc w:val="center"/>
            </w:pPr>
            <w:r>
              <w:rPr>
                <w:b w:val="0"/>
                <w:i w:val="0"/>
                <w:sz w:val="20"/>
              </w:rPr>
              <w:t>3–6</w:t>
            </w:r>
          </w:p>
        </w:tc>
        <w:tc>
          <w:tcPr>
            <w:tcW w:type="dxa" w:w="1995"/>
          </w:tcPr>
          <w:p>
            <w:pPr>
              <w:spacing w:after="0" w:line="240" w:lineRule="auto"/>
              <w:ind w:firstLine="0"/>
              <w:jc w:val="center"/>
            </w:pPr>
            <w:r>
              <w:rPr>
                <w:b w:val="0"/>
                <w:i w:val="0"/>
                <w:sz w:val="20"/>
              </w:rPr>
              <w:t>строгое</w:t>
            </w:r>
          </w:p>
        </w:tc>
        <w:tc>
          <w:tcPr>
            <w:tcW w:type="dxa" w:w="1995"/>
          </w:tcPr>
          <w:p>
            <w:pPr>
              <w:spacing w:after="0" w:line="240" w:lineRule="auto"/>
              <w:ind w:firstLine="0"/>
              <w:jc w:val="center"/>
            </w:pPr>
            <w:r>
              <w:rPr>
                <w:b w:val="0"/>
                <w:i w:val="0"/>
                <w:sz w:val="20"/>
              </w:rPr>
              <w:t>4,5–7,0</w:t>
            </w:r>
          </w:p>
        </w:tc>
        <w:tc>
          <w:tcPr>
            <w:tcW w:type="dxa" w:w="1995"/>
          </w:tcPr>
          <w:p>
            <w:pPr>
              <w:spacing w:after="0" w:line="240" w:lineRule="auto"/>
              <w:ind w:firstLine="0"/>
              <w:jc w:val="center"/>
            </w:pPr>
            <w:r>
              <w:rPr>
                <w:b w:val="0"/>
                <w:i w:val="0"/>
                <w:sz w:val="20"/>
              </w:rPr>
              <w:t>ограничительная</w:t>
            </w:r>
          </w:p>
        </w:tc>
      </w:tr>
      <w:tr>
        <w:tc>
          <w:tcPr>
            <w:tcW w:type="dxa" w:w="1995"/>
          </w:tcPr>
          <w:p>
            <w:pPr>
              <w:spacing w:after="0" w:line="240" w:lineRule="auto"/>
              <w:ind w:firstLine="0"/>
              <w:jc w:val="left"/>
            </w:pPr>
            <w:r>
              <w:rPr>
                <w:b w:val="0"/>
                <w:i w:val="0"/>
                <w:sz w:val="20"/>
              </w:rPr>
              <w:t>США</w:t>
            </w:r>
          </w:p>
        </w:tc>
        <w:tc>
          <w:tcPr>
            <w:tcW w:type="dxa" w:w="1995"/>
          </w:tcPr>
          <w:p>
            <w:pPr>
              <w:spacing w:after="0" w:line="240" w:lineRule="auto"/>
              <w:ind w:firstLine="0"/>
              <w:jc w:val="center"/>
            </w:pPr>
            <w:r>
              <w:rPr>
                <w:b w:val="0"/>
                <w:i w:val="0"/>
                <w:sz w:val="20"/>
              </w:rPr>
              <w:t>4–8</w:t>
            </w:r>
          </w:p>
        </w:tc>
        <w:tc>
          <w:tcPr>
            <w:tcW w:type="dxa" w:w="1995"/>
          </w:tcPr>
          <w:p>
            <w:pPr>
              <w:spacing w:after="0" w:line="240" w:lineRule="auto"/>
              <w:ind w:firstLine="0"/>
              <w:jc w:val="center"/>
            </w:pPr>
            <w:r>
              <w:rPr>
                <w:b w:val="0"/>
                <w:i w:val="0"/>
                <w:sz w:val="20"/>
              </w:rPr>
              <w:t>очень строгое</w:t>
            </w:r>
          </w:p>
        </w:tc>
        <w:tc>
          <w:tcPr>
            <w:tcW w:type="dxa" w:w="1995"/>
          </w:tcPr>
          <w:p>
            <w:pPr>
              <w:spacing w:after="0" w:line="240" w:lineRule="auto"/>
              <w:ind w:firstLine="0"/>
              <w:jc w:val="center"/>
            </w:pPr>
            <w:r>
              <w:rPr>
                <w:b w:val="0"/>
                <w:i w:val="0"/>
                <w:sz w:val="20"/>
              </w:rPr>
              <w:t>5,0–8,0</w:t>
            </w:r>
          </w:p>
        </w:tc>
        <w:tc>
          <w:tcPr>
            <w:tcW w:type="dxa" w:w="1995"/>
          </w:tcPr>
          <w:p>
            <w:pPr>
              <w:spacing w:after="0" w:line="240" w:lineRule="auto"/>
              <w:ind w:firstLine="0"/>
              <w:jc w:val="center"/>
            </w:pPr>
            <w:r>
              <w:rPr>
                <w:b w:val="0"/>
                <w:i w:val="0"/>
                <w:sz w:val="20"/>
              </w:rPr>
              <w:t>наиболее ограничительная</w:t>
            </w:r>
          </w:p>
        </w:tc>
      </w:tr>
      <w:tr>
        <w:tc>
          <w:tcPr>
            <w:tcW w:type="dxa" w:w="1995"/>
          </w:tcPr>
          <w:p>
            <w:pPr>
              <w:spacing w:after="0" w:line="240" w:lineRule="auto"/>
              <w:ind w:firstLine="0"/>
              <w:jc w:val="left"/>
            </w:pPr>
            <w:r>
              <w:rPr>
                <w:b w:val="0"/>
                <w:i w:val="0"/>
                <w:sz w:val="20"/>
              </w:rPr>
              <w:t>ЕС</w:t>
            </w:r>
          </w:p>
        </w:tc>
        <w:tc>
          <w:tcPr>
            <w:tcW w:type="dxa" w:w="1995"/>
          </w:tcPr>
          <w:p>
            <w:pPr>
              <w:spacing w:after="0" w:line="240" w:lineRule="auto"/>
              <w:ind w:firstLine="0"/>
              <w:jc w:val="center"/>
            </w:pPr>
            <w:r>
              <w:rPr>
                <w:b w:val="0"/>
                <w:i w:val="0"/>
                <w:sz w:val="20"/>
              </w:rPr>
              <w:t>3–7 (по CRMA — 2–3)</w:t>
            </w:r>
          </w:p>
        </w:tc>
        <w:tc>
          <w:tcPr>
            <w:tcW w:type="dxa" w:w="1995"/>
          </w:tcPr>
          <w:p>
            <w:pPr>
              <w:spacing w:after="0" w:line="240" w:lineRule="auto"/>
              <w:ind w:firstLine="0"/>
              <w:jc w:val="center"/>
            </w:pPr>
            <w:r>
              <w:rPr>
                <w:b w:val="0"/>
                <w:i w:val="0"/>
                <w:sz w:val="20"/>
              </w:rPr>
              <w:t>очень строгое</w:t>
            </w:r>
          </w:p>
        </w:tc>
        <w:tc>
          <w:tcPr>
            <w:tcW w:type="dxa" w:w="1995"/>
          </w:tcPr>
          <w:p>
            <w:pPr>
              <w:spacing w:after="0" w:line="240" w:lineRule="auto"/>
              <w:ind w:firstLine="0"/>
              <w:jc w:val="center"/>
            </w:pPr>
            <w:r>
              <w:rPr>
                <w:b w:val="0"/>
                <w:i w:val="0"/>
                <w:sz w:val="20"/>
              </w:rPr>
              <w:t>5,5–9,0</w:t>
            </w:r>
          </w:p>
        </w:tc>
        <w:tc>
          <w:tcPr>
            <w:tcW w:type="dxa" w:w="1995"/>
          </w:tcPr>
          <w:p>
            <w:pPr>
              <w:spacing w:after="0" w:line="240" w:lineRule="auto"/>
              <w:ind w:firstLine="0"/>
              <w:jc w:val="center"/>
            </w:pPr>
            <w:r>
              <w:rPr>
                <w:b w:val="0"/>
                <w:i w:val="0"/>
                <w:sz w:val="20"/>
              </w:rPr>
              <w:t>ограничительная</w:t>
            </w:r>
          </w:p>
        </w:tc>
      </w:tr>
      <w:tr>
        <w:tc>
          <w:tcPr>
            <w:tcW w:type="dxa" w:w="1995"/>
          </w:tcPr>
          <w:p>
            <w:pPr>
              <w:spacing w:after="0" w:line="240" w:lineRule="auto"/>
              <w:ind w:firstLine="0"/>
              <w:jc w:val="left"/>
            </w:pPr>
            <w:r>
              <w:rPr>
                <w:b w:val="0"/>
                <w:i w:val="0"/>
                <w:sz w:val="20"/>
              </w:rPr>
              <w:t>Россия</w:t>
            </w:r>
          </w:p>
        </w:tc>
        <w:tc>
          <w:tcPr>
            <w:tcW w:type="dxa" w:w="1995"/>
          </w:tcPr>
          <w:p>
            <w:pPr>
              <w:spacing w:after="0" w:line="240" w:lineRule="auto"/>
              <w:ind w:firstLine="0"/>
              <w:jc w:val="center"/>
            </w:pPr>
            <w:r>
              <w:rPr>
                <w:b w:val="0"/>
                <w:i w:val="0"/>
                <w:sz w:val="20"/>
              </w:rPr>
              <w:t>2–4</w:t>
            </w:r>
          </w:p>
        </w:tc>
        <w:tc>
          <w:tcPr>
            <w:tcW w:type="dxa" w:w="1995"/>
          </w:tcPr>
          <w:p>
            <w:pPr>
              <w:spacing w:after="0" w:line="240" w:lineRule="auto"/>
              <w:ind w:firstLine="0"/>
              <w:jc w:val="center"/>
            </w:pPr>
            <w:r>
              <w:rPr>
                <w:b w:val="0"/>
                <w:i w:val="0"/>
                <w:sz w:val="20"/>
              </w:rPr>
              <w:t>строгое</w:t>
            </w:r>
          </w:p>
        </w:tc>
        <w:tc>
          <w:tcPr>
            <w:tcW w:type="dxa" w:w="1995"/>
          </w:tcPr>
          <w:p>
            <w:pPr>
              <w:spacing w:after="0" w:line="240" w:lineRule="auto"/>
              <w:ind w:firstLine="0"/>
              <w:jc w:val="center"/>
            </w:pPr>
            <w:r>
              <w:rPr>
                <w:b w:val="0"/>
                <w:i w:val="0"/>
                <w:sz w:val="20"/>
              </w:rPr>
              <w:t>3,0–5,0</w:t>
            </w:r>
          </w:p>
        </w:tc>
        <w:tc>
          <w:tcPr>
            <w:tcW w:type="dxa" w:w="1995"/>
          </w:tcPr>
          <w:p>
            <w:pPr>
              <w:spacing w:after="0" w:line="240" w:lineRule="auto"/>
              <w:ind w:firstLine="0"/>
              <w:jc w:val="center"/>
            </w:pPr>
            <w:r>
              <w:rPr>
                <w:b w:val="0"/>
                <w:i w:val="0"/>
                <w:sz w:val="20"/>
              </w:rPr>
              <w:t>умеренная</w:t>
            </w:r>
          </w:p>
        </w:tc>
      </w:tr>
      <w:tr>
        <w:tc>
          <w:tcPr>
            <w:tcW w:type="dxa" w:w="1995"/>
          </w:tcPr>
          <w:p>
            <w:pPr>
              <w:spacing w:after="0" w:line="240" w:lineRule="auto"/>
              <w:ind w:firstLine="0"/>
              <w:jc w:val="left"/>
            </w:pPr>
            <w:r>
              <w:rPr>
                <w:b w:val="0"/>
                <w:i w:val="0"/>
                <w:sz w:val="20"/>
              </w:rPr>
              <w:t>Бразилия</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среднее</w:t>
            </w:r>
          </w:p>
        </w:tc>
        <w:tc>
          <w:tcPr>
            <w:tcW w:type="dxa" w:w="1995"/>
          </w:tcPr>
          <w:p>
            <w:pPr>
              <w:spacing w:after="0" w:line="240" w:lineRule="auto"/>
              <w:ind w:firstLine="0"/>
              <w:jc w:val="center"/>
            </w:pPr>
            <w:r>
              <w:rPr>
                <w:b w:val="0"/>
                <w:i w:val="0"/>
                <w:sz w:val="20"/>
              </w:rPr>
              <w:t>3,0–5,0</w:t>
            </w:r>
          </w:p>
        </w:tc>
        <w:tc>
          <w:tcPr>
            <w:tcW w:type="dxa" w:w="1995"/>
          </w:tcPr>
          <w:p>
            <w:pPr>
              <w:spacing w:after="0" w:line="240" w:lineRule="auto"/>
              <w:ind w:firstLine="0"/>
              <w:jc w:val="center"/>
            </w:pPr>
            <w:r>
              <w:rPr>
                <w:b w:val="0"/>
                <w:i w:val="0"/>
                <w:sz w:val="20"/>
              </w:rPr>
              <w:t>умеренная</w:t>
            </w:r>
          </w:p>
        </w:tc>
      </w:tr>
    </w:tbl>
    <w:p>
      <w:pPr>
        <w:spacing w:after="180"/>
        <w:ind w:firstLine="0"/>
      </w:pPr>
      <w:r>
        <w:rPr>
          <w:i/>
          <w:sz w:val="20"/>
        </w:rPr>
        <w:t>Источник: аналитический центр</w:t>
      </w:r>
    </w:p>
    <w:p>
      <w:pPr>
        <w:keepNext/>
        <w:spacing w:before="160" w:after="60"/>
        <w:ind w:firstLine="0"/>
        <w:jc w:val="left"/>
      </w:pPr>
      <w:r>
        <w:rPr>
          <w:b/>
          <w:sz w:val="22"/>
        </w:rPr>
        <w:t>Рисунок 43. Средний срок реализации редкоземельного проекта от открытия месторождения до первого производства по регионам, лет</w:t>
      </w:r>
    </w:p>
    <w:p>
      <w:pPr>
        <w:ind w:firstLine="0"/>
        <w:jc w:val="center"/>
      </w:pPr>
      <w:r>
        <w:drawing>
          <wp:inline xmlns:a="http://schemas.openxmlformats.org/drawingml/2006/main" xmlns:pic="http://schemas.openxmlformats.org/drawingml/2006/picture">
            <wp:extent cx="5580000" cy="2794109"/>
            <wp:docPr id="43" name="Picture 43"/>
            <wp:cNvGraphicFramePr>
              <a:graphicFrameLocks noChangeAspect="1"/>
            </wp:cNvGraphicFramePr>
            <a:graphic>
              <a:graphicData uri="http://schemas.openxmlformats.org/drawingml/2006/picture">
                <pic:pic>
                  <pic:nvPicPr>
                    <pic:cNvPr id="0" name="fig43.png"/>
                    <pic:cNvPicPr/>
                  </pic:nvPicPr>
                  <pic:blipFill>
                    <a:blip r:embed="rId53"/>
                    <a:stretch>
                      <a:fillRect/>
                    </a:stretch>
                  </pic:blipFill>
                  <pic:spPr>
                    <a:xfrm>
                      <a:off x="0" y="0"/>
                      <a:ext cx="5580000" cy="2794109"/>
                    </a:xfrm>
                    <a:prstGeom prst="rect"/>
                  </pic:spPr>
                </pic:pic>
              </a:graphicData>
            </a:graphic>
          </wp:inline>
        </w:drawing>
      </w:r>
    </w:p>
    <w:p>
      <w:pPr>
        <w:spacing w:after="180"/>
        <w:ind w:firstLine="0"/>
      </w:pPr>
      <w:r>
        <w:rPr>
          <w:i/>
          <w:sz w:val="20"/>
        </w:rPr>
        <w:t>Источник: оценка аналитического центра по фактическим данным реализованных проектов</w:t>
      </w:r>
    </w:p>
    <w:p>
      <w:r>
        <w:br w:type="page"/>
      </w:r>
    </w:p>
    <w:p>
      <w:pPr>
        <w:pStyle w:val="Heading1"/>
      </w:pPr>
      <w:r>
        <w:rPr>
          <w:b w:val="0"/>
          <w:i w:val="0"/>
        </w:rPr>
        <w:t>8. Прогноз развития мирового рынка редкоземельных металлов до 2035 года</w:t>
      </w:r>
    </w:p>
    <w:p>
      <w:pPr>
        <w:pStyle w:val="Heading2"/>
      </w:pPr>
      <w:r>
        <w:rPr>
          <w:b w:val="0"/>
          <w:i w:val="0"/>
        </w:rPr>
        <w:t>8.1. Методология прогнозирования</w:t>
      </w:r>
    </w:p>
    <w:p>
      <w:r>
        <w:rPr>
          <w:b w:val="0"/>
          <w:i w:val="0"/>
        </w:rPr>
        <w:t>Прогноз построен по балансовой модели «спрос — предложение» с поэлементной детализацией по ключевым позициям (NdPr, Dy, Tb, La, Ce, Y) и трёхсценарным разбросом.</w:t>
      </w:r>
    </w:p>
    <w:p>
      <w:r>
        <w:rPr>
          <w:b/>
          <w:i w:val="0"/>
        </w:rPr>
        <w:t>Прогноз спроса</w:t>
      </w:r>
      <w:r>
        <w:rPr>
          <w:b w:val="0"/>
          <w:i w:val="0"/>
        </w:rPr>
        <w:t xml:space="preserve"> формируется как сумма отраслевых компонент. Для сегмента магнитов расчёт выполнен методом «снизу вверх»: прогноз выпуска конечных изделий (электромобили, ветроустановки, промышленные приводы, бытовая техника) умножается на удельные нормы расхода с учётом их снижения вследствие технологического прогресса (для диспрозия — по траектории рисунка 30). Для прочих сегментов применён метод отраслевых коэффициентов эластичности.</w:t>
      </w:r>
    </w:p>
    <w:p>
      <w:r>
        <w:rPr>
          <w:b/>
          <w:i w:val="0"/>
        </w:rPr>
        <w:t>Прогноз предложения</w:t>
      </w:r>
      <w:r>
        <w:rPr>
          <w:b w:val="0"/>
          <w:i w:val="0"/>
        </w:rPr>
        <w:t xml:space="preserve"> построен как сумма действующих мощностей с учётом коэффициента загрузки, проектов стадии строительства (вероятность реализации 0,7), проектов с принятым инвестиционным решением (0,45), проектов стадии ТЭО (0,15) и проектов стадии геологоразведки (0,05). Отдельно моделируется китайская компонента с учётом заявленной политики роста квот.</w:t>
      </w:r>
    </w:p>
    <w:p>
      <w:r>
        <w:rPr>
          <w:b/>
          <w:i w:val="0"/>
        </w:rPr>
        <w:t>Сценарные допущения</w:t>
      </w:r>
      <w:r>
        <w:rPr>
          <w:b w:val="0"/>
          <w:i w:val="0"/>
        </w:rPr>
        <w:t xml:space="preserve"> приведены в таблице 55.</w:t>
      </w:r>
    </w:p>
    <w:p>
      <w:pPr>
        <w:keepNext/>
        <w:spacing w:before="160" w:after="60"/>
        <w:ind w:firstLine="0"/>
        <w:jc w:val="left"/>
      </w:pPr>
      <w:r>
        <w:rPr>
          <w:b/>
          <w:sz w:val="22"/>
        </w:rPr>
        <w:t>Таблица 55. Ключевые допущения сценариев прогноза мирового рынка РЗМ до 2035 г.</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Параметр</w:t>
            </w:r>
          </w:p>
        </w:tc>
        <w:tc>
          <w:tcPr>
            <w:tcW w:type="dxa" w:w="2493"/>
            <w:shd w:val="clear" w:fill="DCE6F1"/>
          </w:tcPr>
          <w:p>
            <w:pPr>
              <w:spacing w:after="0" w:line="240" w:lineRule="auto"/>
              <w:ind w:firstLine="0"/>
              <w:jc w:val="center"/>
            </w:pPr>
            <w:r>
              <w:rPr>
                <w:b/>
                <w:i w:val="0"/>
                <w:sz w:val="20"/>
              </w:rPr>
              <w:t>Консервативный</w:t>
            </w:r>
          </w:p>
        </w:tc>
        <w:tc>
          <w:tcPr>
            <w:tcW w:type="dxa" w:w="2493"/>
            <w:shd w:val="clear" w:fill="DCE6F1"/>
          </w:tcPr>
          <w:p>
            <w:pPr>
              <w:spacing w:after="0" w:line="240" w:lineRule="auto"/>
              <w:ind w:firstLine="0"/>
              <w:jc w:val="center"/>
            </w:pPr>
            <w:r>
              <w:rPr>
                <w:b/>
                <w:i w:val="0"/>
                <w:sz w:val="20"/>
              </w:rPr>
              <w:t>Базовый</w:t>
            </w:r>
          </w:p>
        </w:tc>
        <w:tc>
          <w:tcPr>
            <w:tcW w:type="dxa" w:w="2493"/>
            <w:shd w:val="clear" w:fill="DCE6F1"/>
          </w:tcPr>
          <w:p>
            <w:pPr>
              <w:spacing w:after="0" w:line="240" w:lineRule="auto"/>
              <w:ind w:firstLine="0"/>
              <w:jc w:val="center"/>
            </w:pPr>
            <w:r>
              <w:rPr>
                <w:b/>
                <w:i w:val="0"/>
                <w:sz w:val="20"/>
              </w:rPr>
              <w:t>Оптимистический</w:t>
            </w:r>
          </w:p>
        </w:tc>
      </w:tr>
      <w:tr>
        <w:tc>
          <w:tcPr>
            <w:tcW w:type="dxa" w:w="2493"/>
          </w:tcPr>
          <w:p>
            <w:pPr>
              <w:spacing w:after="0" w:line="240" w:lineRule="auto"/>
              <w:ind w:firstLine="0"/>
              <w:jc w:val="left"/>
            </w:pPr>
            <w:r>
              <w:rPr>
                <w:b w:val="0"/>
                <w:i w:val="0"/>
                <w:sz w:val="20"/>
              </w:rPr>
              <w:t>Среднегодовой прирост продаж EV, %</w:t>
            </w:r>
          </w:p>
        </w:tc>
        <w:tc>
          <w:tcPr>
            <w:tcW w:type="dxa" w:w="2493"/>
          </w:tcPr>
          <w:p>
            <w:pPr>
              <w:spacing w:after="0" w:line="240" w:lineRule="auto"/>
              <w:ind w:firstLine="0"/>
              <w:jc w:val="center"/>
            </w:pPr>
            <w:r>
              <w:rPr>
                <w:b w:val="0"/>
                <w:i w:val="0"/>
                <w:sz w:val="20"/>
              </w:rPr>
              <w:t>6</w:t>
            </w:r>
          </w:p>
        </w:tc>
        <w:tc>
          <w:tcPr>
            <w:tcW w:type="dxa" w:w="2493"/>
          </w:tcPr>
          <w:p>
            <w:pPr>
              <w:spacing w:after="0" w:line="240" w:lineRule="auto"/>
              <w:ind w:firstLine="0"/>
              <w:jc w:val="center"/>
            </w:pPr>
            <w:r>
              <w:rPr>
                <w:b w:val="0"/>
                <w:i w:val="0"/>
                <w:sz w:val="20"/>
              </w:rPr>
              <w:t>11</w:t>
            </w:r>
          </w:p>
        </w:tc>
        <w:tc>
          <w:tcPr>
            <w:tcW w:type="dxa" w:w="2493"/>
          </w:tcPr>
          <w:p>
            <w:pPr>
              <w:spacing w:after="0" w:line="240" w:lineRule="auto"/>
              <w:ind w:firstLine="0"/>
              <w:jc w:val="center"/>
            </w:pPr>
            <w:r>
              <w:rPr>
                <w:b w:val="0"/>
                <w:i w:val="0"/>
                <w:sz w:val="20"/>
              </w:rPr>
              <w:t>16</w:t>
            </w:r>
          </w:p>
        </w:tc>
      </w:tr>
      <w:tr>
        <w:tc>
          <w:tcPr>
            <w:tcW w:type="dxa" w:w="2493"/>
          </w:tcPr>
          <w:p>
            <w:pPr>
              <w:spacing w:after="0" w:line="240" w:lineRule="auto"/>
              <w:ind w:firstLine="0"/>
              <w:jc w:val="left"/>
            </w:pPr>
            <w:r>
              <w:rPr>
                <w:b w:val="0"/>
                <w:i w:val="0"/>
                <w:sz w:val="20"/>
              </w:rPr>
              <w:t>Ввод ВЭУ к 2035 г., ГВт/год</w:t>
            </w:r>
          </w:p>
        </w:tc>
        <w:tc>
          <w:tcPr>
            <w:tcW w:type="dxa" w:w="2493"/>
          </w:tcPr>
          <w:p>
            <w:pPr>
              <w:spacing w:after="0" w:line="240" w:lineRule="auto"/>
              <w:ind w:firstLine="0"/>
              <w:jc w:val="center"/>
            </w:pPr>
            <w:r>
              <w:rPr>
                <w:b w:val="0"/>
                <w:i w:val="0"/>
                <w:sz w:val="20"/>
              </w:rPr>
              <w:t>140</w:t>
            </w:r>
          </w:p>
        </w:tc>
        <w:tc>
          <w:tcPr>
            <w:tcW w:type="dxa" w:w="2493"/>
          </w:tcPr>
          <w:p>
            <w:pPr>
              <w:spacing w:after="0" w:line="240" w:lineRule="auto"/>
              <w:ind w:firstLine="0"/>
              <w:jc w:val="center"/>
            </w:pPr>
            <w:r>
              <w:rPr>
                <w:b w:val="0"/>
                <w:i w:val="0"/>
                <w:sz w:val="20"/>
              </w:rPr>
              <w:t>175</w:t>
            </w:r>
          </w:p>
        </w:tc>
        <w:tc>
          <w:tcPr>
            <w:tcW w:type="dxa" w:w="2493"/>
          </w:tcPr>
          <w:p>
            <w:pPr>
              <w:spacing w:after="0" w:line="240" w:lineRule="auto"/>
              <w:ind w:firstLine="0"/>
              <w:jc w:val="center"/>
            </w:pPr>
            <w:r>
              <w:rPr>
                <w:b w:val="0"/>
                <w:i w:val="0"/>
                <w:sz w:val="20"/>
              </w:rPr>
              <w:t>215</w:t>
            </w:r>
          </w:p>
        </w:tc>
      </w:tr>
      <w:tr>
        <w:tc>
          <w:tcPr>
            <w:tcW w:type="dxa" w:w="2493"/>
          </w:tcPr>
          <w:p>
            <w:pPr>
              <w:spacing w:after="0" w:line="240" w:lineRule="auto"/>
              <w:ind w:firstLine="0"/>
              <w:jc w:val="left"/>
            </w:pPr>
            <w:r>
              <w:rPr>
                <w:b w:val="0"/>
                <w:i w:val="0"/>
                <w:sz w:val="20"/>
              </w:rPr>
              <w:t>Реализация проектов вне КНР</w:t>
            </w:r>
          </w:p>
        </w:tc>
        <w:tc>
          <w:tcPr>
            <w:tcW w:type="dxa" w:w="2493"/>
          </w:tcPr>
          <w:p>
            <w:pPr>
              <w:spacing w:after="0" w:line="240" w:lineRule="auto"/>
              <w:ind w:firstLine="0"/>
              <w:jc w:val="center"/>
            </w:pPr>
            <w:r>
              <w:rPr>
                <w:b w:val="0"/>
                <w:i w:val="0"/>
                <w:sz w:val="20"/>
              </w:rPr>
              <w:t>30% заявленных</w:t>
            </w:r>
          </w:p>
        </w:tc>
        <w:tc>
          <w:tcPr>
            <w:tcW w:type="dxa" w:w="2493"/>
          </w:tcPr>
          <w:p>
            <w:pPr>
              <w:spacing w:after="0" w:line="240" w:lineRule="auto"/>
              <w:ind w:firstLine="0"/>
              <w:jc w:val="center"/>
            </w:pPr>
            <w:r>
              <w:rPr>
                <w:b w:val="0"/>
                <w:i w:val="0"/>
                <w:sz w:val="20"/>
              </w:rPr>
              <w:t>50% заявленных</w:t>
            </w:r>
          </w:p>
        </w:tc>
        <w:tc>
          <w:tcPr>
            <w:tcW w:type="dxa" w:w="2493"/>
          </w:tcPr>
          <w:p>
            <w:pPr>
              <w:spacing w:after="0" w:line="240" w:lineRule="auto"/>
              <w:ind w:firstLine="0"/>
              <w:jc w:val="center"/>
            </w:pPr>
            <w:r>
              <w:rPr>
                <w:b w:val="0"/>
                <w:i w:val="0"/>
                <w:sz w:val="20"/>
              </w:rPr>
              <w:t>70% заявленных</w:t>
            </w:r>
          </w:p>
        </w:tc>
      </w:tr>
      <w:tr>
        <w:tc>
          <w:tcPr>
            <w:tcW w:type="dxa" w:w="2493"/>
          </w:tcPr>
          <w:p>
            <w:pPr>
              <w:spacing w:after="0" w:line="240" w:lineRule="auto"/>
              <w:ind w:firstLine="0"/>
              <w:jc w:val="left"/>
            </w:pPr>
            <w:r>
              <w:rPr>
                <w:b w:val="0"/>
                <w:i w:val="0"/>
                <w:sz w:val="20"/>
              </w:rPr>
              <w:t>Рост квот КНР, %/год</w:t>
            </w:r>
          </w:p>
        </w:tc>
        <w:tc>
          <w:tcPr>
            <w:tcW w:type="dxa" w:w="2493"/>
          </w:tcPr>
          <w:p>
            <w:pPr>
              <w:spacing w:after="0" w:line="240" w:lineRule="auto"/>
              <w:ind w:firstLine="0"/>
              <w:jc w:val="center"/>
            </w:pPr>
            <w:r>
              <w:rPr>
                <w:b w:val="0"/>
                <w:i w:val="0"/>
                <w:sz w:val="20"/>
              </w:rPr>
              <w:t>3</w:t>
            </w:r>
          </w:p>
        </w:tc>
        <w:tc>
          <w:tcPr>
            <w:tcW w:type="dxa" w:w="2493"/>
          </w:tcPr>
          <w:p>
            <w:pPr>
              <w:spacing w:after="0" w:line="240" w:lineRule="auto"/>
              <w:ind w:firstLine="0"/>
              <w:jc w:val="center"/>
            </w:pPr>
            <w:r>
              <w:rPr>
                <w:b w:val="0"/>
                <w:i w:val="0"/>
                <w:sz w:val="20"/>
              </w:rPr>
              <w:t>6</w:t>
            </w:r>
          </w:p>
        </w:tc>
        <w:tc>
          <w:tcPr>
            <w:tcW w:type="dxa" w:w="2493"/>
          </w:tcPr>
          <w:p>
            <w:pPr>
              <w:spacing w:after="0" w:line="240" w:lineRule="auto"/>
              <w:ind w:firstLine="0"/>
              <w:jc w:val="center"/>
            </w:pPr>
            <w:r>
              <w:rPr>
                <w:b w:val="0"/>
                <w:i w:val="0"/>
                <w:sz w:val="20"/>
              </w:rPr>
              <w:t>9</w:t>
            </w:r>
          </w:p>
        </w:tc>
      </w:tr>
      <w:tr>
        <w:tc>
          <w:tcPr>
            <w:tcW w:type="dxa" w:w="2493"/>
          </w:tcPr>
          <w:p>
            <w:pPr>
              <w:spacing w:after="0" w:line="240" w:lineRule="auto"/>
              <w:ind w:firstLine="0"/>
              <w:jc w:val="left"/>
            </w:pPr>
            <w:r>
              <w:rPr>
                <w:b w:val="0"/>
                <w:i w:val="0"/>
                <w:sz w:val="20"/>
              </w:rPr>
              <w:t>Доля рециклинга к 2035 г., %</w:t>
            </w:r>
          </w:p>
        </w:tc>
        <w:tc>
          <w:tcPr>
            <w:tcW w:type="dxa" w:w="2493"/>
          </w:tcPr>
          <w:p>
            <w:pPr>
              <w:spacing w:after="0" w:line="240" w:lineRule="auto"/>
              <w:ind w:firstLine="0"/>
              <w:jc w:val="center"/>
            </w:pPr>
            <w:r>
              <w:rPr>
                <w:b w:val="0"/>
                <w:i w:val="0"/>
                <w:sz w:val="20"/>
              </w:rPr>
              <w:t>6</w:t>
            </w:r>
          </w:p>
        </w:tc>
        <w:tc>
          <w:tcPr>
            <w:tcW w:type="dxa" w:w="2493"/>
          </w:tcPr>
          <w:p>
            <w:pPr>
              <w:spacing w:after="0" w:line="240" w:lineRule="auto"/>
              <w:ind w:firstLine="0"/>
              <w:jc w:val="center"/>
            </w:pPr>
            <w:r>
              <w:rPr>
                <w:b w:val="0"/>
                <w:i w:val="0"/>
                <w:sz w:val="20"/>
              </w:rPr>
              <w:t>10</w:t>
            </w:r>
          </w:p>
        </w:tc>
        <w:tc>
          <w:tcPr>
            <w:tcW w:type="dxa" w:w="2493"/>
          </w:tcPr>
          <w:p>
            <w:pPr>
              <w:spacing w:after="0" w:line="240" w:lineRule="auto"/>
              <w:ind w:firstLine="0"/>
              <w:jc w:val="center"/>
            </w:pPr>
            <w:r>
              <w:rPr>
                <w:b w:val="0"/>
                <w:i w:val="0"/>
                <w:sz w:val="20"/>
              </w:rPr>
              <w:t>15</w:t>
            </w:r>
          </w:p>
        </w:tc>
      </w:tr>
      <w:tr>
        <w:tc>
          <w:tcPr>
            <w:tcW w:type="dxa" w:w="2493"/>
          </w:tcPr>
          <w:p>
            <w:pPr>
              <w:spacing w:after="0" w:line="240" w:lineRule="auto"/>
              <w:ind w:firstLine="0"/>
              <w:jc w:val="left"/>
            </w:pPr>
            <w:r>
              <w:rPr>
                <w:b w:val="0"/>
                <w:i w:val="0"/>
                <w:sz w:val="20"/>
              </w:rPr>
              <w:t>Снижение удельного расхода Dy к 2035 г.</w:t>
            </w:r>
          </w:p>
        </w:tc>
        <w:tc>
          <w:tcPr>
            <w:tcW w:type="dxa" w:w="2493"/>
          </w:tcPr>
          <w:p>
            <w:pPr>
              <w:spacing w:after="0" w:line="240" w:lineRule="auto"/>
              <w:ind w:firstLine="0"/>
              <w:jc w:val="center"/>
            </w:pPr>
            <w:r>
              <w:rPr>
                <w:b w:val="0"/>
                <w:i w:val="0"/>
                <w:sz w:val="20"/>
              </w:rPr>
              <w:t>−20%</w:t>
            </w:r>
          </w:p>
        </w:tc>
        <w:tc>
          <w:tcPr>
            <w:tcW w:type="dxa" w:w="2493"/>
          </w:tcPr>
          <w:p>
            <w:pPr>
              <w:spacing w:after="0" w:line="240" w:lineRule="auto"/>
              <w:ind w:firstLine="0"/>
              <w:jc w:val="center"/>
            </w:pPr>
            <w:r>
              <w:rPr>
                <w:b w:val="0"/>
                <w:i w:val="0"/>
                <w:sz w:val="20"/>
              </w:rPr>
              <w:t>−30%</w:t>
            </w:r>
          </w:p>
        </w:tc>
        <w:tc>
          <w:tcPr>
            <w:tcW w:type="dxa" w:w="2493"/>
          </w:tcPr>
          <w:p>
            <w:pPr>
              <w:spacing w:after="0" w:line="240" w:lineRule="auto"/>
              <w:ind w:firstLine="0"/>
              <w:jc w:val="center"/>
            </w:pPr>
            <w:r>
              <w:rPr>
                <w:b w:val="0"/>
                <w:i w:val="0"/>
                <w:sz w:val="20"/>
              </w:rPr>
              <w:t>−42%</w:t>
            </w:r>
          </w:p>
        </w:tc>
      </w:tr>
      <w:tr>
        <w:tc>
          <w:tcPr>
            <w:tcW w:type="dxa" w:w="2493"/>
          </w:tcPr>
          <w:p>
            <w:pPr>
              <w:spacing w:after="0" w:line="240" w:lineRule="auto"/>
              <w:ind w:firstLine="0"/>
              <w:jc w:val="left"/>
            </w:pPr>
            <w:r>
              <w:rPr>
                <w:b w:val="0"/>
                <w:i w:val="0"/>
                <w:sz w:val="20"/>
              </w:rPr>
              <w:t>Экспортные ограничения КНР</w:t>
            </w:r>
          </w:p>
        </w:tc>
        <w:tc>
          <w:tcPr>
            <w:tcW w:type="dxa" w:w="2493"/>
          </w:tcPr>
          <w:p>
            <w:pPr>
              <w:spacing w:after="0" w:line="240" w:lineRule="auto"/>
              <w:ind w:firstLine="0"/>
              <w:jc w:val="center"/>
            </w:pPr>
            <w:r>
              <w:rPr>
                <w:b w:val="0"/>
                <w:i w:val="0"/>
                <w:sz w:val="20"/>
              </w:rPr>
              <w:t>ужесточение</w:t>
            </w:r>
          </w:p>
        </w:tc>
        <w:tc>
          <w:tcPr>
            <w:tcW w:type="dxa" w:w="2493"/>
          </w:tcPr>
          <w:p>
            <w:pPr>
              <w:spacing w:after="0" w:line="240" w:lineRule="auto"/>
              <w:ind w:firstLine="0"/>
              <w:jc w:val="center"/>
            </w:pPr>
            <w:r>
              <w:rPr>
                <w:b w:val="0"/>
                <w:i w:val="0"/>
                <w:sz w:val="20"/>
              </w:rPr>
              <w:t>сохранение</w:t>
            </w:r>
          </w:p>
        </w:tc>
        <w:tc>
          <w:tcPr>
            <w:tcW w:type="dxa" w:w="2493"/>
          </w:tcPr>
          <w:p>
            <w:pPr>
              <w:spacing w:after="0" w:line="240" w:lineRule="auto"/>
              <w:ind w:firstLine="0"/>
              <w:jc w:val="center"/>
            </w:pPr>
            <w:r>
              <w:rPr>
                <w:b w:val="0"/>
                <w:i w:val="0"/>
                <w:sz w:val="20"/>
              </w:rPr>
              <w:t>ослабление</w:t>
            </w:r>
          </w:p>
        </w:tc>
      </w:tr>
      <w:tr>
        <w:tc>
          <w:tcPr>
            <w:tcW w:type="dxa" w:w="2493"/>
          </w:tcPr>
          <w:p>
            <w:pPr>
              <w:spacing w:after="0" w:line="240" w:lineRule="auto"/>
              <w:ind w:firstLine="0"/>
              <w:jc w:val="left"/>
            </w:pPr>
            <w:r>
              <w:rPr>
                <w:b w:val="0"/>
                <w:i w:val="0"/>
                <w:sz w:val="20"/>
              </w:rPr>
              <w:t>Цена NdPr 2035, $/кг</w:t>
            </w:r>
          </w:p>
        </w:tc>
        <w:tc>
          <w:tcPr>
            <w:tcW w:type="dxa" w:w="2493"/>
          </w:tcPr>
          <w:p>
            <w:pPr>
              <w:spacing w:after="0" w:line="240" w:lineRule="auto"/>
              <w:ind w:firstLine="0"/>
              <w:jc w:val="center"/>
            </w:pPr>
            <w:r>
              <w:rPr>
                <w:b w:val="0"/>
                <w:i w:val="0"/>
                <w:sz w:val="20"/>
              </w:rPr>
              <w:t>58</w:t>
            </w:r>
          </w:p>
        </w:tc>
        <w:tc>
          <w:tcPr>
            <w:tcW w:type="dxa" w:w="2493"/>
          </w:tcPr>
          <w:p>
            <w:pPr>
              <w:spacing w:after="0" w:line="240" w:lineRule="auto"/>
              <w:ind w:firstLine="0"/>
              <w:jc w:val="center"/>
            </w:pPr>
            <w:r>
              <w:rPr>
                <w:b w:val="0"/>
                <w:i w:val="0"/>
                <w:sz w:val="20"/>
              </w:rPr>
              <w:t>88</w:t>
            </w:r>
          </w:p>
        </w:tc>
        <w:tc>
          <w:tcPr>
            <w:tcW w:type="dxa" w:w="2493"/>
          </w:tcPr>
          <w:p>
            <w:pPr>
              <w:spacing w:after="0" w:line="240" w:lineRule="auto"/>
              <w:ind w:firstLine="0"/>
              <w:jc w:val="center"/>
            </w:pPr>
            <w:r>
              <w:rPr>
                <w:b w:val="0"/>
                <w:i w:val="0"/>
                <w:sz w:val="20"/>
              </w:rPr>
              <w:t>125</w:t>
            </w:r>
          </w:p>
        </w:tc>
      </w:tr>
    </w:tbl>
    <w:p>
      <w:pPr>
        <w:spacing w:after="180"/>
        <w:ind w:firstLine="0"/>
      </w:pPr>
      <w:r>
        <w:rPr>
          <w:i/>
          <w:sz w:val="20"/>
        </w:rPr>
        <w:t>Источник: аналитический центр</w:t>
      </w:r>
    </w:p>
    <w:p>
      <w:pPr>
        <w:pStyle w:val="Heading2"/>
      </w:pPr>
      <w:r>
        <w:rPr>
          <w:b w:val="0"/>
          <w:i w:val="0"/>
        </w:rPr>
        <w:t>8.2. Прогноз мирового спроса</w:t>
      </w:r>
    </w:p>
    <w:p>
      <w:pPr>
        <w:keepNext/>
        <w:spacing w:before="160" w:after="60"/>
        <w:ind w:firstLine="0"/>
        <w:jc w:val="left"/>
      </w:pPr>
      <w:r>
        <w:rPr>
          <w:b/>
          <w:sz w:val="22"/>
        </w:rPr>
        <w:t>Таблица 56. Прогноз мирового спроса на РЗМ по отраслям до 2035 г., тыс. т TREO (базовый сценарий)</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Направление</w:t>
            </w:r>
          </w:p>
        </w:tc>
        <w:tc>
          <w:tcPr>
            <w:tcW w:type="dxa" w:w="1662"/>
            <w:shd w:val="clear" w:fill="DCE6F1"/>
          </w:tcPr>
          <w:p>
            <w:pPr>
              <w:spacing w:after="0" w:line="240" w:lineRule="auto"/>
              <w:ind w:firstLine="0"/>
              <w:jc w:val="center"/>
            </w:pPr>
            <w:r>
              <w:rPr>
                <w:b/>
                <w:i w:val="0"/>
                <w:sz w:val="20"/>
              </w:rPr>
              <w:t>2024</w:t>
            </w:r>
          </w:p>
        </w:tc>
        <w:tc>
          <w:tcPr>
            <w:tcW w:type="dxa" w:w="1662"/>
            <w:shd w:val="clear" w:fill="DCE6F1"/>
          </w:tcPr>
          <w:p>
            <w:pPr>
              <w:spacing w:after="0" w:line="240" w:lineRule="auto"/>
              <w:ind w:firstLine="0"/>
              <w:jc w:val="center"/>
            </w:pPr>
            <w:r>
              <w:rPr>
                <w:b/>
                <w:i w:val="0"/>
                <w:sz w:val="20"/>
              </w:rPr>
              <w:t>2027</w:t>
            </w:r>
          </w:p>
        </w:tc>
        <w:tc>
          <w:tcPr>
            <w:tcW w:type="dxa" w:w="1662"/>
            <w:shd w:val="clear" w:fill="DCE6F1"/>
          </w:tcPr>
          <w:p>
            <w:pPr>
              <w:spacing w:after="0" w:line="240" w:lineRule="auto"/>
              <w:ind w:firstLine="0"/>
              <w:jc w:val="center"/>
            </w:pPr>
            <w:r>
              <w:rPr>
                <w:b/>
                <w:i w:val="0"/>
                <w:sz w:val="20"/>
              </w:rPr>
              <w:t>2030</w:t>
            </w:r>
          </w:p>
        </w:tc>
        <w:tc>
          <w:tcPr>
            <w:tcW w:type="dxa" w:w="1662"/>
            <w:shd w:val="clear" w:fill="DCE6F1"/>
          </w:tcPr>
          <w:p>
            <w:pPr>
              <w:spacing w:after="0" w:line="240" w:lineRule="auto"/>
              <w:ind w:firstLine="0"/>
              <w:jc w:val="center"/>
            </w:pPr>
            <w:r>
              <w:rPr>
                <w:b/>
                <w:i w:val="0"/>
                <w:sz w:val="20"/>
              </w:rPr>
              <w:t>2033</w:t>
            </w:r>
          </w:p>
        </w:tc>
        <w:tc>
          <w:tcPr>
            <w:tcW w:type="dxa" w:w="1662"/>
            <w:shd w:val="clear" w:fill="DCE6F1"/>
          </w:tcPr>
          <w:p>
            <w:pPr>
              <w:spacing w:after="0" w:line="240" w:lineRule="auto"/>
              <w:ind w:firstLine="0"/>
              <w:jc w:val="center"/>
            </w:pPr>
            <w:r>
              <w:rPr>
                <w:b/>
                <w:i w:val="0"/>
                <w:sz w:val="20"/>
              </w:rPr>
              <w:t>2035</w:t>
            </w:r>
          </w:p>
        </w:tc>
      </w:tr>
      <w:tr>
        <w:tc>
          <w:tcPr>
            <w:tcW w:type="dxa" w:w="1662"/>
          </w:tcPr>
          <w:p>
            <w:pPr>
              <w:spacing w:after="0" w:line="240" w:lineRule="auto"/>
              <w:ind w:firstLine="0"/>
              <w:jc w:val="left"/>
            </w:pPr>
            <w:r>
              <w:rPr>
                <w:b w:val="0"/>
                <w:i w:val="0"/>
                <w:sz w:val="20"/>
              </w:rPr>
              <w:t>Постоянные магниты</w:t>
            </w:r>
          </w:p>
        </w:tc>
        <w:tc>
          <w:tcPr>
            <w:tcW w:type="dxa" w:w="1662"/>
          </w:tcPr>
          <w:p>
            <w:pPr>
              <w:spacing w:after="0" w:line="240" w:lineRule="auto"/>
              <w:ind w:firstLine="0"/>
              <w:jc w:val="center"/>
            </w:pPr>
            <w:r>
              <w:rPr>
                <w:b w:val="0"/>
                <w:i w:val="0"/>
                <w:sz w:val="20"/>
              </w:rPr>
              <w:t>86,0</w:t>
            </w:r>
          </w:p>
        </w:tc>
        <w:tc>
          <w:tcPr>
            <w:tcW w:type="dxa" w:w="1662"/>
          </w:tcPr>
          <w:p>
            <w:pPr>
              <w:spacing w:after="0" w:line="240" w:lineRule="auto"/>
              <w:ind w:firstLine="0"/>
              <w:jc w:val="center"/>
            </w:pPr>
            <w:r>
              <w:rPr>
                <w:b w:val="0"/>
                <w:i w:val="0"/>
                <w:sz w:val="20"/>
              </w:rPr>
              <w:t>118,0</w:t>
            </w:r>
          </w:p>
        </w:tc>
        <w:tc>
          <w:tcPr>
            <w:tcW w:type="dxa" w:w="1662"/>
          </w:tcPr>
          <w:p>
            <w:pPr>
              <w:spacing w:after="0" w:line="240" w:lineRule="auto"/>
              <w:ind w:firstLine="0"/>
              <w:jc w:val="center"/>
            </w:pPr>
            <w:r>
              <w:rPr>
                <w:b w:val="0"/>
                <w:i w:val="0"/>
                <w:sz w:val="20"/>
              </w:rPr>
              <w:t>158,0</w:t>
            </w:r>
          </w:p>
        </w:tc>
        <w:tc>
          <w:tcPr>
            <w:tcW w:type="dxa" w:w="1662"/>
          </w:tcPr>
          <w:p>
            <w:pPr>
              <w:spacing w:after="0" w:line="240" w:lineRule="auto"/>
              <w:ind w:firstLine="0"/>
              <w:jc w:val="center"/>
            </w:pPr>
            <w:r>
              <w:rPr>
                <w:b w:val="0"/>
                <w:i w:val="0"/>
                <w:sz w:val="20"/>
              </w:rPr>
              <w:t>196,0</w:t>
            </w:r>
          </w:p>
        </w:tc>
        <w:tc>
          <w:tcPr>
            <w:tcW w:type="dxa" w:w="1662"/>
          </w:tcPr>
          <w:p>
            <w:pPr>
              <w:spacing w:after="0" w:line="240" w:lineRule="auto"/>
              <w:ind w:firstLine="0"/>
              <w:jc w:val="center"/>
            </w:pPr>
            <w:r>
              <w:rPr>
                <w:b w:val="0"/>
                <w:i w:val="0"/>
                <w:sz w:val="20"/>
              </w:rPr>
              <w:t>222,0</w:t>
            </w:r>
          </w:p>
        </w:tc>
      </w:tr>
      <w:tr>
        <w:tc>
          <w:tcPr>
            <w:tcW w:type="dxa" w:w="1662"/>
          </w:tcPr>
          <w:p>
            <w:pPr>
              <w:spacing w:after="0" w:line="240" w:lineRule="auto"/>
              <w:ind w:firstLine="0"/>
              <w:jc w:val="left"/>
            </w:pPr>
            <w:r>
              <w:rPr>
                <w:b w:val="0"/>
                <w:i w:val="0"/>
                <w:sz w:val="20"/>
              </w:rPr>
              <w:t>Катализаторы</w:t>
            </w:r>
          </w:p>
        </w:tc>
        <w:tc>
          <w:tcPr>
            <w:tcW w:type="dxa" w:w="1662"/>
          </w:tcPr>
          <w:p>
            <w:pPr>
              <w:spacing w:after="0" w:line="240" w:lineRule="auto"/>
              <w:ind w:firstLine="0"/>
              <w:jc w:val="center"/>
            </w:pPr>
            <w:r>
              <w:rPr>
                <w:b w:val="0"/>
                <w:i w:val="0"/>
                <w:sz w:val="20"/>
              </w:rPr>
              <w:t>26,5</w:t>
            </w:r>
          </w:p>
        </w:tc>
        <w:tc>
          <w:tcPr>
            <w:tcW w:type="dxa" w:w="1662"/>
          </w:tcPr>
          <w:p>
            <w:pPr>
              <w:spacing w:after="0" w:line="240" w:lineRule="auto"/>
              <w:ind w:firstLine="0"/>
              <w:jc w:val="center"/>
            </w:pPr>
            <w:r>
              <w:rPr>
                <w:b w:val="0"/>
                <w:i w:val="0"/>
                <w:sz w:val="20"/>
              </w:rPr>
              <w:t>26,0</w:t>
            </w:r>
          </w:p>
        </w:tc>
        <w:tc>
          <w:tcPr>
            <w:tcW w:type="dxa" w:w="1662"/>
          </w:tcPr>
          <w:p>
            <w:pPr>
              <w:spacing w:after="0" w:line="240" w:lineRule="auto"/>
              <w:ind w:firstLine="0"/>
              <w:jc w:val="center"/>
            </w:pPr>
            <w:r>
              <w:rPr>
                <w:b w:val="0"/>
                <w:i w:val="0"/>
                <w:sz w:val="20"/>
              </w:rPr>
              <w:t>25,0</w:t>
            </w:r>
          </w:p>
        </w:tc>
        <w:tc>
          <w:tcPr>
            <w:tcW w:type="dxa" w:w="1662"/>
          </w:tcPr>
          <w:p>
            <w:pPr>
              <w:spacing w:after="0" w:line="240" w:lineRule="auto"/>
              <w:ind w:firstLine="0"/>
              <w:jc w:val="center"/>
            </w:pPr>
            <w:r>
              <w:rPr>
                <w:b w:val="0"/>
                <w:i w:val="0"/>
                <w:sz w:val="20"/>
              </w:rPr>
              <w:t>24,0</w:t>
            </w:r>
          </w:p>
        </w:tc>
        <w:tc>
          <w:tcPr>
            <w:tcW w:type="dxa" w:w="1662"/>
          </w:tcPr>
          <w:p>
            <w:pPr>
              <w:spacing w:after="0" w:line="240" w:lineRule="auto"/>
              <w:ind w:firstLine="0"/>
              <w:jc w:val="center"/>
            </w:pPr>
            <w:r>
              <w:rPr>
                <w:b w:val="0"/>
                <w:i w:val="0"/>
                <w:sz w:val="20"/>
              </w:rPr>
              <w:t>23,0</w:t>
            </w:r>
          </w:p>
        </w:tc>
      </w:tr>
      <w:tr>
        <w:tc>
          <w:tcPr>
            <w:tcW w:type="dxa" w:w="1662"/>
          </w:tcPr>
          <w:p>
            <w:pPr>
              <w:spacing w:after="0" w:line="240" w:lineRule="auto"/>
              <w:ind w:firstLine="0"/>
              <w:jc w:val="left"/>
            </w:pPr>
            <w:r>
              <w:rPr>
                <w:b w:val="0"/>
                <w:i w:val="0"/>
                <w:sz w:val="20"/>
              </w:rPr>
              <w:t>Полировальные материалы</w:t>
            </w:r>
          </w:p>
        </w:tc>
        <w:tc>
          <w:tcPr>
            <w:tcW w:type="dxa" w:w="1662"/>
          </w:tcPr>
          <w:p>
            <w:pPr>
              <w:spacing w:after="0" w:line="240" w:lineRule="auto"/>
              <w:ind w:firstLine="0"/>
              <w:jc w:val="center"/>
            </w:pPr>
            <w:r>
              <w:rPr>
                <w:b w:val="0"/>
                <w:i w:val="0"/>
                <w:sz w:val="20"/>
              </w:rPr>
              <w:t>24,0</w:t>
            </w:r>
          </w:p>
        </w:tc>
        <w:tc>
          <w:tcPr>
            <w:tcW w:type="dxa" w:w="1662"/>
          </w:tcPr>
          <w:p>
            <w:pPr>
              <w:spacing w:after="0" w:line="240" w:lineRule="auto"/>
              <w:ind w:firstLine="0"/>
              <w:jc w:val="center"/>
            </w:pPr>
            <w:r>
              <w:rPr>
                <w:b w:val="0"/>
                <w:i w:val="0"/>
                <w:sz w:val="20"/>
              </w:rPr>
              <w:t>26,5</w:t>
            </w:r>
          </w:p>
        </w:tc>
        <w:tc>
          <w:tcPr>
            <w:tcW w:type="dxa" w:w="1662"/>
          </w:tcPr>
          <w:p>
            <w:pPr>
              <w:spacing w:after="0" w:line="240" w:lineRule="auto"/>
              <w:ind w:firstLine="0"/>
              <w:jc w:val="center"/>
            </w:pPr>
            <w:r>
              <w:rPr>
                <w:b w:val="0"/>
                <w:i w:val="0"/>
                <w:sz w:val="20"/>
              </w:rPr>
              <w:t>29,0</w:t>
            </w:r>
          </w:p>
        </w:tc>
        <w:tc>
          <w:tcPr>
            <w:tcW w:type="dxa" w:w="1662"/>
          </w:tcPr>
          <w:p>
            <w:pPr>
              <w:spacing w:after="0" w:line="240" w:lineRule="auto"/>
              <w:ind w:firstLine="0"/>
              <w:jc w:val="center"/>
            </w:pPr>
            <w:r>
              <w:rPr>
                <w:b w:val="0"/>
                <w:i w:val="0"/>
                <w:sz w:val="20"/>
              </w:rPr>
              <w:t>31,0</w:t>
            </w:r>
          </w:p>
        </w:tc>
        <w:tc>
          <w:tcPr>
            <w:tcW w:type="dxa" w:w="1662"/>
          </w:tcPr>
          <w:p>
            <w:pPr>
              <w:spacing w:after="0" w:line="240" w:lineRule="auto"/>
              <w:ind w:firstLine="0"/>
              <w:jc w:val="center"/>
            </w:pPr>
            <w:r>
              <w:rPr>
                <w:b w:val="0"/>
                <w:i w:val="0"/>
                <w:sz w:val="20"/>
              </w:rPr>
              <w:t>32,5</w:t>
            </w:r>
          </w:p>
        </w:tc>
      </w:tr>
      <w:tr>
        <w:tc>
          <w:tcPr>
            <w:tcW w:type="dxa" w:w="1662"/>
          </w:tcPr>
          <w:p>
            <w:pPr>
              <w:spacing w:after="0" w:line="240" w:lineRule="auto"/>
              <w:ind w:firstLine="0"/>
              <w:jc w:val="left"/>
            </w:pPr>
            <w:r>
              <w:rPr>
                <w:b w:val="0"/>
                <w:i w:val="0"/>
                <w:sz w:val="20"/>
              </w:rPr>
              <w:t>Металлургия и сплавы</w:t>
            </w:r>
          </w:p>
        </w:tc>
        <w:tc>
          <w:tcPr>
            <w:tcW w:type="dxa" w:w="1662"/>
          </w:tcPr>
          <w:p>
            <w:pPr>
              <w:spacing w:after="0" w:line="240" w:lineRule="auto"/>
              <w:ind w:firstLine="0"/>
              <w:jc w:val="center"/>
            </w:pPr>
            <w:r>
              <w:rPr>
                <w:b w:val="0"/>
                <w:i w:val="0"/>
                <w:sz w:val="20"/>
              </w:rPr>
              <w:t>22,0</w:t>
            </w:r>
          </w:p>
        </w:tc>
        <w:tc>
          <w:tcPr>
            <w:tcW w:type="dxa" w:w="1662"/>
          </w:tcPr>
          <w:p>
            <w:pPr>
              <w:spacing w:after="0" w:line="240" w:lineRule="auto"/>
              <w:ind w:firstLine="0"/>
              <w:jc w:val="center"/>
            </w:pPr>
            <w:r>
              <w:rPr>
                <w:b w:val="0"/>
                <w:i w:val="0"/>
                <w:sz w:val="20"/>
              </w:rPr>
              <w:t>23,5</w:t>
            </w:r>
          </w:p>
        </w:tc>
        <w:tc>
          <w:tcPr>
            <w:tcW w:type="dxa" w:w="1662"/>
          </w:tcPr>
          <w:p>
            <w:pPr>
              <w:spacing w:after="0" w:line="240" w:lineRule="auto"/>
              <w:ind w:firstLine="0"/>
              <w:jc w:val="center"/>
            </w:pPr>
            <w:r>
              <w:rPr>
                <w:b w:val="0"/>
                <w:i w:val="0"/>
                <w:sz w:val="20"/>
              </w:rPr>
              <w:t>25,0</w:t>
            </w:r>
          </w:p>
        </w:tc>
        <w:tc>
          <w:tcPr>
            <w:tcW w:type="dxa" w:w="1662"/>
          </w:tcPr>
          <w:p>
            <w:pPr>
              <w:spacing w:after="0" w:line="240" w:lineRule="auto"/>
              <w:ind w:firstLine="0"/>
              <w:jc w:val="center"/>
            </w:pPr>
            <w:r>
              <w:rPr>
                <w:b w:val="0"/>
                <w:i w:val="0"/>
                <w:sz w:val="20"/>
              </w:rPr>
              <w:t>26,5</w:t>
            </w:r>
          </w:p>
        </w:tc>
        <w:tc>
          <w:tcPr>
            <w:tcW w:type="dxa" w:w="1662"/>
          </w:tcPr>
          <w:p>
            <w:pPr>
              <w:spacing w:after="0" w:line="240" w:lineRule="auto"/>
              <w:ind w:firstLine="0"/>
              <w:jc w:val="center"/>
            </w:pPr>
            <w:r>
              <w:rPr>
                <w:b w:val="0"/>
                <w:i w:val="0"/>
                <w:sz w:val="20"/>
              </w:rPr>
              <w:t>27,5</w:t>
            </w:r>
          </w:p>
        </w:tc>
      </w:tr>
      <w:tr>
        <w:tc>
          <w:tcPr>
            <w:tcW w:type="dxa" w:w="1662"/>
          </w:tcPr>
          <w:p>
            <w:pPr>
              <w:spacing w:after="0" w:line="240" w:lineRule="auto"/>
              <w:ind w:firstLine="0"/>
              <w:jc w:val="left"/>
            </w:pPr>
            <w:r>
              <w:rPr>
                <w:b w:val="0"/>
                <w:i w:val="0"/>
                <w:sz w:val="20"/>
              </w:rPr>
              <w:t>Стекло и оптика</w:t>
            </w:r>
          </w:p>
        </w:tc>
        <w:tc>
          <w:tcPr>
            <w:tcW w:type="dxa" w:w="1662"/>
          </w:tcPr>
          <w:p>
            <w:pPr>
              <w:spacing w:after="0" w:line="240" w:lineRule="auto"/>
              <w:ind w:firstLine="0"/>
              <w:jc w:val="center"/>
            </w:pPr>
            <w:r>
              <w:rPr>
                <w:b w:val="0"/>
                <w:i w:val="0"/>
                <w:sz w:val="20"/>
              </w:rPr>
              <w:t>12,5</w:t>
            </w:r>
          </w:p>
        </w:tc>
        <w:tc>
          <w:tcPr>
            <w:tcW w:type="dxa" w:w="1662"/>
          </w:tcPr>
          <w:p>
            <w:pPr>
              <w:spacing w:after="0" w:line="240" w:lineRule="auto"/>
              <w:ind w:firstLine="0"/>
              <w:jc w:val="center"/>
            </w:pPr>
            <w:r>
              <w:rPr>
                <w:b w:val="0"/>
                <w:i w:val="0"/>
                <w:sz w:val="20"/>
              </w:rPr>
              <w:t>13,0</w:t>
            </w:r>
          </w:p>
        </w:tc>
        <w:tc>
          <w:tcPr>
            <w:tcW w:type="dxa" w:w="1662"/>
          </w:tcPr>
          <w:p>
            <w:pPr>
              <w:spacing w:after="0" w:line="240" w:lineRule="auto"/>
              <w:ind w:firstLine="0"/>
              <w:jc w:val="center"/>
            </w:pPr>
            <w:r>
              <w:rPr>
                <w:b w:val="0"/>
                <w:i w:val="0"/>
                <w:sz w:val="20"/>
              </w:rPr>
              <w:t>13,5</w:t>
            </w:r>
          </w:p>
        </w:tc>
        <w:tc>
          <w:tcPr>
            <w:tcW w:type="dxa" w:w="1662"/>
          </w:tcPr>
          <w:p>
            <w:pPr>
              <w:spacing w:after="0" w:line="240" w:lineRule="auto"/>
              <w:ind w:firstLine="0"/>
              <w:jc w:val="center"/>
            </w:pPr>
            <w:r>
              <w:rPr>
                <w:b w:val="0"/>
                <w:i w:val="0"/>
                <w:sz w:val="20"/>
              </w:rPr>
              <w:t>14,0</w:t>
            </w:r>
          </w:p>
        </w:tc>
        <w:tc>
          <w:tcPr>
            <w:tcW w:type="dxa" w:w="1662"/>
          </w:tcPr>
          <w:p>
            <w:pPr>
              <w:spacing w:after="0" w:line="240" w:lineRule="auto"/>
              <w:ind w:firstLine="0"/>
              <w:jc w:val="center"/>
            </w:pPr>
            <w:r>
              <w:rPr>
                <w:b w:val="0"/>
                <w:i w:val="0"/>
                <w:sz w:val="20"/>
              </w:rPr>
              <w:t>14,5</w:t>
            </w:r>
          </w:p>
        </w:tc>
      </w:tr>
      <w:tr>
        <w:tc>
          <w:tcPr>
            <w:tcW w:type="dxa" w:w="1662"/>
          </w:tcPr>
          <w:p>
            <w:pPr>
              <w:spacing w:after="0" w:line="240" w:lineRule="auto"/>
              <w:ind w:firstLine="0"/>
              <w:jc w:val="left"/>
            </w:pPr>
            <w:r>
              <w:rPr>
                <w:b w:val="0"/>
                <w:i w:val="0"/>
                <w:sz w:val="20"/>
              </w:rPr>
              <w:t>Керамика</w:t>
            </w:r>
          </w:p>
        </w:tc>
        <w:tc>
          <w:tcPr>
            <w:tcW w:type="dxa" w:w="1662"/>
          </w:tcPr>
          <w:p>
            <w:pPr>
              <w:spacing w:after="0" w:line="240" w:lineRule="auto"/>
              <w:ind w:firstLine="0"/>
              <w:jc w:val="center"/>
            </w:pPr>
            <w:r>
              <w:rPr>
                <w:b w:val="0"/>
                <w:i w:val="0"/>
                <w:sz w:val="20"/>
              </w:rPr>
              <w:t>10,0</w:t>
            </w:r>
          </w:p>
        </w:tc>
        <w:tc>
          <w:tcPr>
            <w:tcW w:type="dxa" w:w="1662"/>
          </w:tcPr>
          <w:p>
            <w:pPr>
              <w:spacing w:after="0" w:line="240" w:lineRule="auto"/>
              <w:ind w:firstLine="0"/>
              <w:jc w:val="center"/>
            </w:pPr>
            <w:r>
              <w:rPr>
                <w:b w:val="0"/>
                <w:i w:val="0"/>
                <w:sz w:val="20"/>
              </w:rPr>
              <w:t>11,5</w:t>
            </w:r>
          </w:p>
        </w:tc>
        <w:tc>
          <w:tcPr>
            <w:tcW w:type="dxa" w:w="1662"/>
          </w:tcPr>
          <w:p>
            <w:pPr>
              <w:spacing w:after="0" w:line="240" w:lineRule="auto"/>
              <w:ind w:firstLine="0"/>
              <w:jc w:val="center"/>
            </w:pPr>
            <w:r>
              <w:rPr>
                <w:b w:val="0"/>
                <w:i w:val="0"/>
                <w:sz w:val="20"/>
              </w:rPr>
              <w:t>13,0</w:t>
            </w:r>
          </w:p>
        </w:tc>
        <w:tc>
          <w:tcPr>
            <w:tcW w:type="dxa" w:w="1662"/>
          </w:tcPr>
          <w:p>
            <w:pPr>
              <w:spacing w:after="0" w:line="240" w:lineRule="auto"/>
              <w:ind w:firstLine="0"/>
              <w:jc w:val="center"/>
            </w:pPr>
            <w:r>
              <w:rPr>
                <w:b w:val="0"/>
                <w:i w:val="0"/>
                <w:sz w:val="20"/>
              </w:rPr>
              <w:t>14,5</w:t>
            </w:r>
          </w:p>
        </w:tc>
        <w:tc>
          <w:tcPr>
            <w:tcW w:type="dxa" w:w="1662"/>
          </w:tcPr>
          <w:p>
            <w:pPr>
              <w:spacing w:after="0" w:line="240" w:lineRule="auto"/>
              <w:ind w:firstLine="0"/>
              <w:jc w:val="center"/>
            </w:pPr>
            <w:r>
              <w:rPr>
                <w:b w:val="0"/>
                <w:i w:val="0"/>
                <w:sz w:val="20"/>
              </w:rPr>
              <w:t>15,5</w:t>
            </w:r>
          </w:p>
        </w:tc>
      </w:tr>
      <w:tr>
        <w:tc>
          <w:tcPr>
            <w:tcW w:type="dxa" w:w="1662"/>
          </w:tcPr>
          <w:p>
            <w:pPr>
              <w:spacing w:after="0" w:line="240" w:lineRule="auto"/>
              <w:ind w:firstLine="0"/>
              <w:jc w:val="left"/>
            </w:pPr>
            <w:r>
              <w:rPr>
                <w:b w:val="0"/>
                <w:i w:val="0"/>
                <w:sz w:val="20"/>
              </w:rPr>
              <w:t>Люминофоры и лазеры</w:t>
            </w:r>
          </w:p>
        </w:tc>
        <w:tc>
          <w:tcPr>
            <w:tcW w:type="dxa" w:w="1662"/>
          </w:tcPr>
          <w:p>
            <w:pPr>
              <w:spacing w:after="0" w:line="240" w:lineRule="auto"/>
              <w:ind w:firstLine="0"/>
              <w:jc w:val="center"/>
            </w:pPr>
            <w:r>
              <w:rPr>
                <w:b w:val="0"/>
                <w:i w:val="0"/>
                <w:sz w:val="20"/>
              </w:rPr>
              <w:t>3,5</w:t>
            </w:r>
          </w:p>
        </w:tc>
        <w:tc>
          <w:tcPr>
            <w:tcW w:type="dxa" w:w="1662"/>
          </w:tcPr>
          <w:p>
            <w:pPr>
              <w:spacing w:after="0" w:line="240" w:lineRule="auto"/>
              <w:ind w:firstLine="0"/>
              <w:jc w:val="center"/>
            </w:pPr>
            <w:r>
              <w:rPr>
                <w:b w:val="0"/>
                <w:i w:val="0"/>
                <w:sz w:val="20"/>
              </w:rPr>
              <w:t>3,2</w:t>
            </w:r>
          </w:p>
        </w:tc>
        <w:tc>
          <w:tcPr>
            <w:tcW w:type="dxa" w:w="1662"/>
          </w:tcPr>
          <w:p>
            <w:pPr>
              <w:spacing w:after="0" w:line="240" w:lineRule="auto"/>
              <w:ind w:firstLine="0"/>
              <w:jc w:val="center"/>
            </w:pPr>
            <w:r>
              <w:rPr>
                <w:b w:val="0"/>
                <w:i w:val="0"/>
                <w:sz w:val="20"/>
              </w:rPr>
              <w:t>3,0</w:t>
            </w:r>
          </w:p>
        </w:tc>
        <w:tc>
          <w:tcPr>
            <w:tcW w:type="dxa" w:w="1662"/>
          </w:tcPr>
          <w:p>
            <w:pPr>
              <w:spacing w:after="0" w:line="240" w:lineRule="auto"/>
              <w:ind w:firstLine="0"/>
              <w:jc w:val="center"/>
            </w:pPr>
            <w:r>
              <w:rPr>
                <w:b w:val="0"/>
                <w:i w:val="0"/>
                <w:sz w:val="20"/>
              </w:rPr>
              <w:t>2,9</w:t>
            </w:r>
          </w:p>
        </w:tc>
        <w:tc>
          <w:tcPr>
            <w:tcW w:type="dxa" w:w="1662"/>
          </w:tcPr>
          <w:p>
            <w:pPr>
              <w:spacing w:after="0" w:line="240" w:lineRule="auto"/>
              <w:ind w:firstLine="0"/>
              <w:jc w:val="center"/>
            </w:pPr>
            <w:r>
              <w:rPr>
                <w:b w:val="0"/>
                <w:i w:val="0"/>
                <w:sz w:val="20"/>
              </w:rPr>
              <w:t>2,8</w:t>
            </w:r>
          </w:p>
        </w:tc>
      </w:tr>
      <w:tr>
        <w:tc>
          <w:tcPr>
            <w:tcW w:type="dxa" w:w="1662"/>
          </w:tcPr>
          <w:p>
            <w:pPr>
              <w:spacing w:after="0" w:line="240" w:lineRule="auto"/>
              <w:ind w:firstLine="0"/>
              <w:jc w:val="left"/>
            </w:pPr>
            <w:r>
              <w:rPr>
                <w:b w:val="0"/>
                <w:i w:val="0"/>
                <w:sz w:val="20"/>
              </w:rPr>
              <w:t>Аккумуляторы NiMH</w:t>
            </w:r>
          </w:p>
        </w:tc>
        <w:tc>
          <w:tcPr>
            <w:tcW w:type="dxa" w:w="1662"/>
          </w:tcPr>
          <w:p>
            <w:pPr>
              <w:spacing w:after="0" w:line="240" w:lineRule="auto"/>
              <w:ind w:firstLine="0"/>
              <w:jc w:val="center"/>
            </w:pPr>
            <w:r>
              <w:rPr>
                <w:b w:val="0"/>
                <w:i w:val="0"/>
                <w:sz w:val="20"/>
              </w:rPr>
              <w:t>6,5</w:t>
            </w:r>
          </w:p>
        </w:tc>
        <w:tc>
          <w:tcPr>
            <w:tcW w:type="dxa" w:w="1662"/>
          </w:tcPr>
          <w:p>
            <w:pPr>
              <w:spacing w:after="0" w:line="240" w:lineRule="auto"/>
              <w:ind w:firstLine="0"/>
              <w:jc w:val="center"/>
            </w:pPr>
            <w:r>
              <w:rPr>
                <w:b w:val="0"/>
                <w:i w:val="0"/>
                <w:sz w:val="20"/>
              </w:rPr>
              <w:t>5,0</w:t>
            </w:r>
          </w:p>
        </w:tc>
        <w:tc>
          <w:tcPr>
            <w:tcW w:type="dxa" w:w="1662"/>
          </w:tcPr>
          <w:p>
            <w:pPr>
              <w:spacing w:after="0" w:line="240" w:lineRule="auto"/>
              <w:ind w:firstLine="0"/>
              <w:jc w:val="center"/>
            </w:pPr>
            <w:r>
              <w:rPr>
                <w:b w:val="0"/>
                <w:i w:val="0"/>
                <w:sz w:val="20"/>
              </w:rPr>
              <w:t>4,0</w:t>
            </w:r>
          </w:p>
        </w:tc>
        <w:tc>
          <w:tcPr>
            <w:tcW w:type="dxa" w:w="1662"/>
          </w:tcPr>
          <w:p>
            <w:pPr>
              <w:spacing w:after="0" w:line="240" w:lineRule="auto"/>
              <w:ind w:firstLine="0"/>
              <w:jc w:val="center"/>
            </w:pPr>
            <w:r>
              <w:rPr>
                <w:b w:val="0"/>
                <w:i w:val="0"/>
                <w:sz w:val="20"/>
              </w:rPr>
              <w:t>3,2</w:t>
            </w:r>
          </w:p>
        </w:tc>
        <w:tc>
          <w:tcPr>
            <w:tcW w:type="dxa" w:w="1662"/>
          </w:tcPr>
          <w:p>
            <w:pPr>
              <w:spacing w:after="0" w:line="240" w:lineRule="auto"/>
              <w:ind w:firstLine="0"/>
              <w:jc w:val="center"/>
            </w:pPr>
            <w:r>
              <w:rPr>
                <w:b w:val="0"/>
                <w:i w:val="0"/>
                <w:sz w:val="20"/>
              </w:rPr>
              <w:t>2,8</w:t>
            </w:r>
          </w:p>
        </w:tc>
      </w:tr>
      <w:tr>
        <w:tc>
          <w:tcPr>
            <w:tcW w:type="dxa" w:w="1662"/>
          </w:tcPr>
          <w:p>
            <w:pPr>
              <w:spacing w:after="0" w:line="240" w:lineRule="auto"/>
              <w:ind w:firstLine="0"/>
              <w:jc w:val="left"/>
            </w:pPr>
            <w:r>
              <w:rPr>
                <w:b w:val="0"/>
                <w:i w:val="0"/>
                <w:sz w:val="20"/>
              </w:rPr>
              <w:t>Прочие</w:t>
            </w:r>
          </w:p>
        </w:tc>
        <w:tc>
          <w:tcPr>
            <w:tcW w:type="dxa" w:w="1662"/>
          </w:tcPr>
          <w:p>
            <w:pPr>
              <w:spacing w:after="0" w:line="240" w:lineRule="auto"/>
              <w:ind w:firstLine="0"/>
              <w:jc w:val="center"/>
            </w:pPr>
            <w:r>
              <w:rPr>
                <w:b w:val="0"/>
                <w:i w:val="0"/>
                <w:sz w:val="20"/>
              </w:rPr>
              <w:t>7,0</w:t>
            </w:r>
          </w:p>
        </w:tc>
        <w:tc>
          <w:tcPr>
            <w:tcW w:type="dxa" w:w="1662"/>
          </w:tcPr>
          <w:p>
            <w:pPr>
              <w:spacing w:after="0" w:line="240" w:lineRule="auto"/>
              <w:ind w:firstLine="0"/>
              <w:jc w:val="center"/>
            </w:pPr>
            <w:r>
              <w:rPr>
                <w:b w:val="0"/>
                <w:i w:val="0"/>
                <w:sz w:val="20"/>
              </w:rPr>
              <w:t>8,0</w:t>
            </w:r>
          </w:p>
        </w:tc>
        <w:tc>
          <w:tcPr>
            <w:tcW w:type="dxa" w:w="1662"/>
          </w:tcPr>
          <w:p>
            <w:pPr>
              <w:spacing w:after="0" w:line="240" w:lineRule="auto"/>
              <w:ind w:firstLine="0"/>
              <w:jc w:val="center"/>
            </w:pPr>
            <w:r>
              <w:rPr>
                <w:b w:val="0"/>
                <w:i w:val="0"/>
                <w:sz w:val="20"/>
              </w:rPr>
              <w:t>9,5</w:t>
            </w:r>
          </w:p>
        </w:tc>
        <w:tc>
          <w:tcPr>
            <w:tcW w:type="dxa" w:w="1662"/>
          </w:tcPr>
          <w:p>
            <w:pPr>
              <w:spacing w:after="0" w:line="240" w:lineRule="auto"/>
              <w:ind w:firstLine="0"/>
              <w:jc w:val="center"/>
            </w:pPr>
            <w:r>
              <w:rPr>
                <w:b w:val="0"/>
                <w:i w:val="0"/>
                <w:sz w:val="20"/>
              </w:rPr>
              <w:t>11,0</w:t>
            </w:r>
          </w:p>
        </w:tc>
        <w:tc>
          <w:tcPr>
            <w:tcW w:type="dxa" w:w="1662"/>
          </w:tcPr>
          <w:p>
            <w:pPr>
              <w:spacing w:after="0" w:line="240" w:lineRule="auto"/>
              <w:ind w:firstLine="0"/>
              <w:jc w:val="center"/>
            </w:pPr>
            <w:r>
              <w:rPr>
                <w:b w:val="0"/>
                <w:i w:val="0"/>
                <w:sz w:val="20"/>
              </w:rPr>
              <w:t>12,0</w:t>
            </w:r>
          </w:p>
        </w:tc>
      </w:tr>
      <w:tr>
        <w:tc>
          <w:tcPr>
            <w:tcW w:type="dxa" w:w="1662"/>
          </w:tcPr>
          <w:p>
            <w:pPr>
              <w:spacing w:after="0" w:line="240" w:lineRule="auto"/>
              <w:ind w:firstLine="0"/>
              <w:jc w:val="left"/>
            </w:pPr>
            <w:r>
              <w:rPr>
                <w:b/>
                <w:i w:val="0"/>
                <w:sz w:val="20"/>
              </w:rPr>
              <w:t>Всего</w:t>
            </w:r>
          </w:p>
        </w:tc>
        <w:tc>
          <w:tcPr>
            <w:tcW w:type="dxa" w:w="1662"/>
          </w:tcPr>
          <w:p>
            <w:pPr>
              <w:spacing w:after="0" w:line="240" w:lineRule="auto"/>
              <w:ind w:firstLine="0"/>
              <w:jc w:val="center"/>
            </w:pPr>
            <w:r>
              <w:rPr>
                <w:b/>
                <w:i w:val="0"/>
                <w:sz w:val="20"/>
              </w:rPr>
              <w:t>198,0</w:t>
            </w:r>
          </w:p>
        </w:tc>
        <w:tc>
          <w:tcPr>
            <w:tcW w:type="dxa" w:w="1662"/>
          </w:tcPr>
          <w:p>
            <w:pPr>
              <w:spacing w:after="0" w:line="240" w:lineRule="auto"/>
              <w:ind w:firstLine="0"/>
              <w:jc w:val="center"/>
            </w:pPr>
            <w:r>
              <w:rPr>
                <w:b/>
                <w:i w:val="0"/>
                <w:sz w:val="20"/>
              </w:rPr>
              <w:t>234,7</w:t>
            </w:r>
          </w:p>
        </w:tc>
        <w:tc>
          <w:tcPr>
            <w:tcW w:type="dxa" w:w="1662"/>
          </w:tcPr>
          <w:p>
            <w:pPr>
              <w:spacing w:after="0" w:line="240" w:lineRule="auto"/>
              <w:ind w:firstLine="0"/>
              <w:jc w:val="center"/>
            </w:pPr>
            <w:r>
              <w:rPr>
                <w:b/>
                <w:i w:val="0"/>
                <w:sz w:val="20"/>
              </w:rPr>
              <w:t>280,0</w:t>
            </w:r>
          </w:p>
        </w:tc>
        <w:tc>
          <w:tcPr>
            <w:tcW w:type="dxa" w:w="1662"/>
          </w:tcPr>
          <w:p>
            <w:pPr>
              <w:spacing w:after="0" w:line="240" w:lineRule="auto"/>
              <w:ind w:firstLine="0"/>
              <w:jc w:val="center"/>
            </w:pPr>
            <w:r>
              <w:rPr>
                <w:b/>
                <w:i w:val="0"/>
                <w:sz w:val="20"/>
              </w:rPr>
              <w:t>323,1</w:t>
            </w:r>
          </w:p>
        </w:tc>
        <w:tc>
          <w:tcPr>
            <w:tcW w:type="dxa" w:w="1662"/>
          </w:tcPr>
          <w:p>
            <w:pPr>
              <w:spacing w:after="0" w:line="240" w:lineRule="auto"/>
              <w:ind w:firstLine="0"/>
              <w:jc w:val="center"/>
            </w:pPr>
            <w:r>
              <w:rPr>
                <w:b/>
                <w:i w:val="0"/>
                <w:sz w:val="20"/>
              </w:rPr>
              <w:t>352,6</w:t>
            </w:r>
          </w:p>
        </w:tc>
      </w:tr>
    </w:tbl>
    <w:p>
      <w:pPr>
        <w:spacing w:after="180"/>
        <w:ind w:firstLine="0"/>
      </w:pPr>
      <w:r>
        <w:rPr>
          <w:i/>
          <w:sz w:val="20"/>
        </w:rPr>
        <w:t>Источник: прогноз аналитического центра</w:t>
      </w:r>
    </w:p>
    <w:p>
      <w:pPr>
        <w:keepNext/>
        <w:spacing w:before="160" w:after="60"/>
        <w:ind w:firstLine="0"/>
        <w:jc w:val="left"/>
      </w:pPr>
      <w:r>
        <w:rPr>
          <w:b/>
          <w:sz w:val="22"/>
        </w:rPr>
        <w:t>Рисунок 44. Прогноз мирового спроса на РЗМ по сценариям, 2024–2035 гг., тыс. т TREO</w:t>
      </w:r>
    </w:p>
    <w:p>
      <w:pPr>
        <w:ind w:firstLine="0"/>
        <w:jc w:val="center"/>
      </w:pPr>
      <w:r>
        <w:drawing>
          <wp:inline xmlns:a="http://schemas.openxmlformats.org/drawingml/2006/main" xmlns:pic="http://schemas.openxmlformats.org/drawingml/2006/picture">
            <wp:extent cx="5580000" cy="2731327"/>
            <wp:docPr id="44" name="Picture 44"/>
            <wp:cNvGraphicFramePr>
              <a:graphicFrameLocks noChangeAspect="1"/>
            </wp:cNvGraphicFramePr>
            <a:graphic>
              <a:graphicData uri="http://schemas.openxmlformats.org/drawingml/2006/picture">
                <pic:pic>
                  <pic:nvPicPr>
                    <pic:cNvPr id="0" name="fig44.png"/>
                    <pic:cNvPicPr/>
                  </pic:nvPicPr>
                  <pic:blipFill>
                    <a:blip r:embed="rId54"/>
                    <a:stretch>
                      <a:fillRect/>
                    </a:stretch>
                  </pic:blipFill>
                  <pic:spPr>
                    <a:xfrm>
                      <a:off x="0" y="0"/>
                      <a:ext cx="5580000" cy="2731327"/>
                    </a:xfrm>
                    <a:prstGeom prst="rect"/>
                  </pic:spPr>
                </pic:pic>
              </a:graphicData>
            </a:graphic>
          </wp:inline>
        </w:drawing>
      </w:r>
    </w:p>
    <w:p>
      <w:pPr>
        <w:spacing w:after="180"/>
        <w:ind w:firstLine="0"/>
      </w:pPr>
      <w:r>
        <w:rPr>
          <w:i/>
          <w:sz w:val="20"/>
        </w:rPr>
        <w:t>Источник: прогноз аналитического центра</w:t>
      </w:r>
    </w:p>
    <w:p>
      <w:r>
        <w:rPr>
          <w:b w:val="0"/>
          <w:i w:val="0"/>
        </w:rPr>
        <w:t>Ключевым фактором расхождения сценариев является динамика электротранспорта. При консервативном допущении (среднегодовой прирост 6%) спрос на NdPr со стороны сегмента к 2035 г. составит около 12,5 тыс. т, при оптимистическом (16%) — свыше 26 тыс. т. Различие в 13,5 тыс. т NdPr эквивалентно трём производствам масштаба Mountain Pass.</w:t>
      </w:r>
    </w:p>
    <w:p>
      <w:r>
        <w:rPr>
          <w:b w:val="0"/>
          <w:i w:val="0"/>
        </w:rPr>
        <w:t>Дополнительным источником неопределённости, не учтённым в базовом сценарии, является потенциальный спрос со стороны человекоподобной робототехники. При реализации заявленных ведущими производителями планов (совокупно свыше 1 млн единиц в год к 2032–2035 гг.) дополнительный спрос составит 3–5 тыс. т NdPr в год, что сопоставимо с годовым производством Lynas. Ввиду высокой неопределённости этих планов данный компонент отнесён к оптимистическому сценарию.</w:t>
      </w:r>
    </w:p>
    <w:p>
      <w:pPr>
        <w:keepNext/>
        <w:spacing w:before="160" w:after="60"/>
        <w:ind w:firstLine="0"/>
        <w:jc w:val="left"/>
      </w:pPr>
      <w:r>
        <w:rPr>
          <w:b/>
          <w:sz w:val="22"/>
        </w:rPr>
        <w:t>Таблица 57. Прогноз мирового спроса на ключевые элементы до 2035 г., т оксида (базовый сценарий)</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Элемент</w:t>
            </w:r>
          </w:p>
        </w:tc>
        <w:tc>
          <w:tcPr>
            <w:tcW w:type="dxa" w:w="1662"/>
            <w:shd w:val="clear" w:fill="DCE6F1"/>
          </w:tcPr>
          <w:p>
            <w:pPr>
              <w:spacing w:after="0" w:line="240" w:lineRule="auto"/>
              <w:ind w:firstLine="0"/>
              <w:jc w:val="center"/>
            </w:pPr>
            <w:r>
              <w:rPr>
                <w:b/>
                <w:i w:val="0"/>
                <w:sz w:val="20"/>
              </w:rPr>
              <w:t>2024</w:t>
            </w:r>
          </w:p>
        </w:tc>
        <w:tc>
          <w:tcPr>
            <w:tcW w:type="dxa" w:w="1662"/>
            <w:shd w:val="clear" w:fill="DCE6F1"/>
          </w:tcPr>
          <w:p>
            <w:pPr>
              <w:spacing w:after="0" w:line="240" w:lineRule="auto"/>
              <w:ind w:firstLine="0"/>
              <w:jc w:val="center"/>
            </w:pPr>
            <w:r>
              <w:rPr>
                <w:b/>
                <w:i w:val="0"/>
                <w:sz w:val="20"/>
              </w:rPr>
              <w:t>2027</w:t>
            </w:r>
          </w:p>
        </w:tc>
        <w:tc>
          <w:tcPr>
            <w:tcW w:type="dxa" w:w="1662"/>
            <w:shd w:val="clear" w:fill="DCE6F1"/>
          </w:tcPr>
          <w:p>
            <w:pPr>
              <w:spacing w:after="0" w:line="240" w:lineRule="auto"/>
              <w:ind w:firstLine="0"/>
              <w:jc w:val="center"/>
            </w:pPr>
            <w:r>
              <w:rPr>
                <w:b/>
                <w:i w:val="0"/>
                <w:sz w:val="20"/>
              </w:rPr>
              <w:t>2030</w:t>
            </w:r>
          </w:p>
        </w:tc>
        <w:tc>
          <w:tcPr>
            <w:tcW w:type="dxa" w:w="1662"/>
            <w:shd w:val="clear" w:fill="DCE6F1"/>
          </w:tcPr>
          <w:p>
            <w:pPr>
              <w:spacing w:after="0" w:line="240" w:lineRule="auto"/>
              <w:ind w:firstLine="0"/>
              <w:jc w:val="center"/>
            </w:pPr>
            <w:r>
              <w:rPr>
                <w:b/>
                <w:i w:val="0"/>
                <w:sz w:val="20"/>
              </w:rPr>
              <w:t>2033</w:t>
            </w:r>
          </w:p>
        </w:tc>
        <w:tc>
          <w:tcPr>
            <w:tcW w:type="dxa" w:w="1662"/>
            <w:shd w:val="clear" w:fill="DCE6F1"/>
          </w:tcPr>
          <w:p>
            <w:pPr>
              <w:spacing w:after="0" w:line="240" w:lineRule="auto"/>
              <w:ind w:firstLine="0"/>
              <w:jc w:val="center"/>
            </w:pPr>
            <w:r>
              <w:rPr>
                <w:b/>
                <w:i w:val="0"/>
                <w:sz w:val="20"/>
              </w:rPr>
              <w:t>2035</w:t>
            </w:r>
          </w:p>
        </w:tc>
      </w:tr>
      <w:tr>
        <w:tc>
          <w:tcPr>
            <w:tcW w:type="dxa" w:w="1662"/>
          </w:tcPr>
          <w:p>
            <w:pPr>
              <w:spacing w:after="0" w:line="240" w:lineRule="auto"/>
              <w:ind w:firstLine="0"/>
              <w:jc w:val="left"/>
            </w:pPr>
            <w:r>
              <w:rPr>
                <w:b w:val="0"/>
                <w:i w:val="0"/>
                <w:sz w:val="20"/>
              </w:rPr>
              <w:t>Nd₂O₃</w:t>
            </w:r>
          </w:p>
        </w:tc>
        <w:tc>
          <w:tcPr>
            <w:tcW w:type="dxa" w:w="1662"/>
          </w:tcPr>
          <w:p>
            <w:pPr>
              <w:spacing w:after="0" w:line="240" w:lineRule="auto"/>
              <w:ind w:firstLine="0"/>
              <w:jc w:val="center"/>
            </w:pPr>
            <w:r>
              <w:rPr>
                <w:b w:val="0"/>
                <w:i w:val="0"/>
                <w:sz w:val="20"/>
              </w:rPr>
              <w:t>43 000</w:t>
            </w:r>
          </w:p>
        </w:tc>
        <w:tc>
          <w:tcPr>
            <w:tcW w:type="dxa" w:w="1662"/>
          </w:tcPr>
          <w:p>
            <w:pPr>
              <w:spacing w:after="0" w:line="240" w:lineRule="auto"/>
              <w:ind w:firstLine="0"/>
              <w:jc w:val="center"/>
            </w:pPr>
            <w:r>
              <w:rPr>
                <w:b w:val="0"/>
                <w:i w:val="0"/>
                <w:sz w:val="20"/>
              </w:rPr>
              <w:t>57 000</w:t>
            </w:r>
          </w:p>
        </w:tc>
        <w:tc>
          <w:tcPr>
            <w:tcW w:type="dxa" w:w="1662"/>
          </w:tcPr>
          <w:p>
            <w:pPr>
              <w:spacing w:after="0" w:line="240" w:lineRule="auto"/>
              <w:ind w:firstLine="0"/>
              <w:jc w:val="center"/>
            </w:pPr>
            <w:r>
              <w:rPr>
                <w:b w:val="0"/>
                <w:i w:val="0"/>
                <w:sz w:val="20"/>
              </w:rPr>
              <w:t>72 000</w:t>
            </w:r>
          </w:p>
        </w:tc>
        <w:tc>
          <w:tcPr>
            <w:tcW w:type="dxa" w:w="1662"/>
          </w:tcPr>
          <w:p>
            <w:pPr>
              <w:spacing w:after="0" w:line="240" w:lineRule="auto"/>
              <w:ind w:firstLine="0"/>
              <w:jc w:val="center"/>
            </w:pPr>
            <w:r>
              <w:rPr>
                <w:b w:val="0"/>
                <w:i w:val="0"/>
                <w:sz w:val="20"/>
              </w:rPr>
              <w:t>87 000</w:t>
            </w:r>
          </w:p>
        </w:tc>
        <w:tc>
          <w:tcPr>
            <w:tcW w:type="dxa" w:w="1662"/>
          </w:tcPr>
          <w:p>
            <w:pPr>
              <w:spacing w:after="0" w:line="240" w:lineRule="auto"/>
              <w:ind w:firstLine="0"/>
              <w:jc w:val="center"/>
            </w:pPr>
            <w:r>
              <w:rPr>
                <w:b w:val="0"/>
                <w:i w:val="0"/>
                <w:sz w:val="20"/>
              </w:rPr>
              <w:t>97 000</w:t>
            </w:r>
          </w:p>
        </w:tc>
      </w:tr>
      <w:tr>
        <w:tc>
          <w:tcPr>
            <w:tcW w:type="dxa" w:w="1662"/>
          </w:tcPr>
          <w:p>
            <w:pPr>
              <w:spacing w:after="0" w:line="240" w:lineRule="auto"/>
              <w:ind w:firstLine="0"/>
              <w:jc w:val="left"/>
            </w:pPr>
            <w:r>
              <w:rPr>
                <w:b w:val="0"/>
                <w:i w:val="0"/>
                <w:sz w:val="20"/>
              </w:rPr>
              <w:t>Pr₆O₁₁</w:t>
            </w:r>
          </w:p>
        </w:tc>
        <w:tc>
          <w:tcPr>
            <w:tcW w:type="dxa" w:w="1662"/>
          </w:tcPr>
          <w:p>
            <w:pPr>
              <w:spacing w:after="0" w:line="240" w:lineRule="auto"/>
              <w:ind w:firstLine="0"/>
              <w:jc w:val="center"/>
            </w:pPr>
            <w:r>
              <w:rPr>
                <w:b w:val="0"/>
                <w:i w:val="0"/>
                <w:sz w:val="20"/>
              </w:rPr>
              <w:t>12 000</w:t>
            </w:r>
          </w:p>
        </w:tc>
        <w:tc>
          <w:tcPr>
            <w:tcW w:type="dxa" w:w="1662"/>
          </w:tcPr>
          <w:p>
            <w:pPr>
              <w:spacing w:after="0" w:line="240" w:lineRule="auto"/>
              <w:ind w:firstLine="0"/>
              <w:jc w:val="center"/>
            </w:pPr>
            <w:r>
              <w:rPr>
                <w:b w:val="0"/>
                <w:i w:val="0"/>
                <w:sz w:val="20"/>
              </w:rPr>
              <w:t>16 000</w:t>
            </w:r>
          </w:p>
        </w:tc>
        <w:tc>
          <w:tcPr>
            <w:tcW w:type="dxa" w:w="1662"/>
          </w:tcPr>
          <w:p>
            <w:pPr>
              <w:spacing w:after="0" w:line="240" w:lineRule="auto"/>
              <w:ind w:firstLine="0"/>
              <w:jc w:val="center"/>
            </w:pPr>
            <w:r>
              <w:rPr>
                <w:b w:val="0"/>
                <w:i w:val="0"/>
                <w:sz w:val="20"/>
              </w:rPr>
              <w:t>20 000</w:t>
            </w:r>
          </w:p>
        </w:tc>
        <w:tc>
          <w:tcPr>
            <w:tcW w:type="dxa" w:w="1662"/>
          </w:tcPr>
          <w:p>
            <w:pPr>
              <w:spacing w:after="0" w:line="240" w:lineRule="auto"/>
              <w:ind w:firstLine="0"/>
              <w:jc w:val="center"/>
            </w:pPr>
            <w:r>
              <w:rPr>
                <w:b w:val="0"/>
                <w:i w:val="0"/>
                <w:sz w:val="20"/>
              </w:rPr>
              <w:t>24 500</w:t>
            </w:r>
          </w:p>
        </w:tc>
        <w:tc>
          <w:tcPr>
            <w:tcW w:type="dxa" w:w="1662"/>
          </w:tcPr>
          <w:p>
            <w:pPr>
              <w:spacing w:after="0" w:line="240" w:lineRule="auto"/>
              <w:ind w:firstLine="0"/>
              <w:jc w:val="center"/>
            </w:pPr>
            <w:r>
              <w:rPr>
                <w:b w:val="0"/>
                <w:i w:val="0"/>
                <w:sz w:val="20"/>
              </w:rPr>
              <w:t>27 500</w:t>
            </w:r>
          </w:p>
        </w:tc>
      </w:tr>
      <w:tr>
        <w:tc>
          <w:tcPr>
            <w:tcW w:type="dxa" w:w="1662"/>
          </w:tcPr>
          <w:p>
            <w:pPr>
              <w:spacing w:after="0" w:line="240" w:lineRule="auto"/>
              <w:ind w:firstLine="0"/>
              <w:jc w:val="left"/>
            </w:pPr>
            <w:r>
              <w:rPr>
                <w:b w:val="0"/>
                <w:i w:val="0"/>
                <w:sz w:val="20"/>
              </w:rPr>
              <w:t>La₂O₃</w:t>
            </w:r>
          </w:p>
        </w:tc>
        <w:tc>
          <w:tcPr>
            <w:tcW w:type="dxa" w:w="1662"/>
          </w:tcPr>
          <w:p>
            <w:pPr>
              <w:spacing w:after="0" w:line="240" w:lineRule="auto"/>
              <w:ind w:firstLine="0"/>
              <w:jc w:val="center"/>
            </w:pPr>
            <w:r>
              <w:rPr>
                <w:b w:val="0"/>
                <w:i w:val="0"/>
                <w:sz w:val="20"/>
              </w:rPr>
              <w:t>55 000</w:t>
            </w:r>
          </w:p>
        </w:tc>
        <w:tc>
          <w:tcPr>
            <w:tcW w:type="dxa" w:w="1662"/>
          </w:tcPr>
          <w:p>
            <w:pPr>
              <w:spacing w:after="0" w:line="240" w:lineRule="auto"/>
              <w:ind w:firstLine="0"/>
              <w:jc w:val="center"/>
            </w:pPr>
            <w:r>
              <w:rPr>
                <w:b w:val="0"/>
                <w:i w:val="0"/>
                <w:sz w:val="20"/>
              </w:rPr>
              <w:t>53 500</w:t>
            </w:r>
          </w:p>
        </w:tc>
        <w:tc>
          <w:tcPr>
            <w:tcW w:type="dxa" w:w="1662"/>
          </w:tcPr>
          <w:p>
            <w:pPr>
              <w:spacing w:after="0" w:line="240" w:lineRule="auto"/>
              <w:ind w:firstLine="0"/>
              <w:jc w:val="center"/>
            </w:pPr>
            <w:r>
              <w:rPr>
                <w:b w:val="0"/>
                <w:i w:val="0"/>
                <w:sz w:val="20"/>
              </w:rPr>
              <w:t>52 000</w:t>
            </w:r>
          </w:p>
        </w:tc>
        <w:tc>
          <w:tcPr>
            <w:tcW w:type="dxa" w:w="1662"/>
          </w:tcPr>
          <w:p>
            <w:pPr>
              <w:spacing w:after="0" w:line="240" w:lineRule="auto"/>
              <w:ind w:firstLine="0"/>
              <w:jc w:val="center"/>
            </w:pPr>
            <w:r>
              <w:rPr>
                <w:b w:val="0"/>
                <w:i w:val="0"/>
                <w:sz w:val="20"/>
              </w:rPr>
              <w:t>51 000</w:t>
            </w:r>
          </w:p>
        </w:tc>
        <w:tc>
          <w:tcPr>
            <w:tcW w:type="dxa" w:w="1662"/>
          </w:tcPr>
          <w:p>
            <w:pPr>
              <w:spacing w:after="0" w:line="240" w:lineRule="auto"/>
              <w:ind w:firstLine="0"/>
              <w:jc w:val="center"/>
            </w:pPr>
            <w:r>
              <w:rPr>
                <w:b w:val="0"/>
                <w:i w:val="0"/>
                <w:sz w:val="20"/>
              </w:rPr>
              <w:t>50 500</w:t>
            </w:r>
          </w:p>
        </w:tc>
      </w:tr>
      <w:tr>
        <w:tc>
          <w:tcPr>
            <w:tcW w:type="dxa" w:w="1662"/>
          </w:tcPr>
          <w:p>
            <w:pPr>
              <w:spacing w:after="0" w:line="240" w:lineRule="auto"/>
              <w:ind w:firstLine="0"/>
              <w:jc w:val="left"/>
            </w:pPr>
            <w:r>
              <w:rPr>
                <w:b w:val="0"/>
                <w:i w:val="0"/>
                <w:sz w:val="20"/>
              </w:rPr>
              <w:t>CeO₂</w:t>
            </w:r>
          </w:p>
        </w:tc>
        <w:tc>
          <w:tcPr>
            <w:tcW w:type="dxa" w:w="1662"/>
          </w:tcPr>
          <w:p>
            <w:pPr>
              <w:spacing w:after="0" w:line="240" w:lineRule="auto"/>
              <w:ind w:firstLine="0"/>
              <w:jc w:val="center"/>
            </w:pPr>
            <w:r>
              <w:rPr>
                <w:b w:val="0"/>
                <w:i w:val="0"/>
                <w:sz w:val="20"/>
              </w:rPr>
              <w:t>62 000</w:t>
            </w:r>
          </w:p>
        </w:tc>
        <w:tc>
          <w:tcPr>
            <w:tcW w:type="dxa" w:w="1662"/>
          </w:tcPr>
          <w:p>
            <w:pPr>
              <w:spacing w:after="0" w:line="240" w:lineRule="auto"/>
              <w:ind w:firstLine="0"/>
              <w:jc w:val="center"/>
            </w:pPr>
            <w:r>
              <w:rPr>
                <w:b w:val="0"/>
                <w:i w:val="0"/>
                <w:sz w:val="20"/>
              </w:rPr>
              <w:t>61 000</w:t>
            </w:r>
          </w:p>
        </w:tc>
        <w:tc>
          <w:tcPr>
            <w:tcW w:type="dxa" w:w="1662"/>
          </w:tcPr>
          <w:p>
            <w:pPr>
              <w:spacing w:after="0" w:line="240" w:lineRule="auto"/>
              <w:ind w:firstLine="0"/>
              <w:jc w:val="center"/>
            </w:pPr>
            <w:r>
              <w:rPr>
                <w:b w:val="0"/>
                <w:i w:val="0"/>
                <w:sz w:val="20"/>
              </w:rPr>
              <w:t>60 000</w:t>
            </w:r>
          </w:p>
        </w:tc>
        <w:tc>
          <w:tcPr>
            <w:tcW w:type="dxa" w:w="1662"/>
          </w:tcPr>
          <w:p>
            <w:pPr>
              <w:spacing w:after="0" w:line="240" w:lineRule="auto"/>
              <w:ind w:firstLine="0"/>
              <w:jc w:val="center"/>
            </w:pPr>
            <w:r>
              <w:rPr>
                <w:b w:val="0"/>
                <w:i w:val="0"/>
                <w:sz w:val="20"/>
              </w:rPr>
              <w:t>59 500</w:t>
            </w:r>
          </w:p>
        </w:tc>
        <w:tc>
          <w:tcPr>
            <w:tcW w:type="dxa" w:w="1662"/>
          </w:tcPr>
          <w:p>
            <w:pPr>
              <w:spacing w:after="0" w:line="240" w:lineRule="auto"/>
              <w:ind w:firstLine="0"/>
              <w:jc w:val="center"/>
            </w:pPr>
            <w:r>
              <w:rPr>
                <w:b w:val="0"/>
                <w:i w:val="0"/>
                <w:sz w:val="20"/>
              </w:rPr>
              <w:t>59 000</w:t>
            </w:r>
          </w:p>
        </w:tc>
      </w:tr>
      <w:tr>
        <w:tc>
          <w:tcPr>
            <w:tcW w:type="dxa" w:w="1662"/>
          </w:tcPr>
          <w:p>
            <w:pPr>
              <w:spacing w:after="0" w:line="240" w:lineRule="auto"/>
              <w:ind w:firstLine="0"/>
              <w:jc w:val="left"/>
            </w:pPr>
            <w:r>
              <w:rPr>
                <w:b w:val="0"/>
                <w:i w:val="0"/>
                <w:sz w:val="20"/>
              </w:rPr>
              <w:t>Sm₂O₃</w:t>
            </w:r>
          </w:p>
        </w:tc>
        <w:tc>
          <w:tcPr>
            <w:tcW w:type="dxa" w:w="1662"/>
          </w:tcPr>
          <w:p>
            <w:pPr>
              <w:spacing w:after="0" w:line="240" w:lineRule="auto"/>
              <w:ind w:firstLine="0"/>
              <w:jc w:val="center"/>
            </w:pPr>
            <w:r>
              <w:rPr>
                <w:b w:val="0"/>
                <w:i w:val="0"/>
                <w:sz w:val="20"/>
              </w:rPr>
              <w:t>3 200</w:t>
            </w:r>
          </w:p>
        </w:tc>
        <w:tc>
          <w:tcPr>
            <w:tcW w:type="dxa" w:w="1662"/>
          </w:tcPr>
          <w:p>
            <w:pPr>
              <w:spacing w:after="0" w:line="240" w:lineRule="auto"/>
              <w:ind w:firstLine="0"/>
              <w:jc w:val="center"/>
            </w:pPr>
            <w:r>
              <w:rPr>
                <w:b w:val="0"/>
                <w:i w:val="0"/>
                <w:sz w:val="20"/>
              </w:rPr>
              <w:t>3 800</w:t>
            </w:r>
          </w:p>
        </w:tc>
        <w:tc>
          <w:tcPr>
            <w:tcW w:type="dxa" w:w="1662"/>
          </w:tcPr>
          <w:p>
            <w:pPr>
              <w:spacing w:after="0" w:line="240" w:lineRule="auto"/>
              <w:ind w:firstLine="0"/>
              <w:jc w:val="center"/>
            </w:pPr>
            <w:r>
              <w:rPr>
                <w:b w:val="0"/>
                <w:i w:val="0"/>
                <w:sz w:val="20"/>
              </w:rPr>
              <w:t>4 400</w:t>
            </w:r>
          </w:p>
        </w:tc>
        <w:tc>
          <w:tcPr>
            <w:tcW w:type="dxa" w:w="1662"/>
          </w:tcPr>
          <w:p>
            <w:pPr>
              <w:spacing w:after="0" w:line="240" w:lineRule="auto"/>
              <w:ind w:firstLine="0"/>
              <w:jc w:val="center"/>
            </w:pPr>
            <w:r>
              <w:rPr>
                <w:b w:val="0"/>
                <w:i w:val="0"/>
                <w:sz w:val="20"/>
              </w:rPr>
              <w:t>5 000</w:t>
            </w:r>
          </w:p>
        </w:tc>
        <w:tc>
          <w:tcPr>
            <w:tcW w:type="dxa" w:w="1662"/>
          </w:tcPr>
          <w:p>
            <w:pPr>
              <w:spacing w:after="0" w:line="240" w:lineRule="auto"/>
              <w:ind w:firstLine="0"/>
              <w:jc w:val="center"/>
            </w:pPr>
            <w:r>
              <w:rPr>
                <w:b w:val="0"/>
                <w:i w:val="0"/>
                <w:sz w:val="20"/>
              </w:rPr>
              <w:t>5 400</w:t>
            </w:r>
          </w:p>
        </w:tc>
      </w:tr>
      <w:tr>
        <w:tc>
          <w:tcPr>
            <w:tcW w:type="dxa" w:w="1662"/>
          </w:tcPr>
          <w:p>
            <w:pPr>
              <w:spacing w:after="0" w:line="240" w:lineRule="auto"/>
              <w:ind w:firstLine="0"/>
              <w:jc w:val="left"/>
            </w:pPr>
            <w:r>
              <w:rPr>
                <w:b w:val="0"/>
                <w:i w:val="0"/>
                <w:sz w:val="20"/>
              </w:rPr>
              <w:t>Gd₂O₃</w:t>
            </w:r>
          </w:p>
        </w:tc>
        <w:tc>
          <w:tcPr>
            <w:tcW w:type="dxa" w:w="1662"/>
          </w:tcPr>
          <w:p>
            <w:pPr>
              <w:spacing w:after="0" w:line="240" w:lineRule="auto"/>
              <w:ind w:firstLine="0"/>
              <w:jc w:val="center"/>
            </w:pPr>
            <w:r>
              <w:rPr>
                <w:b w:val="0"/>
                <w:i w:val="0"/>
                <w:sz w:val="20"/>
              </w:rPr>
              <w:t>4 100</w:t>
            </w:r>
          </w:p>
        </w:tc>
        <w:tc>
          <w:tcPr>
            <w:tcW w:type="dxa" w:w="1662"/>
          </w:tcPr>
          <w:p>
            <w:pPr>
              <w:spacing w:after="0" w:line="240" w:lineRule="auto"/>
              <w:ind w:firstLine="0"/>
              <w:jc w:val="center"/>
            </w:pPr>
            <w:r>
              <w:rPr>
                <w:b w:val="0"/>
                <w:i w:val="0"/>
                <w:sz w:val="20"/>
              </w:rPr>
              <w:t>4 700</w:t>
            </w:r>
          </w:p>
        </w:tc>
        <w:tc>
          <w:tcPr>
            <w:tcW w:type="dxa" w:w="1662"/>
          </w:tcPr>
          <w:p>
            <w:pPr>
              <w:spacing w:after="0" w:line="240" w:lineRule="auto"/>
              <w:ind w:firstLine="0"/>
              <w:jc w:val="center"/>
            </w:pPr>
            <w:r>
              <w:rPr>
                <w:b w:val="0"/>
                <w:i w:val="0"/>
                <w:sz w:val="20"/>
              </w:rPr>
              <w:t>5 300</w:t>
            </w:r>
          </w:p>
        </w:tc>
        <w:tc>
          <w:tcPr>
            <w:tcW w:type="dxa" w:w="1662"/>
          </w:tcPr>
          <w:p>
            <w:pPr>
              <w:spacing w:after="0" w:line="240" w:lineRule="auto"/>
              <w:ind w:firstLine="0"/>
              <w:jc w:val="center"/>
            </w:pPr>
            <w:r>
              <w:rPr>
                <w:b w:val="0"/>
                <w:i w:val="0"/>
                <w:sz w:val="20"/>
              </w:rPr>
              <w:t>5 900</w:t>
            </w:r>
          </w:p>
        </w:tc>
        <w:tc>
          <w:tcPr>
            <w:tcW w:type="dxa" w:w="1662"/>
          </w:tcPr>
          <w:p>
            <w:pPr>
              <w:spacing w:after="0" w:line="240" w:lineRule="auto"/>
              <w:ind w:firstLine="0"/>
              <w:jc w:val="center"/>
            </w:pPr>
            <w:r>
              <w:rPr>
                <w:b w:val="0"/>
                <w:i w:val="0"/>
                <w:sz w:val="20"/>
              </w:rPr>
              <w:t>6 300</w:t>
            </w:r>
          </w:p>
        </w:tc>
      </w:tr>
      <w:tr>
        <w:tc>
          <w:tcPr>
            <w:tcW w:type="dxa" w:w="1662"/>
          </w:tcPr>
          <w:p>
            <w:pPr>
              <w:spacing w:after="0" w:line="240" w:lineRule="auto"/>
              <w:ind w:firstLine="0"/>
              <w:jc w:val="left"/>
            </w:pPr>
            <w:r>
              <w:rPr>
                <w:b w:val="0"/>
                <w:i w:val="0"/>
                <w:sz w:val="20"/>
              </w:rPr>
              <w:t>Tb₄O₇</w:t>
            </w:r>
          </w:p>
        </w:tc>
        <w:tc>
          <w:tcPr>
            <w:tcW w:type="dxa" w:w="1662"/>
          </w:tcPr>
          <w:p>
            <w:pPr>
              <w:spacing w:after="0" w:line="240" w:lineRule="auto"/>
              <w:ind w:firstLine="0"/>
              <w:jc w:val="center"/>
            </w:pPr>
            <w:r>
              <w:rPr>
                <w:b w:val="0"/>
                <w:i w:val="0"/>
                <w:sz w:val="20"/>
              </w:rPr>
              <w:t>900</w:t>
            </w:r>
          </w:p>
        </w:tc>
        <w:tc>
          <w:tcPr>
            <w:tcW w:type="dxa" w:w="1662"/>
          </w:tcPr>
          <w:p>
            <w:pPr>
              <w:spacing w:after="0" w:line="240" w:lineRule="auto"/>
              <w:ind w:firstLine="0"/>
              <w:jc w:val="center"/>
            </w:pPr>
            <w:r>
              <w:rPr>
                <w:b w:val="0"/>
                <w:i w:val="0"/>
                <w:sz w:val="20"/>
              </w:rPr>
              <w:t>1 180</w:t>
            </w:r>
          </w:p>
        </w:tc>
        <w:tc>
          <w:tcPr>
            <w:tcW w:type="dxa" w:w="1662"/>
          </w:tcPr>
          <w:p>
            <w:pPr>
              <w:spacing w:after="0" w:line="240" w:lineRule="auto"/>
              <w:ind w:firstLine="0"/>
              <w:jc w:val="center"/>
            </w:pPr>
            <w:r>
              <w:rPr>
                <w:b w:val="0"/>
                <w:i w:val="0"/>
                <w:sz w:val="20"/>
              </w:rPr>
              <w:t>1 450</w:t>
            </w:r>
          </w:p>
        </w:tc>
        <w:tc>
          <w:tcPr>
            <w:tcW w:type="dxa" w:w="1662"/>
          </w:tcPr>
          <w:p>
            <w:pPr>
              <w:spacing w:after="0" w:line="240" w:lineRule="auto"/>
              <w:ind w:firstLine="0"/>
              <w:jc w:val="center"/>
            </w:pPr>
            <w:r>
              <w:rPr>
                <w:b w:val="0"/>
                <w:i w:val="0"/>
                <w:sz w:val="20"/>
              </w:rPr>
              <w:t>1 720</w:t>
            </w:r>
          </w:p>
        </w:tc>
        <w:tc>
          <w:tcPr>
            <w:tcW w:type="dxa" w:w="1662"/>
          </w:tcPr>
          <w:p>
            <w:pPr>
              <w:spacing w:after="0" w:line="240" w:lineRule="auto"/>
              <w:ind w:firstLine="0"/>
              <w:jc w:val="center"/>
            </w:pPr>
            <w:r>
              <w:rPr>
                <w:b w:val="0"/>
                <w:i w:val="0"/>
                <w:sz w:val="20"/>
              </w:rPr>
              <w:t>1 890</w:t>
            </w:r>
          </w:p>
        </w:tc>
      </w:tr>
      <w:tr>
        <w:tc>
          <w:tcPr>
            <w:tcW w:type="dxa" w:w="1662"/>
          </w:tcPr>
          <w:p>
            <w:pPr>
              <w:spacing w:after="0" w:line="240" w:lineRule="auto"/>
              <w:ind w:firstLine="0"/>
              <w:jc w:val="left"/>
            </w:pPr>
            <w:r>
              <w:rPr>
                <w:b w:val="0"/>
                <w:i w:val="0"/>
                <w:sz w:val="20"/>
              </w:rPr>
              <w:t>Dy₂O₃</w:t>
            </w:r>
          </w:p>
        </w:tc>
        <w:tc>
          <w:tcPr>
            <w:tcW w:type="dxa" w:w="1662"/>
          </w:tcPr>
          <w:p>
            <w:pPr>
              <w:spacing w:after="0" w:line="240" w:lineRule="auto"/>
              <w:ind w:firstLine="0"/>
              <w:jc w:val="center"/>
            </w:pPr>
            <w:r>
              <w:rPr>
                <w:b w:val="0"/>
                <w:i w:val="0"/>
                <w:sz w:val="20"/>
              </w:rPr>
              <w:t>3 300</w:t>
            </w:r>
          </w:p>
        </w:tc>
        <w:tc>
          <w:tcPr>
            <w:tcW w:type="dxa" w:w="1662"/>
          </w:tcPr>
          <w:p>
            <w:pPr>
              <w:spacing w:after="0" w:line="240" w:lineRule="auto"/>
              <w:ind w:firstLine="0"/>
              <w:jc w:val="center"/>
            </w:pPr>
            <w:r>
              <w:rPr>
                <w:b w:val="0"/>
                <w:i w:val="0"/>
                <w:sz w:val="20"/>
              </w:rPr>
              <w:t>4 250</w:t>
            </w:r>
          </w:p>
        </w:tc>
        <w:tc>
          <w:tcPr>
            <w:tcW w:type="dxa" w:w="1662"/>
          </w:tcPr>
          <w:p>
            <w:pPr>
              <w:spacing w:after="0" w:line="240" w:lineRule="auto"/>
              <w:ind w:firstLine="0"/>
              <w:jc w:val="center"/>
            </w:pPr>
            <w:r>
              <w:rPr>
                <w:b w:val="0"/>
                <w:i w:val="0"/>
                <w:sz w:val="20"/>
              </w:rPr>
              <w:t>5 200</w:t>
            </w:r>
          </w:p>
        </w:tc>
        <w:tc>
          <w:tcPr>
            <w:tcW w:type="dxa" w:w="1662"/>
          </w:tcPr>
          <w:p>
            <w:pPr>
              <w:spacing w:after="0" w:line="240" w:lineRule="auto"/>
              <w:ind w:firstLine="0"/>
              <w:jc w:val="center"/>
            </w:pPr>
            <w:r>
              <w:rPr>
                <w:b w:val="0"/>
                <w:i w:val="0"/>
                <w:sz w:val="20"/>
              </w:rPr>
              <w:t>6 100</w:t>
            </w:r>
          </w:p>
        </w:tc>
        <w:tc>
          <w:tcPr>
            <w:tcW w:type="dxa" w:w="1662"/>
          </w:tcPr>
          <w:p>
            <w:pPr>
              <w:spacing w:after="0" w:line="240" w:lineRule="auto"/>
              <w:ind w:firstLine="0"/>
              <w:jc w:val="center"/>
            </w:pPr>
            <w:r>
              <w:rPr>
                <w:b w:val="0"/>
                <w:i w:val="0"/>
                <w:sz w:val="20"/>
              </w:rPr>
              <w:t>6 700</w:t>
            </w:r>
          </w:p>
        </w:tc>
      </w:tr>
      <w:tr>
        <w:tc>
          <w:tcPr>
            <w:tcW w:type="dxa" w:w="1662"/>
          </w:tcPr>
          <w:p>
            <w:pPr>
              <w:spacing w:after="0" w:line="240" w:lineRule="auto"/>
              <w:ind w:firstLine="0"/>
              <w:jc w:val="left"/>
            </w:pPr>
            <w:r>
              <w:rPr>
                <w:b w:val="0"/>
                <w:i w:val="0"/>
                <w:sz w:val="20"/>
              </w:rPr>
              <w:t>Y₂O₃</w:t>
            </w:r>
          </w:p>
        </w:tc>
        <w:tc>
          <w:tcPr>
            <w:tcW w:type="dxa" w:w="1662"/>
          </w:tcPr>
          <w:p>
            <w:pPr>
              <w:spacing w:after="0" w:line="240" w:lineRule="auto"/>
              <w:ind w:firstLine="0"/>
              <w:jc w:val="center"/>
            </w:pPr>
            <w:r>
              <w:rPr>
                <w:b w:val="0"/>
                <w:i w:val="0"/>
                <w:sz w:val="20"/>
              </w:rPr>
              <w:t>8 500</w:t>
            </w:r>
          </w:p>
        </w:tc>
        <w:tc>
          <w:tcPr>
            <w:tcW w:type="dxa" w:w="1662"/>
          </w:tcPr>
          <w:p>
            <w:pPr>
              <w:spacing w:after="0" w:line="240" w:lineRule="auto"/>
              <w:ind w:firstLine="0"/>
              <w:jc w:val="center"/>
            </w:pPr>
            <w:r>
              <w:rPr>
                <w:b w:val="0"/>
                <w:i w:val="0"/>
                <w:sz w:val="20"/>
              </w:rPr>
              <w:t>9 000</w:t>
            </w:r>
          </w:p>
        </w:tc>
        <w:tc>
          <w:tcPr>
            <w:tcW w:type="dxa" w:w="1662"/>
          </w:tcPr>
          <w:p>
            <w:pPr>
              <w:spacing w:after="0" w:line="240" w:lineRule="auto"/>
              <w:ind w:firstLine="0"/>
              <w:jc w:val="center"/>
            </w:pPr>
            <w:r>
              <w:rPr>
                <w:b w:val="0"/>
                <w:i w:val="0"/>
                <w:sz w:val="20"/>
              </w:rPr>
              <w:t>9 500</w:t>
            </w:r>
          </w:p>
        </w:tc>
        <w:tc>
          <w:tcPr>
            <w:tcW w:type="dxa" w:w="1662"/>
          </w:tcPr>
          <w:p>
            <w:pPr>
              <w:spacing w:after="0" w:line="240" w:lineRule="auto"/>
              <w:ind w:firstLine="0"/>
              <w:jc w:val="center"/>
            </w:pPr>
            <w:r>
              <w:rPr>
                <w:b w:val="0"/>
                <w:i w:val="0"/>
                <w:sz w:val="20"/>
              </w:rPr>
              <w:t>10 000</w:t>
            </w:r>
          </w:p>
        </w:tc>
        <w:tc>
          <w:tcPr>
            <w:tcW w:type="dxa" w:w="1662"/>
          </w:tcPr>
          <w:p>
            <w:pPr>
              <w:spacing w:after="0" w:line="240" w:lineRule="auto"/>
              <w:ind w:firstLine="0"/>
              <w:jc w:val="center"/>
            </w:pPr>
            <w:r>
              <w:rPr>
                <w:b w:val="0"/>
                <w:i w:val="0"/>
                <w:sz w:val="20"/>
              </w:rPr>
              <w:t>10 300</w:t>
            </w:r>
          </w:p>
        </w:tc>
      </w:tr>
    </w:tbl>
    <w:p>
      <w:pPr>
        <w:spacing w:after="180"/>
        <w:ind w:firstLine="0"/>
      </w:pPr>
      <w:r>
        <w:rPr>
          <w:i/>
          <w:sz w:val="20"/>
        </w:rPr>
        <w:t>Источник: прогноз аналитического центра</w:t>
      </w:r>
    </w:p>
    <w:p>
      <w:pPr>
        <w:keepNext/>
        <w:spacing w:before="160" w:after="60"/>
        <w:ind w:firstLine="0"/>
        <w:jc w:val="left"/>
      </w:pPr>
      <w:r>
        <w:rPr>
          <w:b/>
          <w:sz w:val="22"/>
        </w:rPr>
        <w:t>Рисунок 45. Прогноз мирового спроса на оксиды неодима, празеодима, диспрозия и тербия до 2035 г., т</w:t>
      </w:r>
    </w:p>
    <w:p>
      <w:pPr>
        <w:ind w:firstLine="0"/>
        <w:jc w:val="center"/>
      </w:pPr>
      <w:r>
        <w:drawing>
          <wp:inline xmlns:a="http://schemas.openxmlformats.org/drawingml/2006/main" xmlns:pic="http://schemas.openxmlformats.org/drawingml/2006/picture">
            <wp:extent cx="5580000" cy="2725304"/>
            <wp:docPr id="45" name="Picture 45"/>
            <wp:cNvGraphicFramePr>
              <a:graphicFrameLocks noChangeAspect="1"/>
            </wp:cNvGraphicFramePr>
            <a:graphic>
              <a:graphicData uri="http://schemas.openxmlformats.org/drawingml/2006/picture">
                <pic:pic>
                  <pic:nvPicPr>
                    <pic:cNvPr id="0" name="fig45.png"/>
                    <pic:cNvPicPr/>
                  </pic:nvPicPr>
                  <pic:blipFill>
                    <a:blip r:embed="rId55"/>
                    <a:stretch>
                      <a:fillRect/>
                    </a:stretch>
                  </pic:blipFill>
                  <pic:spPr>
                    <a:xfrm>
                      <a:off x="0" y="0"/>
                      <a:ext cx="5580000" cy="2725304"/>
                    </a:xfrm>
                    <a:prstGeom prst="rect"/>
                  </pic:spPr>
                </pic:pic>
              </a:graphicData>
            </a:graphic>
          </wp:inline>
        </w:drawing>
      </w:r>
    </w:p>
    <w:p>
      <w:pPr>
        <w:spacing w:after="180"/>
        <w:ind w:firstLine="0"/>
      </w:pPr>
      <w:r>
        <w:rPr>
          <w:i/>
          <w:sz w:val="20"/>
        </w:rPr>
        <w:t>Источник: прогноз аналитического центра (табл. 57)</w:t>
      </w:r>
    </w:p>
    <w:p>
      <w:pPr>
        <w:pStyle w:val="Heading2"/>
      </w:pPr>
      <w:r>
        <w:rPr>
          <w:b w:val="0"/>
          <w:i w:val="0"/>
        </w:rPr>
        <w:t>8.3. Прогноз мирового предложения</w:t>
      </w:r>
    </w:p>
    <w:p>
      <w:pPr>
        <w:keepNext/>
        <w:spacing w:before="160" w:after="60"/>
        <w:ind w:firstLine="0"/>
        <w:jc w:val="left"/>
      </w:pPr>
      <w:r>
        <w:rPr>
          <w:b/>
          <w:sz w:val="22"/>
        </w:rPr>
        <w:t>Таблица 58. Прогноз мирового предложения РЗМ по источникам до 2035 г., тыс. т TREO (базовый сценарий)</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Источник</w:t>
            </w:r>
          </w:p>
        </w:tc>
        <w:tc>
          <w:tcPr>
            <w:tcW w:type="dxa" w:w="1662"/>
            <w:shd w:val="clear" w:fill="DCE6F1"/>
          </w:tcPr>
          <w:p>
            <w:pPr>
              <w:spacing w:after="0" w:line="240" w:lineRule="auto"/>
              <w:ind w:firstLine="0"/>
              <w:jc w:val="center"/>
            </w:pPr>
            <w:r>
              <w:rPr>
                <w:b/>
                <w:i w:val="0"/>
                <w:sz w:val="20"/>
              </w:rPr>
              <w:t>2024</w:t>
            </w:r>
          </w:p>
        </w:tc>
        <w:tc>
          <w:tcPr>
            <w:tcW w:type="dxa" w:w="1662"/>
            <w:shd w:val="clear" w:fill="DCE6F1"/>
          </w:tcPr>
          <w:p>
            <w:pPr>
              <w:spacing w:after="0" w:line="240" w:lineRule="auto"/>
              <w:ind w:firstLine="0"/>
              <w:jc w:val="center"/>
            </w:pPr>
            <w:r>
              <w:rPr>
                <w:b/>
                <w:i w:val="0"/>
                <w:sz w:val="20"/>
              </w:rPr>
              <w:t>2027</w:t>
            </w:r>
          </w:p>
        </w:tc>
        <w:tc>
          <w:tcPr>
            <w:tcW w:type="dxa" w:w="1662"/>
            <w:shd w:val="clear" w:fill="DCE6F1"/>
          </w:tcPr>
          <w:p>
            <w:pPr>
              <w:spacing w:after="0" w:line="240" w:lineRule="auto"/>
              <w:ind w:firstLine="0"/>
              <w:jc w:val="center"/>
            </w:pPr>
            <w:r>
              <w:rPr>
                <w:b/>
                <w:i w:val="0"/>
                <w:sz w:val="20"/>
              </w:rPr>
              <w:t>2030</w:t>
            </w:r>
          </w:p>
        </w:tc>
        <w:tc>
          <w:tcPr>
            <w:tcW w:type="dxa" w:w="1662"/>
            <w:shd w:val="clear" w:fill="DCE6F1"/>
          </w:tcPr>
          <w:p>
            <w:pPr>
              <w:spacing w:after="0" w:line="240" w:lineRule="auto"/>
              <w:ind w:firstLine="0"/>
              <w:jc w:val="center"/>
            </w:pPr>
            <w:r>
              <w:rPr>
                <w:b/>
                <w:i w:val="0"/>
                <w:sz w:val="20"/>
              </w:rPr>
              <w:t>2033</w:t>
            </w:r>
          </w:p>
        </w:tc>
        <w:tc>
          <w:tcPr>
            <w:tcW w:type="dxa" w:w="1662"/>
            <w:shd w:val="clear" w:fill="DCE6F1"/>
          </w:tcPr>
          <w:p>
            <w:pPr>
              <w:spacing w:after="0" w:line="240" w:lineRule="auto"/>
              <w:ind w:firstLine="0"/>
              <w:jc w:val="center"/>
            </w:pPr>
            <w:r>
              <w:rPr>
                <w:b/>
                <w:i w:val="0"/>
                <w:sz w:val="20"/>
              </w:rPr>
              <w:t>2035</w:t>
            </w:r>
          </w:p>
        </w:tc>
      </w:tr>
      <w:tr>
        <w:tc>
          <w:tcPr>
            <w:tcW w:type="dxa" w:w="1662"/>
          </w:tcPr>
          <w:p>
            <w:pPr>
              <w:spacing w:after="0" w:line="240" w:lineRule="auto"/>
              <w:ind w:firstLine="0"/>
              <w:jc w:val="left"/>
            </w:pPr>
            <w:r>
              <w:rPr>
                <w:b w:val="0"/>
                <w:i w:val="0"/>
                <w:sz w:val="20"/>
              </w:rPr>
              <w:t>КНР (собственное сырьё)</w:t>
            </w:r>
          </w:p>
        </w:tc>
        <w:tc>
          <w:tcPr>
            <w:tcW w:type="dxa" w:w="1662"/>
          </w:tcPr>
          <w:p>
            <w:pPr>
              <w:spacing w:after="0" w:line="240" w:lineRule="auto"/>
              <w:ind w:firstLine="0"/>
              <w:jc w:val="center"/>
            </w:pPr>
            <w:r>
              <w:rPr>
                <w:b w:val="0"/>
                <w:i w:val="0"/>
                <w:sz w:val="20"/>
              </w:rPr>
              <w:t>270,0</w:t>
            </w:r>
          </w:p>
        </w:tc>
        <w:tc>
          <w:tcPr>
            <w:tcW w:type="dxa" w:w="1662"/>
          </w:tcPr>
          <w:p>
            <w:pPr>
              <w:spacing w:after="0" w:line="240" w:lineRule="auto"/>
              <w:ind w:firstLine="0"/>
              <w:jc w:val="center"/>
            </w:pPr>
            <w:r>
              <w:rPr>
                <w:b w:val="0"/>
                <w:i w:val="0"/>
                <w:sz w:val="20"/>
              </w:rPr>
              <w:t>305,0</w:t>
            </w:r>
          </w:p>
        </w:tc>
        <w:tc>
          <w:tcPr>
            <w:tcW w:type="dxa" w:w="1662"/>
          </w:tcPr>
          <w:p>
            <w:pPr>
              <w:spacing w:after="0" w:line="240" w:lineRule="auto"/>
              <w:ind w:firstLine="0"/>
              <w:jc w:val="center"/>
            </w:pPr>
            <w:r>
              <w:rPr>
                <w:b w:val="0"/>
                <w:i w:val="0"/>
                <w:sz w:val="20"/>
              </w:rPr>
              <w:t>335,0</w:t>
            </w:r>
          </w:p>
        </w:tc>
        <w:tc>
          <w:tcPr>
            <w:tcW w:type="dxa" w:w="1662"/>
          </w:tcPr>
          <w:p>
            <w:pPr>
              <w:spacing w:after="0" w:line="240" w:lineRule="auto"/>
              <w:ind w:firstLine="0"/>
              <w:jc w:val="center"/>
            </w:pPr>
            <w:r>
              <w:rPr>
                <w:b w:val="0"/>
                <w:i w:val="0"/>
                <w:sz w:val="20"/>
              </w:rPr>
              <w:t>360,0</w:t>
            </w:r>
          </w:p>
        </w:tc>
        <w:tc>
          <w:tcPr>
            <w:tcW w:type="dxa" w:w="1662"/>
          </w:tcPr>
          <w:p>
            <w:pPr>
              <w:spacing w:after="0" w:line="240" w:lineRule="auto"/>
              <w:ind w:firstLine="0"/>
              <w:jc w:val="center"/>
            </w:pPr>
            <w:r>
              <w:rPr>
                <w:b w:val="0"/>
                <w:i w:val="0"/>
                <w:sz w:val="20"/>
              </w:rPr>
              <w:t>375,0</w:t>
            </w:r>
          </w:p>
        </w:tc>
      </w:tr>
      <w:tr>
        <w:tc>
          <w:tcPr>
            <w:tcW w:type="dxa" w:w="1662"/>
          </w:tcPr>
          <w:p>
            <w:pPr>
              <w:spacing w:after="0" w:line="240" w:lineRule="auto"/>
              <w:ind w:firstLine="0"/>
              <w:jc w:val="left"/>
            </w:pPr>
            <w:r>
              <w:rPr>
                <w:b w:val="0"/>
                <w:i w:val="0"/>
                <w:sz w:val="20"/>
              </w:rPr>
              <w:t>Мьянма, Лаос</w:t>
            </w:r>
          </w:p>
        </w:tc>
        <w:tc>
          <w:tcPr>
            <w:tcW w:type="dxa" w:w="1662"/>
          </w:tcPr>
          <w:p>
            <w:pPr>
              <w:spacing w:after="0" w:line="240" w:lineRule="auto"/>
              <w:ind w:firstLine="0"/>
              <w:jc w:val="center"/>
            </w:pPr>
            <w:r>
              <w:rPr>
                <w:b w:val="0"/>
                <w:i w:val="0"/>
                <w:sz w:val="20"/>
              </w:rPr>
              <w:t>33,0</w:t>
            </w:r>
          </w:p>
        </w:tc>
        <w:tc>
          <w:tcPr>
            <w:tcW w:type="dxa" w:w="1662"/>
          </w:tcPr>
          <w:p>
            <w:pPr>
              <w:spacing w:after="0" w:line="240" w:lineRule="auto"/>
              <w:ind w:firstLine="0"/>
              <w:jc w:val="center"/>
            </w:pPr>
            <w:r>
              <w:rPr>
                <w:b w:val="0"/>
                <w:i w:val="0"/>
                <w:sz w:val="20"/>
              </w:rPr>
              <w:t>38,0</w:t>
            </w:r>
          </w:p>
        </w:tc>
        <w:tc>
          <w:tcPr>
            <w:tcW w:type="dxa" w:w="1662"/>
          </w:tcPr>
          <w:p>
            <w:pPr>
              <w:spacing w:after="0" w:line="240" w:lineRule="auto"/>
              <w:ind w:firstLine="0"/>
              <w:jc w:val="center"/>
            </w:pPr>
            <w:r>
              <w:rPr>
                <w:b w:val="0"/>
                <w:i w:val="0"/>
                <w:sz w:val="20"/>
              </w:rPr>
              <w:t>42,0</w:t>
            </w:r>
          </w:p>
        </w:tc>
        <w:tc>
          <w:tcPr>
            <w:tcW w:type="dxa" w:w="1662"/>
          </w:tcPr>
          <w:p>
            <w:pPr>
              <w:spacing w:after="0" w:line="240" w:lineRule="auto"/>
              <w:ind w:firstLine="0"/>
              <w:jc w:val="center"/>
            </w:pPr>
            <w:r>
              <w:rPr>
                <w:b w:val="0"/>
                <w:i w:val="0"/>
                <w:sz w:val="20"/>
              </w:rPr>
              <w:t>44,0</w:t>
            </w:r>
          </w:p>
        </w:tc>
        <w:tc>
          <w:tcPr>
            <w:tcW w:type="dxa" w:w="1662"/>
          </w:tcPr>
          <w:p>
            <w:pPr>
              <w:spacing w:after="0" w:line="240" w:lineRule="auto"/>
              <w:ind w:firstLine="0"/>
              <w:jc w:val="center"/>
            </w:pPr>
            <w:r>
              <w:rPr>
                <w:b w:val="0"/>
                <w:i w:val="0"/>
                <w:sz w:val="20"/>
              </w:rPr>
              <w:t>45,0</w:t>
            </w:r>
          </w:p>
        </w:tc>
      </w:tr>
      <w:tr>
        <w:tc>
          <w:tcPr>
            <w:tcW w:type="dxa" w:w="1662"/>
          </w:tcPr>
          <w:p>
            <w:pPr>
              <w:spacing w:after="0" w:line="240" w:lineRule="auto"/>
              <w:ind w:firstLine="0"/>
              <w:jc w:val="left"/>
            </w:pPr>
            <w:r>
              <w:rPr>
                <w:b w:val="0"/>
                <w:i w:val="0"/>
                <w:sz w:val="20"/>
              </w:rPr>
              <w:t>США</w:t>
            </w:r>
          </w:p>
        </w:tc>
        <w:tc>
          <w:tcPr>
            <w:tcW w:type="dxa" w:w="1662"/>
          </w:tcPr>
          <w:p>
            <w:pPr>
              <w:spacing w:after="0" w:line="240" w:lineRule="auto"/>
              <w:ind w:firstLine="0"/>
              <w:jc w:val="center"/>
            </w:pPr>
            <w:r>
              <w:rPr>
                <w:b w:val="0"/>
                <w:i w:val="0"/>
                <w:sz w:val="20"/>
              </w:rPr>
              <w:t>45,0</w:t>
            </w:r>
          </w:p>
        </w:tc>
        <w:tc>
          <w:tcPr>
            <w:tcW w:type="dxa" w:w="1662"/>
          </w:tcPr>
          <w:p>
            <w:pPr>
              <w:spacing w:after="0" w:line="240" w:lineRule="auto"/>
              <w:ind w:firstLine="0"/>
              <w:jc w:val="center"/>
            </w:pPr>
            <w:r>
              <w:rPr>
                <w:b w:val="0"/>
                <w:i w:val="0"/>
                <w:sz w:val="20"/>
              </w:rPr>
              <w:t>55,0</w:t>
            </w:r>
          </w:p>
        </w:tc>
        <w:tc>
          <w:tcPr>
            <w:tcW w:type="dxa" w:w="1662"/>
          </w:tcPr>
          <w:p>
            <w:pPr>
              <w:spacing w:after="0" w:line="240" w:lineRule="auto"/>
              <w:ind w:firstLine="0"/>
              <w:jc w:val="center"/>
            </w:pPr>
            <w:r>
              <w:rPr>
                <w:b w:val="0"/>
                <w:i w:val="0"/>
                <w:sz w:val="20"/>
              </w:rPr>
              <w:t>68,0</w:t>
            </w:r>
          </w:p>
        </w:tc>
        <w:tc>
          <w:tcPr>
            <w:tcW w:type="dxa" w:w="1662"/>
          </w:tcPr>
          <w:p>
            <w:pPr>
              <w:spacing w:after="0" w:line="240" w:lineRule="auto"/>
              <w:ind w:firstLine="0"/>
              <w:jc w:val="center"/>
            </w:pPr>
            <w:r>
              <w:rPr>
                <w:b w:val="0"/>
                <w:i w:val="0"/>
                <w:sz w:val="20"/>
              </w:rPr>
              <w:t>76,0</w:t>
            </w:r>
          </w:p>
        </w:tc>
        <w:tc>
          <w:tcPr>
            <w:tcW w:type="dxa" w:w="1662"/>
          </w:tcPr>
          <w:p>
            <w:pPr>
              <w:spacing w:after="0" w:line="240" w:lineRule="auto"/>
              <w:ind w:firstLine="0"/>
              <w:jc w:val="center"/>
            </w:pPr>
            <w:r>
              <w:rPr>
                <w:b w:val="0"/>
                <w:i w:val="0"/>
                <w:sz w:val="20"/>
              </w:rPr>
              <w:t>82,0</w:t>
            </w:r>
          </w:p>
        </w:tc>
      </w:tr>
      <w:tr>
        <w:tc>
          <w:tcPr>
            <w:tcW w:type="dxa" w:w="1662"/>
          </w:tcPr>
          <w:p>
            <w:pPr>
              <w:spacing w:after="0" w:line="240" w:lineRule="auto"/>
              <w:ind w:firstLine="0"/>
              <w:jc w:val="left"/>
            </w:pPr>
            <w:r>
              <w:rPr>
                <w:b w:val="0"/>
                <w:i w:val="0"/>
                <w:sz w:val="20"/>
              </w:rPr>
              <w:t>Австралия</w:t>
            </w:r>
          </w:p>
        </w:tc>
        <w:tc>
          <w:tcPr>
            <w:tcW w:type="dxa" w:w="1662"/>
          </w:tcPr>
          <w:p>
            <w:pPr>
              <w:spacing w:after="0" w:line="240" w:lineRule="auto"/>
              <w:ind w:firstLine="0"/>
              <w:jc w:val="center"/>
            </w:pPr>
            <w:r>
              <w:rPr>
                <w:b w:val="0"/>
                <w:i w:val="0"/>
                <w:sz w:val="20"/>
              </w:rPr>
              <w:t>13,0</w:t>
            </w:r>
          </w:p>
        </w:tc>
        <w:tc>
          <w:tcPr>
            <w:tcW w:type="dxa" w:w="1662"/>
          </w:tcPr>
          <w:p>
            <w:pPr>
              <w:spacing w:after="0" w:line="240" w:lineRule="auto"/>
              <w:ind w:firstLine="0"/>
              <w:jc w:val="center"/>
            </w:pPr>
            <w:r>
              <w:rPr>
                <w:b w:val="0"/>
                <w:i w:val="0"/>
                <w:sz w:val="20"/>
              </w:rPr>
              <w:t>26,0</w:t>
            </w:r>
          </w:p>
        </w:tc>
        <w:tc>
          <w:tcPr>
            <w:tcW w:type="dxa" w:w="1662"/>
          </w:tcPr>
          <w:p>
            <w:pPr>
              <w:spacing w:after="0" w:line="240" w:lineRule="auto"/>
              <w:ind w:firstLine="0"/>
              <w:jc w:val="center"/>
            </w:pPr>
            <w:r>
              <w:rPr>
                <w:b w:val="0"/>
                <w:i w:val="0"/>
                <w:sz w:val="20"/>
              </w:rPr>
              <w:t>38,0</w:t>
            </w:r>
          </w:p>
        </w:tc>
        <w:tc>
          <w:tcPr>
            <w:tcW w:type="dxa" w:w="1662"/>
          </w:tcPr>
          <w:p>
            <w:pPr>
              <w:spacing w:after="0" w:line="240" w:lineRule="auto"/>
              <w:ind w:firstLine="0"/>
              <w:jc w:val="center"/>
            </w:pPr>
            <w:r>
              <w:rPr>
                <w:b w:val="0"/>
                <w:i w:val="0"/>
                <w:sz w:val="20"/>
              </w:rPr>
              <w:t>45,0</w:t>
            </w:r>
          </w:p>
        </w:tc>
        <w:tc>
          <w:tcPr>
            <w:tcW w:type="dxa" w:w="1662"/>
          </w:tcPr>
          <w:p>
            <w:pPr>
              <w:spacing w:after="0" w:line="240" w:lineRule="auto"/>
              <w:ind w:firstLine="0"/>
              <w:jc w:val="center"/>
            </w:pPr>
            <w:r>
              <w:rPr>
                <w:b w:val="0"/>
                <w:i w:val="0"/>
                <w:sz w:val="20"/>
              </w:rPr>
              <w:t>50,0</w:t>
            </w:r>
          </w:p>
        </w:tc>
      </w:tr>
      <w:tr>
        <w:tc>
          <w:tcPr>
            <w:tcW w:type="dxa" w:w="1662"/>
          </w:tcPr>
          <w:p>
            <w:pPr>
              <w:spacing w:after="0" w:line="240" w:lineRule="auto"/>
              <w:ind w:firstLine="0"/>
              <w:jc w:val="left"/>
            </w:pPr>
            <w:r>
              <w:rPr>
                <w:b w:val="0"/>
                <w:i w:val="0"/>
                <w:sz w:val="20"/>
              </w:rPr>
              <w:t>Бразилия</w:t>
            </w:r>
          </w:p>
        </w:tc>
        <w:tc>
          <w:tcPr>
            <w:tcW w:type="dxa" w:w="1662"/>
          </w:tcPr>
          <w:p>
            <w:pPr>
              <w:spacing w:after="0" w:line="240" w:lineRule="auto"/>
              <w:ind w:firstLine="0"/>
              <w:jc w:val="center"/>
            </w:pPr>
            <w:r>
              <w:rPr>
                <w:b w:val="0"/>
                <w:i w:val="0"/>
                <w:sz w:val="20"/>
              </w:rPr>
              <w:t>0,02</w:t>
            </w:r>
          </w:p>
        </w:tc>
        <w:tc>
          <w:tcPr>
            <w:tcW w:type="dxa" w:w="1662"/>
          </w:tcPr>
          <w:p>
            <w:pPr>
              <w:spacing w:after="0" w:line="240" w:lineRule="auto"/>
              <w:ind w:firstLine="0"/>
              <w:jc w:val="center"/>
            </w:pPr>
            <w:r>
              <w:rPr>
                <w:b w:val="0"/>
                <w:i w:val="0"/>
                <w:sz w:val="20"/>
              </w:rPr>
              <w:t>8,0</w:t>
            </w:r>
          </w:p>
        </w:tc>
        <w:tc>
          <w:tcPr>
            <w:tcW w:type="dxa" w:w="1662"/>
          </w:tcPr>
          <w:p>
            <w:pPr>
              <w:spacing w:after="0" w:line="240" w:lineRule="auto"/>
              <w:ind w:firstLine="0"/>
              <w:jc w:val="center"/>
            </w:pPr>
            <w:r>
              <w:rPr>
                <w:b w:val="0"/>
                <w:i w:val="0"/>
                <w:sz w:val="20"/>
              </w:rPr>
              <w:t>22,0</w:t>
            </w:r>
          </w:p>
        </w:tc>
        <w:tc>
          <w:tcPr>
            <w:tcW w:type="dxa" w:w="1662"/>
          </w:tcPr>
          <w:p>
            <w:pPr>
              <w:spacing w:after="0" w:line="240" w:lineRule="auto"/>
              <w:ind w:firstLine="0"/>
              <w:jc w:val="center"/>
            </w:pPr>
            <w:r>
              <w:rPr>
                <w:b w:val="0"/>
                <w:i w:val="0"/>
                <w:sz w:val="20"/>
              </w:rPr>
              <w:t>32,0</w:t>
            </w:r>
          </w:p>
        </w:tc>
        <w:tc>
          <w:tcPr>
            <w:tcW w:type="dxa" w:w="1662"/>
          </w:tcPr>
          <w:p>
            <w:pPr>
              <w:spacing w:after="0" w:line="240" w:lineRule="auto"/>
              <w:ind w:firstLine="0"/>
              <w:jc w:val="center"/>
            </w:pPr>
            <w:r>
              <w:rPr>
                <w:b w:val="0"/>
                <w:i w:val="0"/>
                <w:sz w:val="20"/>
              </w:rPr>
              <w:t>38,0</w:t>
            </w:r>
          </w:p>
        </w:tc>
      </w:tr>
      <w:tr>
        <w:tc>
          <w:tcPr>
            <w:tcW w:type="dxa" w:w="1662"/>
          </w:tcPr>
          <w:p>
            <w:pPr>
              <w:spacing w:after="0" w:line="240" w:lineRule="auto"/>
              <w:ind w:firstLine="0"/>
              <w:jc w:val="left"/>
            </w:pPr>
            <w:r>
              <w:rPr>
                <w:b w:val="0"/>
                <w:i w:val="0"/>
                <w:sz w:val="20"/>
              </w:rPr>
              <w:t>Африка</w:t>
            </w:r>
          </w:p>
        </w:tc>
        <w:tc>
          <w:tcPr>
            <w:tcW w:type="dxa" w:w="1662"/>
          </w:tcPr>
          <w:p>
            <w:pPr>
              <w:spacing w:after="0" w:line="240" w:lineRule="auto"/>
              <w:ind w:firstLine="0"/>
              <w:jc w:val="center"/>
            </w:pPr>
            <w:r>
              <w:rPr>
                <w:b w:val="0"/>
                <w:i w:val="0"/>
                <w:sz w:val="20"/>
              </w:rPr>
              <w:t>15,0</w:t>
            </w:r>
          </w:p>
        </w:tc>
        <w:tc>
          <w:tcPr>
            <w:tcW w:type="dxa" w:w="1662"/>
          </w:tcPr>
          <w:p>
            <w:pPr>
              <w:spacing w:after="0" w:line="240" w:lineRule="auto"/>
              <w:ind w:firstLine="0"/>
              <w:jc w:val="center"/>
            </w:pPr>
            <w:r>
              <w:rPr>
                <w:b w:val="0"/>
                <w:i w:val="0"/>
                <w:sz w:val="20"/>
              </w:rPr>
              <w:t>22,0</w:t>
            </w:r>
          </w:p>
        </w:tc>
        <w:tc>
          <w:tcPr>
            <w:tcW w:type="dxa" w:w="1662"/>
          </w:tcPr>
          <w:p>
            <w:pPr>
              <w:spacing w:after="0" w:line="240" w:lineRule="auto"/>
              <w:ind w:firstLine="0"/>
              <w:jc w:val="center"/>
            </w:pPr>
            <w:r>
              <w:rPr>
                <w:b w:val="0"/>
                <w:i w:val="0"/>
                <w:sz w:val="20"/>
              </w:rPr>
              <w:t>32,0</w:t>
            </w:r>
          </w:p>
        </w:tc>
        <w:tc>
          <w:tcPr>
            <w:tcW w:type="dxa" w:w="1662"/>
          </w:tcPr>
          <w:p>
            <w:pPr>
              <w:spacing w:after="0" w:line="240" w:lineRule="auto"/>
              <w:ind w:firstLine="0"/>
              <w:jc w:val="center"/>
            </w:pPr>
            <w:r>
              <w:rPr>
                <w:b w:val="0"/>
                <w:i w:val="0"/>
                <w:sz w:val="20"/>
              </w:rPr>
              <w:t>40,0</w:t>
            </w:r>
          </w:p>
        </w:tc>
        <w:tc>
          <w:tcPr>
            <w:tcW w:type="dxa" w:w="1662"/>
          </w:tcPr>
          <w:p>
            <w:pPr>
              <w:spacing w:after="0" w:line="240" w:lineRule="auto"/>
              <w:ind w:firstLine="0"/>
              <w:jc w:val="center"/>
            </w:pPr>
            <w:r>
              <w:rPr>
                <w:b w:val="0"/>
                <w:i w:val="0"/>
                <w:sz w:val="20"/>
              </w:rPr>
              <w:t>45,0</w:t>
            </w:r>
          </w:p>
        </w:tc>
      </w:tr>
      <w:tr>
        <w:tc>
          <w:tcPr>
            <w:tcW w:type="dxa" w:w="1662"/>
          </w:tcPr>
          <w:p>
            <w:pPr>
              <w:spacing w:after="0" w:line="240" w:lineRule="auto"/>
              <w:ind w:firstLine="0"/>
              <w:jc w:val="left"/>
            </w:pPr>
            <w:r>
              <w:rPr>
                <w:b w:val="0"/>
                <w:i w:val="0"/>
                <w:sz w:val="20"/>
              </w:rPr>
              <w:t>Индия</w:t>
            </w:r>
          </w:p>
        </w:tc>
        <w:tc>
          <w:tcPr>
            <w:tcW w:type="dxa" w:w="1662"/>
          </w:tcPr>
          <w:p>
            <w:pPr>
              <w:spacing w:after="0" w:line="240" w:lineRule="auto"/>
              <w:ind w:firstLine="0"/>
              <w:jc w:val="center"/>
            </w:pPr>
            <w:r>
              <w:rPr>
                <w:b w:val="0"/>
                <w:i w:val="0"/>
                <w:sz w:val="20"/>
              </w:rPr>
              <w:t>2,9</w:t>
            </w:r>
          </w:p>
        </w:tc>
        <w:tc>
          <w:tcPr>
            <w:tcW w:type="dxa" w:w="1662"/>
          </w:tcPr>
          <w:p>
            <w:pPr>
              <w:spacing w:after="0" w:line="240" w:lineRule="auto"/>
              <w:ind w:firstLine="0"/>
              <w:jc w:val="center"/>
            </w:pPr>
            <w:r>
              <w:rPr>
                <w:b w:val="0"/>
                <w:i w:val="0"/>
                <w:sz w:val="20"/>
              </w:rPr>
              <w:t>5,0</w:t>
            </w:r>
          </w:p>
        </w:tc>
        <w:tc>
          <w:tcPr>
            <w:tcW w:type="dxa" w:w="1662"/>
          </w:tcPr>
          <w:p>
            <w:pPr>
              <w:spacing w:after="0" w:line="240" w:lineRule="auto"/>
              <w:ind w:firstLine="0"/>
              <w:jc w:val="center"/>
            </w:pPr>
            <w:r>
              <w:rPr>
                <w:b w:val="0"/>
                <w:i w:val="0"/>
                <w:sz w:val="20"/>
              </w:rPr>
              <w:t>9,0</w:t>
            </w:r>
          </w:p>
        </w:tc>
        <w:tc>
          <w:tcPr>
            <w:tcW w:type="dxa" w:w="1662"/>
          </w:tcPr>
          <w:p>
            <w:pPr>
              <w:spacing w:after="0" w:line="240" w:lineRule="auto"/>
              <w:ind w:firstLine="0"/>
              <w:jc w:val="center"/>
            </w:pPr>
            <w:r>
              <w:rPr>
                <w:b w:val="0"/>
                <w:i w:val="0"/>
                <w:sz w:val="20"/>
              </w:rPr>
              <w:t>13,0</w:t>
            </w:r>
          </w:p>
        </w:tc>
        <w:tc>
          <w:tcPr>
            <w:tcW w:type="dxa" w:w="1662"/>
          </w:tcPr>
          <w:p>
            <w:pPr>
              <w:spacing w:after="0" w:line="240" w:lineRule="auto"/>
              <w:ind w:firstLine="0"/>
              <w:jc w:val="center"/>
            </w:pPr>
            <w:r>
              <w:rPr>
                <w:b w:val="0"/>
                <w:i w:val="0"/>
                <w:sz w:val="20"/>
              </w:rPr>
              <w:t>16,0</w:t>
            </w:r>
          </w:p>
        </w:tc>
      </w:tr>
      <w:tr>
        <w:tc>
          <w:tcPr>
            <w:tcW w:type="dxa" w:w="1662"/>
          </w:tcPr>
          <w:p>
            <w:pPr>
              <w:spacing w:after="0" w:line="240" w:lineRule="auto"/>
              <w:ind w:firstLine="0"/>
              <w:jc w:val="left"/>
            </w:pPr>
            <w:r>
              <w:rPr>
                <w:b w:val="0"/>
                <w:i w:val="0"/>
                <w:sz w:val="20"/>
              </w:rPr>
              <w:t>Россия и ЕАЭС</w:t>
            </w:r>
          </w:p>
        </w:tc>
        <w:tc>
          <w:tcPr>
            <w:tcW w:type="dxa" w:w="1662"/>
          </w:tcPr>
          <w:p>
            <w:pPr>
              <w:spacing w:after="0" w:line="240" w:lineRule="auto"/>
              <w:ind w:firstLine="0"/>
              <w:jc w:val="center"/>
            </w:pPr>
            <w:r>
              <w:rPr>
                <w:b w:val="0"/>
                <w:i w:val="0"/>
                <w:sz w:val="20"/>
              </w:rPr>
              <w:t>2,5</w:t>
            </w:r>
          </w:p>
        </w:tc>
        <w:tc>
          <w:tcPr>
            <w:tcW w:type="dxa" w:w="1662"/>
          </w:tcPr>
          <w:p>
            <w:pPr>
              <w:spacing w:after="0" w:line="240" w:lineRule="auto"/>
              <w:ind w:firstLine="0"/>
              <w:jc w:val="center"/>
            </w:pPr>
            <w:r>
              <w:rPr>
                <w:b w:val="0"/>
                <w:i w:val="0"/>
                <w:sz w:val="20"/>
              </w:rPr>
              <w:t>6,0</w:t>
            </w:r>
          </w:p>
        </w:tc>
        <w:tc>
          <w:tcPr>
            <w:tcW w:type="dxa" w:w="1662"/>
          </w:tcPr>
          <w:p>
            <w:pPr>
              <w:spacing w:after="0" w:line="240" w:lineRule="auto"/>
              <w:ind w:firstLine="0"/>
              <w:jc w:val="center"/>
            </w:pPr>
            <w:r>
              <w:rPr>
                <w:b w:val="0"/>
                <w:i w:val="0"/>
                <w:sz w:val="20"/>
              </w:rPr>
              <w:t>16,0</w:t>
            </w:r>
          </w:p>
        </w:tc>
        <w:tc>
          <w:tcPr>
            <w:tcW w:type="dxa" w:w="1662"/>
          </w:tcPr>
          <w:p>
            <w:pPr>
              <w:spacing w:after="0" w:line="240" w:lineRule="auto"/>
              <w:ind w:firstLine="0"/>
              <w:jc w:val="center"/>
            </w:pPr>
            <w:r>
              <w:rPr>
                <w:b w:val="0"/>
                <w:i w:val="0"/>
                <w:sz w:val="20"/>
              </w:rPr>
              <w:t>26,0</w:t>
            </w:r>
          </w:p>
        </w:tc>
        <w:tc>
          <w:tcPr>
            <w:tcW w:type="dxa" w:w="1662"/>
          </w:tcPr>
          <w:p>
            <w:pPr>
              <w:spacing w:after="0" w:line="240" w:lineRule="auto"/>
              <w:ind w:firstLine="0"/>
              <w:jc w:val="center"/>
            </w:pPr>
            <w:r>
              <w:rPr>
                <w:b w:val="0"/>
                <w:i w:val="0"/>
                <w:sz w:val="20"/>
              </w:rPr>
              <w:t>32,0</w:t>
            </w:r>
          </w:p>
        </w:tc>
      </w:tr>
      <w:tr>
        <w:tc>
          <w:tcPr>
            <w:tcW w:type="dxa" w:w="1662"/>
          </w:tcPr>
          <w:p>
            <w:pPr>
              <w:spacing w:after="0" w:line="240" w:lineRule="auto"/>
              <w:ind w:firstLine="0"/>
              <w:jc w:val="left"/>
            </w:pPr>
            <w:r>
              <w:rPr>
                <w:b w:val="0"/>
                <w:i w:val="0"/>
                <w:sz w:val="20"/>
              </w:rPr>
              <w:t>Прочие</w:t>
            </w:r>
          </w:p>
        </w:tc>
        <w:tc>
          <w:tcPr>
            <w:tcW w:type="dxa" w:w="1662"/>
          </w:tcPr>
          <w:p>
            <w:pPr>
              <w:spacing w:after="0" w:line="240" w:lineRule="auto"/>
              <w:ind w:firstLine="0"/>
              <w:jc w:val="center"/>
            </w:pPr>
            <w:r>
              <w:rPr>
                <w:b w:val="0"/>
                <w:i w:val="0"/>
                <w:sz w:val="20"/>
              </w:rPr>
              <w:t>8,6</w:t>
            </w:r>
          </w:p>
        </w:tc>
        <w:tc>
          <w:tcPr>
            <w:tcW w:type="dxa" w:w="1662"/>
          </w:tcPr>
          <w:p>
            <w:pPr>
              <w:spacing w:after="0" w:line="240" w:lineRule="auto"/>
              <w:ind w:firstLine="0"/>
              <w:jc w:val="center"/>
            </w:pPr>
            <w:r>
              <w:rPr>
                <w:b w:val="0"/>
                <w:i w:val="0"/>
                <w:sz w:val="20"/>
              </w:rPr>
              <w:t>14,0</w:t>
            </w:r>
          </w:p>
        </w:tc>
        <w:tc>
          <w:tcPr>
            <w:tcW w:type="dxa" w:w="1662"/>
          </w:tcPr>
          <w:p>
            <w:pPr>
              <w:spacing w:after="0" w:line="240" w:lineRule="auto"/>
              <w:ind w:firstLine="0"/>
              <w:jc w:val="center"/>
            </w:pPr>
            <w:r>
              <w:rPr>
                <w:b w:val="0"/>
                <w:i w:val="0"/>
                <w:sz w:val="20"/>
              </w:rPr>
              <w:t>20,0</w:t>
            </w:r>
          </w:p>
        </w:tc>
        <w:tc>
          <w:tcPr>
            <w:tcW w:type="dxa" w:w="1662"/>
          </w:tcPr>
          <w:p>
            <w:pPr>
              <w:spacing w:after="0" w:line="240" w:lineRule="auto"/>
              <w:ind w:firstLine="0"/>
              <w:jc w:val="center"/>
            </w:pPr>
            <w:r>
              <w:rPr>
                <w:b w:val="0"/>
                <w:i w:val="0"/>
                <w:sz w:val="20"/>
              </w:rPr>
              <w:t>25,0</w:t>
            </w:r>
          </w:p>
        </w:tc>
        <w:tc>
          <w:tcPr>
            <w:tcW w:type="dxa" w:w="1662"/>
          </w:tcPr>
          <w:p>
            <w:pPr>
              <w:spacing w:after="0" w:line="240" w:lineRule="auto"/>
              <w:ind w:firstLine="0"/>
              <w:jc w:val="center"/>
            </w:pPr>
            <w:r>
              <w:rPr>
                <w:b w:val="0"/>
                <w:i w:val="0"/>
                <w:sz w:val="20"/>
              </w:rPr>
              <w:t>28,0</w:t>
            </w:r>
          </w:p>
        </w:tc>
      </w:tr>
      <w:tr>
        <w:tc>
          <w:tcPr>
            <w:tcW w:type="dxa" w:w="1662"/>
          </w:tcPr>
          <w:p>
            <w:pPr>
              <w:spacing w:after="0" w:line="240" w:lineRule="auto"/>
              <w:ind w:firstLine="0"/>
              <w:jc w:val="left"/>
            </w:pPr>
            <w:r>
              <w:rPr>
                <w:b w:val="0"/>
                <w:i w:val="0"/>
                <w:sz w:val="20"/>
              </w:rPr>
              <w:t>Рециклинг</w:t>
            </w:r>
          </w:p>
        </w:tc>
        <w:tc>
          <w:tcPr>
            <w:tcW w:type="dxa" w:w="1662"/>
          </w:tcPr>
          <w:p>
            <w:pPr>
              <w:spacing w:after="0" w:line="240" w:lineRule="auto"/>
              <w:ind w:firstLine="0"/>
              <w:jc w:val="center"/>
            </w:pPr>
            <w:r>
              <w:rPr>
                <w:b w:val="0"/>
                <w:i w:val="0"/>
                <w:sz w:val="20"/>
              </w:rPr>
              <w:t>3,8</w:t>
            </w:r>
          </w:p>
        </w:tc>
        <w:tc>
          <w:tcPr>
            <w:tcW w:type="dxa" w:w="1662"/>
          </w:tcPr>
          <w:p>
            <w:pPr>
              <w:spacing w:after="0" w:line="240" w:lineRule="auto"/>
              <w:ind w:firstLine="0"/>
              <w:jc w:val="center"/>
            </w:pPr>
            <w:r>
              <w:rPr>
                <w:b w:val="0"/>
                <w:i w:val="0"/>
                <w:sz w:val="20"/>
              </w:rPr>
              <w:t>7,5</w:t>
            </w:r>
          </w:p>
        </w:tc>
        <w:tc>
          <w:tcPr>
            <w:tcW w:type="dxa" w:w="1662"/>
          </w:tcPr>
          <w:p>
            <w:pPr>
              <w:spacing w:after="0" w:line="240" w:lineRule="auto"/>
              <w:ind w:firstLine="0"/>
              <w:jc w:val="center"/>
            </w:pPr>
            <w:r>
              <w:rPr>
                <w:b w:val="0"/>
                <w:i w:val="0"/>
                <w:sz w:val="20"/>
              </w:rPr>
              <w:t>15,0</w:t>
            </w:r>
          </w:p>
        </w:tc>
        <w:tc>
          <w:tcPr>
            <w:tcW w:type="dxa" w:w="1662"/>
          </w:tcPr>
          <w:p>
            <w:pPr>
              <w:spacing w:after="0" w:line="240" w:lineRule="auto"/>
              <w:ind w:firstLine="0"/>
              <w:jc w:val="center"/>
            </w:pPr>
            <w:r>
              <w:rPr>
                <w:b w:val="0"/>
                <w:i w:val="0"/>
                <w:sz w:val="20"/>
              </w:rPr>
              <w:t>26,0</w:t>
            </w:r>
          </w:p>
        </w:tc>
        <w:tc>
          <w:tcPr>
            <w:tcW w:type="dxa" w:w="1662"/>
          </w:tcPr>
          <w:p>
            <w:pPr>
              <w:spacing w:after="0" w:line="240" w:lineRule="auto"/>
              <w:ind w:firstLine="0"/>
              <w:jc w:val="center"/>
            </w:pPr>
            <w:r>
              <w:rPr>
                <w:b w:val="0"/>
                <w:i w:val="0"/>
                <w:sz w:val="20"/>
              </w:rPr>
              <w:t>34,0</w:t>
            </w:r>
          </w:p>
        </w:tc>
      </w:tr>
      <w:tr>
        <w:tc>
          <w:tcPr>
            <w:tcW w:type="dxa" w:w="1662"/>
          </w:tcPr>
          <w:p>
            <w:pPr>
              <w:spacing w:after="0" w:line="240" w:lineRule="auto"/>
              <w:ind w:firstLine="0"/>
              <w:jc w:val="left"/>
            </w:pPr>
            <w:r>
              <w:rPr>
                <w:b/>
                <w:i w:val="0"/>
                <w:sz w:val="20"/>
              </w:rPr>
              <w:t>Всего</w:t>
            </w:r>
          </w:p>
        </w:tc>
        <w:tc>
          <w:tcPr>
            <w:tcW w:type="dxa" w:w="1662"/>
          </w:tcPr>
          <w:p>
            <w:pPr>
              <w:spacing w:after="0" w:line="240" w:lineRule="auto"/>
              <w:ind w:firstLine="0"/>
              <w:jc w:val="center"/>
            </w:pPr>
            <w:r>
              <w:rPr>
                <w:b/>
                <w:i w:val="0"/>
                <w:sz w:val="20"/>
              </w:rPr>
              <w:t>393,8</w:t>
            </w:r>
          </w:p>
        </w:tc>
        <w:tc>
          <w:tcPr>
            <w:tcW w:type="dxa" w:w="1662"/>
          </w:tcPr>
          <w:p>
            <w:pPr>
              <w:spacing w:after="0" w:line="240" w:lineRule="auto"/>
              <w:ind w:firstLine="0"/>
              <w:jc w:val="center"/>
            </w:pPr>
            <w:r>
              <w:rPr>
                <w:b/>
                <w:i w:val="0"/>
                <w:sz w:val="20"/>
              </w:rPr>
              <w:t>486,5</w:t>
            </w:r>
          </w:p>
        </w:tc>
        <w:tc>
          <w:tcPr>
            <w:tcW w:type="dxa" w:w="1662"/>
          </w:tcPr>
          <w:p>
            <w:pPr>
              <w:spacing w:after="0" w:line="240" w:lineRule="auto"/>
              <w:ind w:firstLine="0"/>
              <w:jc w:val="center"/>
            </w:pPr>
            <w:r>
              <w:rPr>
                <w:b/>
                <w:i w:val="0"/>
                <w:sz w:val="20"/>
              </w:rPr>
              <w:t>597,0</w:t>
            </w:r>
          </w:p>
        </w:tc>
        <w:tc>
          <w:tcPr>
            <w:tcW w:type="dxa" w:w="1662"/>
          </w:tcPr>
          <w:p>
            <w:pPr>
              <w:spacing w:after="0" w:line="240" w:lineRule="auto"/>
              <w:ind w:firstLine="0"/>
              <w:jc w:val="center"/>
            </w:pPr>
            <w:r>
              <w:rPr>
                <w:b/>
                <w:i w:val="0"/>
                <w:sz w:val="20"/>
              </w:rPr>
              <w:t>687,0</w:t>
            </w:r>
          </w:p>
        </w:tc>
        <w:tc>
          <w:tcPr>
            <w:tcW w:type="dxa" w:w="1662"/>
          </w:tcPr>
          <w:p>
            <w:pPr>
              <w:spacing w:after="0" w:line="240" w:lineRule="auto"/>
              <w:ind w:firstLine="0"/>
              <w:jc w:val="center"/>
            </w:pPr>
            <w:r>
              <w:rPr>
                <w:b/>
                <w:i w:val="0"/>
                <w:sz w:val="20"/>
              </w:rPr>
              <w:t>745,0</w:t>
            </w:r>
          </w:p>
        </w:tc>
      </w:tr>
    </w:tbl>
    <w:p>
      <w:pPr>
        <w:spacing w:after="180"/>
        <w:ind w:firstLine="0"/>
      </w:pPr>
      <w:r>
        <w:rPr>
          <w:i/>
          <w:sz w:val="20"/>
        </w:rPr>
        <w:t>Источник: прогноз аналитического центра</w:t>
      </w:r>
    </w:p>
    <w:p>
      <w:pPr>
        <w:keepNext/>
        <w:spacing w:before="160" w:after="60"/>
        <w:ind w:firstLine="0"/>
        <w:jc w:val="left"/>
      </w:pPr>
      <w:r>
        <w:rPr>
          <w:b/>
          <w:sz w:val="22"/>
        </w:rPr>
        <w:t>Рисунок 46. Прогноз структуры мирового предложения РЗМ до 2035 г., тыс. т TREO</w:t>
      </w:r>
    </w:p>
    <w:p>
      <w:pPr>
        <w:ind w:firstLine="0"/>
        <w:jc w:val="center"/>
      </w:pPr>
      <w:r>
        <w:drawing>
          <wp:inline xmlns:a="http://schemas.openxmlformats.org/drawingml/2006/main" xmlns:pic="http://schemas.openxmlformats.org/drawingml/2006/picture">
            <wp:extent cx="5580000" cy="2709130"/>
            <wp:docPr id="46" name="Picture 46"/>
            <wp:cNvGraphicFramePr>
              <a:graphicFrameLocks noChangeAspect="1"/>
            </wp:cNvGraphicFramePr>
            <a:graphic>
              <a:graphicData uri="http://schemas.openxmlformats.org/drawingml/2006/picture">
                <pic:pic>
                  <pic:nvPicPr>
                    <pic:cNvPr id="0" name="fig46.png"/>
                    <pic:cNvPicPr/>
                  </pic:nvPicPr>
                  <pic:blipFill>
                    <a:blip r:embed="rId56"/>
                    <a:stretch>
                      <a:fillRect/>
                    </a:stretch>
                  </pic:blipFill>
                  <pic:spPr>
                    <a:xfrm>
                      <a:off x="0" y="0"/>
                      <a:ext cx="5580000" cy="2709130"/>
                    </a:xfrm>
                    <a:prstGeom prst="rect"/>
                  </pic:spPr>
                </pic:pic>
              </a:graphicData>
            </a:graphic>
          </wp:inline>
        </w:drawing>
      </w:r>
    </w:p>
    <w:p>
      <w:pPr>
        <w:spacing w:after="180"/>
        <w:ind w:firstLine="0"/>
      </w:pPr>
      <w:r>
        <w:rPr>
          <w:i/>
          <w:sz w:val="20"/>
        </w:rPr>
        <w:t>Источник: прогноз аналитического центра (табл. 58)</w:t>
      </w:r>
    </w:p>
    <w:p>
      <w:r>
        <w:rPr>
          <w:b w:val="0"/>
          <w:i w:val="0"/>
        </w:rPr>
        <w:t>Формально прогнозируемое предложение (745 тыс. т TREO к 2035 г.) вдвое превышает прогнозируемый спрос (353 тыс. т). Это соотношение не является ошибкой и отражает фундаментальную особенность отрасли, описанную в разделе 1.5: объёмы добычи определяются потребностью в дефицитных элементах, тогда как избыточные извлекаются попутно и накапливаются. К 2035 г. накопленные складские излишки церия и лантана при базовом сценарии превысят 1,2 млн т, что делает поиск массовых применений для этих элементов самостоятельной задачей отрасли.</w:t>
      </w:r>
    </w:p>
    <w:p>
      <w:pPr>
        <w:pStyle w:val="Heading2"/>
      </w:pPr>
      <w:r>
        <w:rPr>
          <w:b w:val="0"/>
          <w:i w:val="0"/>
        </w:rPr>
        <w:t>8.4. Прогнозный баланс по критическим элементам</w:t>
      </w:r>
    </w:p>
    <w:p>
      <w:r>
        <w:rPr>
          <w:b w:val="0"/>
          <w:i w:val="0"/>
        </w:rPr>
        <w:t>Практическое значение имеет баланс по неодиму-празеодиму, диспрозию и тербию.</w:t>
      </w:r>
    </w:p>
    <w:p>
      <w:pPr>
        <w:keepNext/>
        <w:spacing w:before="160" w:after="60"/>
        <w:ind w:firstLine="0"/>
        <w:jc w:val="left"/>
      </w:pPr>
      <w:r>
        <w:rPr>
          <w:b/>
          <w:sz w:val="22"/>
        </w:rPr>
        <w:t>Таблица 59. Прогнозный баланс мирового рынка по критическим элементам до 2035 г., т оксида (базовый сценарий)</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Показатель</w:t>
            </w:r>
          </w:p>
        </w:tc>
        <w:tc>
          <w:tcPr>
            <w:tcW w:type="dxa" w:w="1662"/>
            <w:shd w:val="clear" w:fill="DCE6F1"/>
          </w:tcPr>
          <w:p>
            <w:pPr>
              <w:spacing w:after="0" w:line="240" w:lineRule="auto"/>
              <w:ind w:firstLine="0"/>
              <w:jc w:val="center"/>
            </w:pPr>
            <w:r>
              <w:rPr>
                <w:b/>
                <w:i w:val="0"/>
                <w:sz w:val="20"/>
              </w:rPr>
              <w:t>2024</w:t>
            </w:r>
          </w:p>
        </w:tc>
        <w:tc>
          <w:tcPr>
            <w:tcW w:type="dxa" w:w="1662"/>
            <w:shd w:val="clear" w:fill="DCE6F1"/>
          </w:tcPr>
          <w:p>
            <w:pPr>
              <w:spacing w:after="0" w:line="240" w:lineRule="auto"/>
              <w:ind w:firstLine="0"/>
              <w:jc w:val="center"/>
            </w:pPr>
            <w:r>
              <w:rPr>
                <w:b/>
                <w:i w:val="0"/>
                <w:sz w:val="20"/>
              </w:rPr>
              <w:t>2027</w:t>
            </w:r>
          </w:p>
        </w:tc>
        <w:tc>
          <w:tcPr>
            <w:tcW w:type="dxa" w:w="1662"/>
            <w:shd w:val="clear" w:fill="DCE6F1"/>
          </w:tcPr>
          <w:p>
            <w:pPr>
              <w:spacing w:after="0" w:line="240" w:lineRule="auto"/>
              <w:ind w:firstLine="0"/>
              <w:jc w:val="center"/>
            </w:pPr>
            <w:r>
              <w:rPr>
                <w:b/>
                <w:i w:val="0"/>
                <w:sz w:val="20"/>
              </w:rPr>
              <w:t>2030</w:t>
            </w:r>
          </w:p>
        </w:tc>
        <w:tc>
          <w:tcPr>
            <w:tcW w:type="dxa" w:w="1662"/>
            <w:shd w:val="clear" w:fill="DCE6F1"/>
          </w:tcPr>
          <w:p>
            <w:pPr>
              <w:spacing w:after="0" w:line="240" w:lineRule="auto"/>
              <w:ind w:firstLine="0"/>
              <w:jc w:val="center"/>
            </w:pPr>
            <w:r>
              <w:rPr>
                <w:b/>
                <w:i w:val="0"/>
                <w:sz w:val="20"/>
              </w:rPr>
              <w:t>2033</w:t>
            </w:r>
          </w:p>
        </w:tc>
        <w:tc>
          <w:tcPr>
            <w:tcW w:type="dxa" w:w="1662"/>
            <w:shd w:val="clear" w:fill="DCE6F1"/>
          </w:tcPr>
          <w:p>
            <w:pPr>
              <w:spacing w:after="0" w:line="240" w:lineRule="auto"/>
              <w:ind w:firstLine="0"/>
              <w:jc w:val="center"/>
            </w:pPr>
            <w:r>
              <w:rPr>
                <w:b/>
                <w:i w:val="0"/>
                <w:sz w:val="20"/>
              </w:rPr>
              <w:t>2035</w:t>
            </w:r>
          </w:p>
        </w:tc>
      </w:tr>
      <w:tr>
        <w:tc>
          <w:tcPr>
            <w:tcW w:type="dxa" w:w="1662"/>
          </w:tcPr>
          <w:p>
            <w:pPr>
              <w:spacing w:after="0" w:line="240" w:lineRule="auto"/>
              <w:ind w:firstLine="0"/>
              <w:jc w:val="left"/>
            </w:pPr>
            <w:r>
              <w:rPr>
                <w:b w:val="0"/>
                <w:i w:val="0"/>
                <w:sz w:val="20"/>
              </w:rPr>
              <w:t>NdPr: предложение</w:t>
            </w:r>
          </w:p>
        </w:tc>
        <w:tc>
          <w:tcPr>
            <w:tcW w:type="dxa" w:w="1662"/>
          </w:tcPr>
          <w:p>
            <w:pPr>
              <w:spacing w:after="0" w:line="240" w:lineRule="auto"/>
              <w:ind w:firstLine="0"/>
              <w:jc w:val="center"/>
            </w:pPr>
            <w:r>
              <w:rPr>
                <w:b w:val="0"/>
                <w:i w:val="0"/>
                <w:sz w:val="20"/>
              </w:rPr>
              <w:t>82 100</w:t>
            </w:r>
          </w:p>
        </w:tc>
        <w:tc>
          <w:tcPr>
            <w:tcW w:type="dxa" w:w="1662"/>
          </w:tcPr>
          <w:p>
            <w:pPr>
              <w:spacing w:after="0" w:line="240" w:lineRule="auto"/>
              <w:ind w:firstLine="0"/>
              <w:jc w:val="center"/>
            </w:pPr>
            <w:r>
              <w:rPr>
                <w:b w:val="0"/>
                <w:i w:val="0"/>
                <w:sz w:val="20"/>
              </w:rPr>
              <w:t>104 000</w:t>
            </w:r>
          </w:p>
        </w:tc>
        <w:tc>
          <w:tcPr>
            <w:tcW w:type="dxa" w:w="1662"/>
          </w:tcPr>
          <w:p>
            <w:pPr>
              <w:spacing w:after="0" w:line="240" w:lineRule="auto"/>
              <w:ind w:firstLine="0"/>
              <w:jc w:val="center"/>
            </w:pPr>
            <w:r>
              <w:rPr>
                <w:b w:val="0"/>
                <w:i w:val="0"/>
                <w:sz w:val="20"/>
              </w:rPr>
              <w:t>132 000</w:t>
            </w:r>
          </w:p>
        </w:tc>
        <w:tc>
          <w:tcPr>
            <w:tcW w:type="dxa" w:w="1662"/>
          </w:tcPr>
          <w:p>
            <w:pPr>
              <w:spacing w:after="0" w:line="240" w:lineRule="auto"/>
              <w:ind w:firstLine="0"/>
              <w:jc w:val="center"/>
            </w:pPr>
            <w:r>
              <w:rPr>
                <w:b w:val="0"/>
                <w:i w:val="0"/>
                <w:sz w:val="20"/>
              </w:rPr>
              <w:t>156 000</w:t>
            </w:r>
          </w:p>
        </w:tc>
        <w:tc>
          <w:tcPr>
            <w:tcW w:type="dxa" w:w="1662"/>
          </w:tcPr>
          <w:p>
            <w:pPr>
              <w:spacing w:after="0" w:line="240" w:lineRule="auto"/>
              <w:ind w:firstLine="0"/>
              <w:jc w:val="center"/>
            </w:pPr>
            <w:r>
              <w:rPr>
                <w:b w:val="0"/>
                <w:i w:val="0"/>
                <w:sz w:val="20"/>
              </w:rPr>
              <w:t>172 000</w:t>
            </w:r>
          </w:p>
        </w:tc>
      </w:tr>
      <w:tr>
        <w:tc>
          <w:tcPr>
            <w:tcW w:type="dxa" w:w="1662"/>
          </w:tcPr>
          <w:p>
            <w:pPr>
              <w:spacing w:after="0" w:line="240" w:lineRule="auto"/>
              <w:ind w:firstLine="0"/>
              <w:jc w:val="left"/>
            </w:pPr>
            <w:r>
              <w:rPr>
                <w:b w:val="0"/>
                <w:i w:val="0"/>
                <w:sz w:val="20"/>
              </w:rPr>
              <w:t>NdPr: спрос</w:t>
            </w:r>
          </w:p>
        </w:tc>
        <w:tc>
          <w:tcPr>
            <w:tcW w:type="dxa" w:w="1662"/>
          </w:tcPr>
          <w:p>
            <w:pPr>
              <w:spacing w:after="0" w:line="240" w:lineRule="auto"/>
              <w:ind w:firstLine="0"/>
              <w:jc w:val="center"/>
            </w:pPr>
            <w:r>
              <w:rPr>
                <w:b w:val="0"/>
                <w:i w:val="0"/>
                <w:sz w:val="20"/>
              </w:rPr>
              <w:t>55 000</w:t>
            </w:r>
          </w:p>
        </w:tc>
        <w:tc>
          <w:tcPr>
            <w:tcW w:type="dxa" w:w="1662"/>
          </w:tcPr>
          <w:p>
            <w:pPr>
              <w:spacing w:after="0" w:line="240" w:lineRule="auto"/>
              <w:ind w:firstLine="0"/>
              <w:jc w:val="center"/>
            </w:pPr>
            <w:r>
              <w:rPr>
                <w:b w:val="0"/>
                <w:i w:val="0"/>
                <w:sz w:val="20"/>
              </w:rPr>
              <w:t>73 000</w:t>
            </w:r>
          </w:p>
        </w:tc>
        <w:tc>
          <w:tcPr>
            <w:tcW w:type="dxa" w:w="1662"/>
          </w:tcPr>
          <w:p>
            <w:pPr>
              <w:spacing w:after="0" w:line="240" w:lineRule="auto"/>
              <w:ind w:firstLine="0"/>
              <w:jc w:val="center"/>
            </w:pPr>
            <w:r>
              <w:rPr>
                <w:b w:val="0"/>
                <w:i w:val="0"/>
                <w:sz w:val="20"/>
              </w:rPr>
              <w:t>92 000</w:t>
            </w:r>
          </w:p>
        </w:tc>
        <w:tc>
          <w:tcPr>
            <w:tcW w:type="dxa" w:w="1662"/>
          </w:tcPr>
          <w:p>
            <w:pPr>
              <w:spacing w:after="0" w:line="240" w:lineRule="auto"/>
              <w:ind w:firstLine="0"/>
              <w:jc w:val="center"/>
            </w:pPr>
            <w:r>
              <w:rPr>
                <w:b w:val="0"/>
                <w:i w:val="0"/>
                <w:sz w:val="20"/>
              </w:rPr>
              <w:t>111 500</w:t>
            </w:r>
          </w:p>
        </w:tc>
        <w:tc>
          <w:tcPr>
            <w:tcW w:type="dxa" w:w="1662"/>
          </w:tcPr>
          <w:p>
            <w:pPr>
              <w:spacing w:after="0" w:line="240" w:lineRule="auto"/>
              <w:ind w:firstLine="0"/>
              <w:jc w:val="center"/>
            </w:pPr>
            <w:r>
              <w:rPr>
                <w:b w:val="0"/>
                <w:i w:val="0"/>
                <w:sz w:val="20"/>
              </w:rPr>
              <w:t>124 500</w:t>
            </w:r>
          </w:p>
        </w:tc>
      </w:tr>
      <w:tr>
        <w:tc>
          <w:tcPr>
            <w:tcW w:type="dxa" w:w="1662"/>
          </w:tcPr>
          <w:p>
            <w:pPr>
              <w:spacing w:after="0" w:line="240" w:lineRule="auto"/>
              <w:ind w:firstLine="0"/>
              <w:jc w:val="left"/>
            </w:pPr>
            <w:r>
              <w:rPr>
                <w:b w:val="0"/>
                <w:i w:val="0"/>
                <w:sz w:val="20"/>
              </w:rPr>
              <w:t>NdPr: баланс</w:t>
            </w:r>
          </w:p>
        </w:tc>
        <w:tc>
          <w:tcPr>
            <w:tcW w:type="dxa" w:w="1662"/>
          </w:tcPr>
          <w:p>
            <w:pPr>
              <w:spacing w:after="0" w:line="240" w:lineRule="auto"/>
              <w:ind w:firstLine="0"/>
              <w:jc w:val="center"/>
            </w:pPr>
            <w:r>
              <w:rPr>
                <w:b w:val="0"/>
                <w:i w:val="0"/>
                <w:sz w:val="20"/>
              </w:rPr>
              <w:t>+27 100</w:t>
            </w:r>
          </w:p>
        </w:tc>
        <w:tc>
          <w:tcPr>
            <w:tcW w:type="dxa" w:w="1662"/>
          </w:tcPr>
          <w:p>
            <w:pPr>
              <w:spacing w:after="0" w:line="240" w:lineRule="auto"/>
              <w:ind w:firstLine="0"/>
              <w:jc w:val="center"/>
            </w:pPr>
            <w:r>
              <w:rPr>
                <w:b w:val="0"/>
                <w:i w:val="0"/>
                <w:sz w:val="20"/>
              </w:rPr>
              <w:t>+31 000</w:t>
            </w:r>
          </w:p>
        </w:tc>
        <w:tc>
          <w:tcPr>
            <w:tcW w:type="dxa" w:w="1662"/>
          </w:tcPr>
          <w:p>
            <w:pPr>
              <w:spacing w:after="0" w:line="240" w:lineRule="auto"/>
              <w:ind w:firstLine="0"/>
              <w:jc w:val="center"/>
            </w:pPr>
            <w:r>
              <w:rPr>
                <w:b w:val="0"/>
                <w:i w:val="0"/>
                <w:sz w:val="20"/>
              </w:rPr>
              <w:t>+40 000</w:t>
            </w:r>
          </w:p>
        </w:tc>
        <w:tc>
          <w:tcPr>
            <w:tcW w:type="dxa" w:w="1662"/>
          </w:tcPr>
          <w:p>
            <w:pPr>
              <w:spacing w:after="0" w:line="240" w:lineRule="auto"/>
              <w:ind w:firstLine="0"/>
              <w:jc w:val="center"/>
            </w:pPr>
            <w:r>
              <w:rPr>
                <w:b w:val="0"/>
                <w:i w:val="0"/>
                <w:sz w:val="20"/>
              </w:rPr>
              <w:t>+44 500</w:t>
            </w:r>
          </w:p>
        </w:tc>
        <w:tc>
          <w:tcPr>
            <w:tcW w:type="dxa" w:w="1662"/>
          </w:tcPr>
          <w:p>
            <w:pPr>
              <w:spacing w:after="0" w:line="240" w:lineRule="auto"/>
              <w:ind w:firstLine="0"/>
              <w:jc w:val="center"/>
            </w:pPr>
            <w:r>
              <w:rPr>
                <w:b w:val="0"/>
                <w:i w:val="0"/>
                <w:sz w:val="20"/>
              </w:rPr>
              <w:t>+47 500</w:t>
            </w:r>
          </w:p>
        </w:tc>
      </w:tr>
      <w:tr>
        <w:tc>
          <w:tcPr>
            <w:tcW w:type="dxa" w:w="1662"/>
          </w:tcPr>
          <w:p>
            <w:pPr>
              <w:spacing w:after="0" w:line="240" w:lineRule="auto"/>
              <w:ind w:firstLine="0"/>
              <w:jc w:val="left"/>
            </w:pPr>
            <w:r>
              <w:rPr>
                <w:b w:val="0"/>
                <w:i w:val="0"/>
                <w:sz w:val="20"/>
              </w:rPr>
              <w:t>Dy: предложение</w:t>
            </w:r>
          </w:p>
        </w:tc>
        <w:tc>
          <w:tcPr>
            <w:tcW w:type="dxa" w:w="1662"/>
          </w:tcPr>
          <w:p>
            <w:pPr>
              <w:spacing w:after="0" w:line="240" w:lineRule="auto"/>
              <w:ind w:firstLine="0"/>
              <w:jc w:val="center"/>
            </w:pPr>
            <w:r>
              <w:rPr>
                <w:b w:val="0"/>
                <w:i w:val="0"/>
                <w:sz w:val="20"/>
              </w:rPr>
              <w:t>4 300</w:t>
            </w:r>
          </w:p>
        </w:tc>
        <w:tc>
          <w:tcPr>
            <w:tcW w:type="dxa" w:w="1662"/>
          </w:tcPr>
          <w:p>
            <w:pPr>
              <w:spacing w:after="0" w:line="240" w:lineRule="auto"/>
              <w:ind w:firstLine="0"/>
              <w:jc w:val="center"/>
            </w:pPr>
            <w:r>
              <w:rPr>
                <w:b w:val="0"/>
                <w:i w:val="0"/>
                <w:sz w:val="20"/>
              </w:rPr>
              <w:t>5 100</w:t>
            </w:r>
          </w:p>
        </w:tc>
        <w:tc>
          <w:tcPr>
            <w:tcW w:type="dxa" w:w="1662"/>
          </w:tcPr>
          <w:p>
            <w:pPr>
              <w:spacing w:after="0" w:line="240" w:lineRule="auto"/>
              <w:ind w:firstLine="0"/>
              <w:jc w:val="center"/>
            </w:pPr>
            <w:r>
              <w:rPr>
                <w:b w:val="0"/>
                <w:i w:val="0"/>
                <w:sz w:val="20"/>
              </w:rPr>
              <w:t>6 400</w:t>
            </w:r>
          </w:p>
        </w:tc>
        <w:tc>
          <w:tcPr>
            <w:tcW w:type="dxa" w:w="1662"/>
          </w:tcPr>
          <w:p>
            <w:pPr>
              <w:spacing w:after="0" w:line="240" w:lineRule="auto"/>
              <w:ind w:firstLine="0"/>
              <w:jc w:val="center"/>
            </w:pPr>
            <w:r>
              <w:rPr>
                <w:b w:val="0"/>
                <w:i w:val="0"/>
                <w:sz w:val="20"/>
              </w:rPr>
              <w:t>7 600</w:t>
            </w:r>
          </w:p>
        </w:tc>
        <w:tc>
          <w:tcPr>
            <w:tcW w:type="dxa" w:w="1662"/>
          </w:tcPr>
          <w:p>
            <w:pPr>
              <w:spacing w:after="0" w:line="240" w:lineRule="auto"/>
              <w:ind w:firstLine="0"/>
              <w:jc w:val="center"/>
            </w:pPr>
            <w:r>
              <w:rPr>
                <w:b w:val="0"/>
                <w:i w:val="0"/>
                <w:sz w:val="20"/>
              </w:rPr>
              <w:t>8 400</w:t>
            </w:r>
          </w:p>
        </w:tc>
      </w:tr>
      <w:tr>
        <w:tc>
          <w:tcPr>
            <w:tcW w:type="dxa" w:w="1662"/>
          </w:tcPr>
          <w:p>
            <w:pPr>
              <w:spacing w:after="0" w:line="240" w:lineRule="auto"/>
              <w:ind w:firstLine="0"/>
              <w:jc w:val="left"/>
            </w:pPr>
            <w:r>
              <w:rPr>
                <w:b w:val="0"/>
                <w:i w:val="0"/>
                <w:sz w:val="20"/>
              </w:rPr>
              <w:t>Dy: спрос</w:t>
            </w:r>
          </w:p>
        </w:tc>
        <w:tc>
          <w:tcPr>
            <w:tcW w:type="dxa" w:w="1662"/>
          </w:tcPr>
          <w:p>
            <w:pPr>
              <w:spacing w:after="0" w:line="240" w:lineRule="auto"/>
              <w:ind w:firstLine="0"/>
              <w:jc w:val="center"/>
            </w:pPr>
            <w:r>
              <w:rPr>
                <w:b w:val="0"/>
                <w:i w:val="0"/>
                <w:sz w:val="20"/>
              </w:rPr>
              <w:t>3 300</w:t>
            </w:r>
          </w:p>
        </w:tc>
        <w:tc>
          <w:tcPr>
            <w:tcW w:type="dxa" w:w="1662"/>
          </w:tcPr>
          <w:p>
            <w:pPr>
              <w:spacing w:after="0" w:line="240" w:lineRule="auto"/>
              <w:ind w:firstLine="0"/>
              <w:jc w:val="center"/>
            </w:pPr>
            <w:r>
              <w:rPr>
                <w:b w:val="0"/>
                <w:i w:val="0"/>
                <w:sz w:val="20"/>
              </w:rPr>
              <w:t>4 250</w:t>
            </w:r>
          </w:p>
        </w:tc>
        <w:tc>
          <w:tcPr>
            <w:tcW w:type="dxa" w:w="1662"/>
          </w:tcPr>
          <w:p>
            <w:pPr>
              <w:spacing w:after="0" w:line="240" w:lineRule="auto"/>
              <w:ind w:firstLine="0"/>
              <w:jc w:val="center"/>
            </w:pPr>
            <w:r>
              <w:rPr>
                <w:b w:val="0"/>
                <w:i w:val="0"/>
                <w:sz w:val="20"/>
              </w:rPr>
              <w:t>5 200</w:t>
            </w:r>
          </w:p>
        </w:tc>
        <w:tc>
          <w:tcPr>
            <w:tcW w:type="dxa" w:w="1662"/>
          </w:tcPr>
          <w:p>
            <w:pPr>
              <w:spacing w:after="0" w:line="240" w:lineRule="auto"/>
              <w:ind w:firstLine="0"/>
              <w:jc w:val="center"/>
            </w:pPr>
            <w:r>
              <w:rPr>
                <w:b w:val="0"/>
                <w:i w:val="0"/>
                <w:sz w:val="20"/>
              </w:rPr>
              <w:t>6 100</w:t>
            </w:r>
          </w:p>
        </w:tc>
        <w:tc>
          <w:tcPr>
            <w:tcW w:type="dxa" w:w="1662"/>
          </w:tcPr>
          <w:p>
            <w:pPr>
              <w:spacing w:after="0" w:line="240" w:lineRule="auto"/>
              <w:ind w:firstLine="0"/>
              <w:jc w:val="center"/>
            </w:pPr>
            <w:r>
              <w:rPr>
                <w:b w:val="0"/>
                <w:i w:val="0"/>
                <w:sz w:val="20"/>
              </w:rPr>
              <w:t>6 700</w:t>
            </w:r>
          </w:p>
        </w:tc>
      </w:tr>
      <w:tr>
        <w:tc>
          <w:tcPr>
            <w:tcW w:type="dxa" w:w="1662"/>
          </w:tcPr>
          <w:p>
            <w:pPr>
              <w:spacing w:after="0" w:line="240" w:lineRule="auto"/>
              <w:ind w:firstLine="0"/>
              <w:jc w:val="left"/>
            </w:pPr>
            <w:r>
              <w:rPr>
                <w:b w:val="0"/>
                <w:i w:val="0"/>
                <w:sz w:val="20"/>
              </w:rPr>
              <w:t>Dy: баланс</w:t>
            </w:r>
          </w:p>
        </w:tc>
        <w:tc>
          <w:tcPr>
            <w:tcW w:type="dxa" w:w="1662"/>
          </w:tcPr>
          <w:p>
            <w:pPr>
              <w:spacing w:after="0" w:line="240" w:lineRule="auto"/>
              <w:ind w:firstLine="0"/>
              <w:jc w:val="center"/>
            </w:pPr>
            <w:r>
              <w:rPr>
                <w:b w:val="0"/>
                <w:i w:val="0"/>
                <w:sz w:val="20"/>
              </w:rPr>
              <w:t>+1 000</w:t>
            </w:r>
          </w:p>
        </w:tc>
        <w:tc>
          <w:tcPr>
            <w:tcW w:type="dxa" w:w="1662"/>
          </w:tcPr>
          <w:p>
            <w:pPr>
              <w:spacing w:after="0" w:line="240" w:lineRule="auto"/>
              <w:ind w:firstLine="0"/>
              <w:jc w:val="center"/>
            </w:pPr>
            <w:r>
              <w:rPr>
                <w:b w:val="0"/>
                <w:i w:val="0"/>
                <w:sz w:val="20"/>
              </w:rPr>
              <w:t>+850</w:t>
            </w:r>
          </w:p>
        </w:tc>
        <w:tc>
          <w:tcPr>
            <w:tcW w:type="dxa" w:w="1662"/>
          </w:tcPr>
          <w:p>
            <w:pPr>
              <w:spacing w:after="0" w:line="240" w:lineRule="auto"/>
              <w:ind w:firstLine="0"/>
              <w:jc w:val="center"/>
            </w:pPr>
            <w:r>
              <w:rPr>
                <w:b w:val="0"/>
                <w:i w:val="0"/>
                <w:sz w:val="20"/>
              </w:rPr>
              <w:t>+1 200</w:t>
            </w:r>
          </w:p>
        </w:tc>
        <w:tc>
          <w:tcPr>
            <w:tcW w:type="dxa" w:w="1662"/>
          </w:tcPr>
          <w:p>
            <w:pPr>
              <w:spacing w:after="0" w:line="240" w:lineRule="auto"/>
              <w:ind w:firstLine="0"/>
              <w:jc w:val="center"/>
            </w:pPr>
            <w:r>
              <w:rPr>
                <w:b w:val="0"/>
                <w:i w:val="0"/>
                <w:sz w:val="20"/>
              </w:rPr>
              <w:t>+1 500</w:t>
            </w:r>
          </w:p>
        </w:tc>
        <w:tc>
          <w:tcPr>
            <w:tcW w:type="dxa" w:w="1662"/>
          </w:tcPr>
          <w:p>
            <w:pPr>
              <w:spacing w:after="0" w:line="240" w:lineRule="auto"/>
              <w:ind w:firstLine="0"/>
              <w:jc w:val="center"/>
            </w:pPr>
            <w:r>
              <w:rPr>
                <w:b w:val="0"/>
                <w:i w:val="0"/>
                <w:sz w:val="20"/>
              </w:rPr>
              <w:t>+1 700</w:t>
            </w:r>
          </w:p>
        </w:tc>
      </w:tr>
      <w:tr>
        <w:tc>
          <w:tcPr>
            <w:tcW w:type="dxa" w:w="1662"/>
          </w:tcPr>
          <w:p>
            <w:pPr>
              <w:spacing w:after="0" w:line="240" w:lineRule="auto"/>
              <w:ind w:firstLine="0"/>
              <w:jc w:val="left"/>
            </w:pPr>
            <w:r>
              <w:rPr>
                <w:b w:val="0"/>
                <w:i w:val="0"/>
                <w:sz w:val="20"/>
              </w:rPr>
              <w:t>Tb: предложение</w:t>
            </w:r>
          </w:p>
        </w:tc>
        <w:tc>
          <w:tcPr>
            <w:tcW w:type="dxa" w:w="1662"/>
          </w:tcPr>
          <w:p>
            <w:pPr>
              <w:spacing w:after="0" w:line="240" w:lineRule="auto"/>
              <w:ind w:firstLine="0"/>
              <w:jc w:val="center"/>
            </w:pPr>
            <w:r>
              <w:rPr>
                <w:b w:val="0"/>
                <w:i w:val="0"/>
                <w:sz w:val="20"/>
              </w:rPr>
              <w:t>980</w:t>
            </w:r>
          </w:p>
        </w:tc>
        <w:tc>
          <w:tcPr>
            <w:tcW w:type="dxa" w:w="1662"/>
          </w:tcPr>
          <w:p>
            <w:pPr>
              <w:spacing w:after="0" w:line="240" w:lineRule="auto"/>
              <w:ind w:firstLine="0"/>
              <w:jc w:val="center"/>
            </w:pPr>
            <w:r>
              <w:rPr>
                <w:b w:val="0"/>
                <w:i w:val="0"/>
                <w:sz w:val="20"/>
              </w:rPr>
              <w:t>1 200</w:t>
            </w:r>
          </w:p>
        </w:tc>
        <w:tc>
          <w:tcPr>
            <w:tcW w:type="dxa" w:w="1662"/>
          </w:tcPr>
          <w:p>
            <w:pPr>
              <w:spacing w:after="0" w:line="240" w:lineRule="auto"/>
              <w:ind w:firstLine="0"/>
              <w:jc w:val="center"/>
            </w:pPr>
            <w:r>
              <w:rPr>
                <w:b w:val="0"/>
                <w:i w:val="0"/>
                <w:sz w:val="20"/>
              </w:rPr>
              <w:t>1 520</w:t>
            </w:r>
          </w:p>
        </w:tc>
        <w:tc>
          <w:tcPr>
            <w:tcW w:type="dxa" w:w="1662"/>
          </w:tcPr>
          <w:p>
            <w:pPr>
              <w:spacing w:after="0" w:line="240" w:lineRule="auto"/>
              <w:ind w:firstLine="0"/>
              <w:jc w:val="center"/>
            </w:pPr>
            <w:r>
              <w:rPr>
                <w:b w:val="0"/>
                <w:i w:val="0"/>
                <w:sz w:val="20"/>
              </w:rPr>
              <w:t>1 850</w:t>
            </w:r>
          </w:p>
        </w:tc>
        <w:tc>
          <w:tcPr>
            <w:tcW w:type="dxa" w:w="1662"/>
          </w:tcPr>
          <w:p>
            <w:pPr>
              <w:spacing w:after="0" w:line="240" w:lineRule="auto"/>
              <w:ind w:firstLine="0"/>
              <w:jc w:val="center"/>
            </w:pPr>
            <w:r>
              <w:rPr>
                <w:b w:val="0"/>
                <w:i w:val="0"/>
                <w:sz w:val="20"/>
              </w:rPr>
              <w:t>2 060</w:t>
            </w:r>
          </w:p>
        </w:tc>
      </w:tr>
      <w:tr>
        <w:tc>
          <w:tcPr>
            <w:tcW w:type="dxa" w:w="1662"/>
          </w:tcPr>
          <w:p>
            <w:pPr>
              <w:spacing w:after="0" w:line="240" w:lineRule="auto"/>
              <w:ind w:firstLine="0"/>
              <w:jc w:val="left"/>
            </w:pPr>
            <w:r>
              <w:rPr>
                <w:b w:val="0"/>
                <w:i w:val="0"/>
                <w:sz w:val="20"/>
              </w:rPr>
              <w:t>Tb: спрос</w:t>
            </w:r>
          </w:p>
        </w:tc>
        <w:tc>
          <w:tcPr>
            <w:tcW w:type="dxa" w:w="1662"/>
          </w:tcPr>
          <w:p>
            <w:pPr>
              <w:spacing w:after="0" w:line="240" w:lineRule="auto"/>
              <w:ind w:firstLine="0"/>
              <w:jc w:val="center"/>
            </w:pPr>
            <w:r>
              <w:rPr>
                <w:b w:val="0"/>
                <w:i w:val="0"/>
                <w:sz w:val="20"/>
              </w:rPr>
              <w:t>900</w:t>
            </w:r>
          </w:p>
        </w:tc>
        <w:tc>
          <w:tcPr>
            <w:tcW w:type="dxa" w:w="1662"/>
          </w:tcPr>
          <w:p>
            <w:pPr>
              <w:spacing w:after="0" w:line="240" w:lineRule="auto"/>
              <w:ind w:firstLine="0"/>
              <w:jc w:val="center"/>
            </w:pPr>
            <w:r>
              <w:rPr>
                <w:b w:val="0"/>
                <w:i w:val="0"/>
                <w:sz w:val="20"/>
              </w:rPr>
              <w:t>1 180</w:t>
            </w:r>
          </w:p>
        </w:tc>
        <w:tc>
          <w:tcPr>
            <w:tcW w:type="dxa" w:w="1662"/>
          </w:tcPr>
          <w:p>
            <w:pPr>
              <w:spacing w:after="0" w:line="240" w:lineRule="auto"/>
              <w:ind w:firstLine="0"/>
              <w:jc w:val="center"/>
            </w:pPr>
            <w:r>
              <w:rPr>
                <w:b w:val="0"/>
                <w:i w:val="0"/>
                <w:sz w:val="20"/>
              </w:rPr>
              <w:t>1 450</w:t>
            </w:r>
          </w:p>
        </w:tc>
        <w:tc>
          <w:tcPr>
            <w:tcW w:type="dxa" w:w="1662"/>
          </w:tcPr>
          <w:p>
            <w:pPr>
              <w:spacing w:after="0" w:line="240" w:lineRule="auto"/>
              <w:ind w:firstLine="0"/>
              <w:jc w:val="center"/>
            </w:pPr>
            <w:r>
              <w:rPr>
                <w:b w:val="0"/>
                <w:i w:val="0"/>
                <w:sz w:val="20"/>
              </w:rPr>
              <w:t>1 720</w:t>
            </w:r>
          </w:p>
        </w:tc>
        <w:tc>
          <w:tcPr>
            <w:tcW w:type="dxa" w:w="1662"/>
          </w:tcPr>
          <w:p>
            <w:pPr>
              <w:spacing w:after="0" w:line="240" w:lineRule="auto"/>
              <w:ind w:firstLine="0"/>
              <w:jc w:val="center"/>
            </w:pPr>
            <w:r>
              <w:rPr>
                <w:b w:val="0"/>
                <w:i w:val="0"/>
                <w:sz w:val="20"/>
              </w:rPr>
              <w:t>1 890</w:t>
            </w:r>
          </w:p>
        </w:tc>
      </w:tr>
      <w:tr>
        <w:tc>
          <w:tcPr>
            <w:tcW w:type="dxa" w:w="1662"/>
          </w:tcPr>
          <w:p>
            <w:pPr>
              <w:spacing w:after="0" w:line="240" w:lineRule="auto"/>
              <w:ind w:firstLine="0"/>
              <w:jc w:val="left"/>
            </w:pPr>
            <w:r>
              <w:rPr>
                <w:b w:val="0"/>
                <w:i w:val="0"/>
                <w:sz w:val="20"/>
              </w:rPr>
              <w:t>Tb: баланс</w:t>
            </w:r>
          </w:p>
        </w:tc>
        <w:tc>
          <w:tcPr>
            <w:tcW w:type="dxa" w:w="1662"/>
          </w:tcPr>
          <w:p>
            <w:pPr>
              <w:spacing w:after="0" w:line="240" w:lineRule="auto"/>
              <w:ind w:firstLine="0"/>
              <w:jc w:val="center"/>
            </w:pPr>
            <w:r>
              <w:rPr>
                <w:b w:val="0"/>
                <w:i w:val="0"/>
                <w:sz w:val="20"/>
              </w:rPr>
              <w:t>+80</w:t>
            </w:r>
          </w:p>
        </w:tc>
        <w:tc>
          <w:tcPr>
            <w:tcW w:type="dxa" w:w="1662"/>
          </w:tcPr>
          <w:p>
            <w:pPr>
              <w:spacing w:after="0" w:line="240" w:lineRule="auto"/>
              <w:ind w:firstLine="0"/>
              <w:jc w:val="center"/>
            </w:pPr>
            <w:r>
              <w:rPr>
                <w:b w:val="0"/>
                <w:i w:val="0"/>
                <w:sz w:val="20"/>
              </w:rPr>
              <w:t>+20</w:t>
            </w:r>
          </w:p>
        </w:tc>
        <w:tc>
          <w:tcPr>
            <w:tcW w:type="dxa" w:w="1662"/>
          </w:tcPr>
          <w:p>
            <w:pPr>
              <w:spacing w:after="0" w:line="240" w:lineRule="auto"/>
              <w:ind w:firstLine="0"/>
              <w:jc w:val="center"/>
            </w:pPr>
            <w:r>
              <w:rPr>
                <w:b w:val="0"/>
                <w:i w:val="0"/>
                <w:sz w:val="20"/>
              </w:rPr>
              <w:t>+70</w:t>
            </w:r>
          </w:p>
        </w:tc>
        <w:tc>
          <w:tcPr>
            <w:tcW w:type="dxa" w:w="1662"/>
          </w:tcPr>
          <w:p>
            <w:pPr>
              <w:spacing w:after="0" w:line="240" w:lineRule="auto"/>
              <w:ind w:firstLine="0"/>
              <w:jc w:val="center"/>
            </w:pPr>
            <w:r>
              <w:rPr>
                <w:b w:val="0"/>
                <w:i w:val="0"/>
                <w:sz w:val="20"/>
              </w:rPr>
              <w:t>+130</w:t>
            </w:r>
          </w:p>
        </w:tc>
        <w:tc>
          <w:tcPr>
            <w:tcW w:type="dxa" w:w="1662"/>
          </w:tcPr>
          <w:p>
            <w:pPr>
              <w:spacing w:after="0" w:line="240" w:lineRule="auto"/>
              <w:ind w:firstLine="0"/>
              <w:jc w:val="center"/>
            </w:pPr>
            <w:r>
              <w:rPr>
                <w:b w:val="0"/>
                <w:i w:val="0"/>
                <w:sz w:val="20"/>
              </w:rPr>
              <w:t>+170</w:t>
            </w:r>
          </w:p>
        </w:tc>
      </w:tr>
    </w:tbl>
    <w:p>
      <w:pPr>
        <w:spacing w:after="180"/>
        <w:ind w:firstLine="0"/>
      </w:pPr>
      <w:r>
        <w:rPr>
          <w:i/>
          <w:sz w:val="20"/>
        </w:rPr>
        <w:t>Источник: прогноз аналитического центра</w:t>
      </w:r>
    </w:p>
    <w:p>
      <w:pPr>
        <w:keepNext/>
        <w:spacing w:before="160" w:after="60"/>
        <w:ind w:firstLine="0"/>
        <w:jc w:val="left"/>
      </w:pPr>
      <w:r>
        <w:rPr>
          <w:b/>
          <w:sz w:val="22"/>
        </w:rPr>
        <w:t>Рисунок 47. Прогнозный баланс мирового рынка тербия и диспрозия, 2024–2035 гг., т оксида</w:t>
      </w:r>
    </w:p>
    <w:p>
      <w:pPr>
        <w:ind w:firstLine="0"/>
        <w:jc w:val="center"/>
      </w:pPr>
      <w:r>
        <w:drawing>
          <wp:inline xmlns:a="http://schemas.openxmlformats.org/drawingml/2006/main" xmlns:pic="http://schemas.openxmlformats.org/drawingml/2006/picture">
            <wp:extent cx="5580000" cy="2729348"/>
            <wp:docPr id="47" name="Picture 47"/>
            <wp:cNvGraphicFramePr>
              <a:graphicFrameLocks noChangeAspect="1"/>
            </wp:cNvGraphicFramePr>
            <a:graphic>
              <a:graphicData uri="http://schemas.openxmlformats.org/drawingml/2006/picture">
                <pic:pic>
                  <pic:nvPicPr>
                    <pic:cNvPr id="0" name="fig47.png"/>
                    <pic:cNvPicPr/>
                  </pic:nvPicPr>
                  <pic:blipFill>
                    <a:blip r:embed="rId57"/>
                    <a:stretch>
                      <a:fillRect/>
                    </a:stretch>
                  </pic:blipFill>
                  <pic:spPr>
                    <a:xfrm>
                      <a:off x="0" y="0"/>
                      <a:ext cx="5580000" cy="2729348"/>
                    </a:xfrm>
                    <a:prstGeom prst="rect"/>
                  </pic:spPr>
                </pic:pic>
              </a:graphicData>
            </a:graphic>
          </wp:inline>
        </w:drawing>
      </w:r>
    </w:p>
    <w:p>
      <w:pPr>
        <w:spacing w:after="180"/>
        <w:ind w:firstLine="0"/>
      </w:pPr>
      <w:r>
        <w:rPr>
          <w:i/>
          <w:sz w:val="20"/>
        </w:rPr>
        <w:t>Источник: прогноз аналитического центра (табл. 59)</w:t>
      </w:r>
    </w:p>
    <w:p>
      <w:r>
        <w:rPr>
          <w:b w:val="0"/>
          <w:i w:val="0"/>
        </w:rPr>
        <w:t>Баланс по тербию на протяжении всего прогнозного периода остаётся напряжённым: превышение предложения над спросом не выходит за пределы 2–9%, что для рынка с высокой волатильностью поставок эквивалентно состоянию хронического дефицита. Любое нарушение поставок из Мьянмы (а на неё приходится порядка половины мирового первичного тербия) немедленно переводит баланс в отрицательную зону. Это определяет сохранение высокой и волатильной цены тербия на всём горизонте прогноза.</w:t>
      </w:r>
    </w:p>
    <w:p>
      <w:r>
        <w:rPr>
          <w:b w:val="0"/>
          <w:i w:val="0"/>
        </w:rPr>
        <w:t>Баланс по диспрозию несколько более комфортен, однако и он критически зависит от единственного источника. Диверсификация поставок тяжёлой группы — за счёт Iluka (Австралия), Serra Verde и Caldeira (Бразилия), Lofdal (Намибия), Aclara (Чили, Бразилия) и, потенциально, Томтора (Россия) — является ключевым фактором, способным изменить структуру этого рынка к началу 2030-х гг.</w:t>
      </w:r>
    </w:p>
    <w:p>
      <w:pPr>
        <w:pStyle w:val="Heading2"/>
      </w:pPr>
      <w:r>
        <w:rPr>
          <w:b w:val="0"/>
          <w:i w:val="0"/>
        </w:rPr>
        <w:t>8.5. Прогноз цен</w:t>
      </w:r>
    </w:p>
    <w:p>
      <w:pPr>
        <w:keepNext/>
        <w:spacing w:before="160" w:after="60"/>
        <w:ind w:firstLine="0"/>
        <w:jc w:val="left"/>
      </w:pPr>
      <w:r>
        <w:rPr>
          <w:b/>
          <w:sz w:val="22"/>
        </w:rPr>
        <w:t>Таблица 60. Прогноз цен на основные редкоземельные оксиды до 2035 г., $/кг (базовый сценарий, в ценах 2025 г.)</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Оксид</w:t>
            </w:r>
          </w:p>
        </w:tc>
        <w:tc>
          <w:tcPr>
            <w:tcW w:type="dxa" w:w="1662"/>
            <w:shd w:val="clear" w:fill="DCE6F1"/>
          </w:tcPr>
          <w:p>
            <w:pPr>
              <w:spacing w:after="0" w:line="240" w:lineRule="auto"/>
              <w:ind w:firstLine="0"/>
              <w:jc w:val="center"/>
            </w:pPr>
            <w:r>
              <w:rPr>
                <w:b/>
                <w:i w:val="0"/>
                <w:sz w:val="20"/>
              </w:rPr>
              <w:t>2025</w:t>
            </w:r>
          </w:p>
        </w:tc>
        <w:tc>
          <w:tcPr>
            <w:tcW w:type="dxa" w:w="1662"/>
            <w:shd w:val="clear" w:fill="DCE6F1"/>
          </w:tcPr>
          <w:p>
            <w:pPr>
              <w:spacing w:after="0" w:line="240" w:lineRule="auto"/>
              <w:ind w:firstLine="0"/>
              <w:jc w:val="center"/>
            </w:pPr>
            <w:r>
              <w:rPr>
                <w:b/>
                <w:i w:val="0"/>
                <w:sz w:val="20"/>
              </w:rPr>
              <w:t>2027</w:t>
            </w:r>
          </w:p>
        </w:tc>
        <w:tc>
          <w:tcPr>
            <w:tcW w:type="dxa" w:w="1662"/>
            <w:shd w:val="clear" w:fill="DCE6F1"/>
          </w:tcPr>
          <w:p>
            <w:pPr>
              <w:spacing w:after="0" w:line="240" w:lineRule="auto"/>
              <w:ind w:firstLine="0"/>
              <w:jc w:val="center"/>
            </w:pPr>
            <w:r>
              <w:rPr>
                <w:b/>
                <w:i w:val="0"/>
                <w:sz w:val="20"/>
              </w:rPr>
              <w:t>2030</w:t>
            </w:r>
          </w:p>
        </w:tc>
        <w:tc>
          <w:tcPr>
            <w:tcW w:type="dxa" w:w="1662"/>
            <w:shd w:val="clear" w:fill="DCE6F1"/>
          </w:tcPr>
          <w:p>
            <w:pPr>
              <w:spacing w:after="0" w:line="240" w:lineRule="auto"/>
              <w:ind w:firstLine="0"/>
              <w:jc w:val="center"/>
            </w:pPr>
            <w:r>
              <w:rPr>
                <w:b/>
                <w:i w:val="0"/>
                <w:sz w:val="20"/>
              </w:rPr>
              <w:t>2033</w:t>
            </w:r>
          </w:p>
        </w:tc>
        <w:tc>
          <w:tcPr>
            <w:tcW w:type="dxa" w:w="1662"/>
            <w:shd w:val="clear" w:fill="DCE6F1"/>
          </w:tcPr>
          <w:p>
            <w:pPr>
              <w:spacing w:after="0" w:line="240" w:lineRule="auto"/>
              <w:ind w:firstLine="0"/>
              <w:jc w:val="center"/>
            </w:pPr>
            <w:r>
              <w:rPr>
                <w:b/>
                <w:i w:val="0"/>
                <w:sz w:val="20"/>
              </w:rPr>
              <w:t>2035</w:t>
            </w:r>
          </w:p>
        </w:tc>
      </w:tr>
      <w:tr>
        <w:tc>
          <w:tcPr>
            <w:tcW w:type="dxa" w:w="1662"/>
          </w:tcPr>
          <w:p>
            <w:pPr>
              <w:spacing w:after="0" w:line="240" w:lineRule="auto"/>
              <w:ind w:firstLine="0"/>
              <w:jc w:val="left"/>
            </w:pPr>
            <w:r>
              <w:rPr>
                <w:b w:val="0"/>
                <w:i w:val="0"/>
                <w:sz w:val="20"/>
              </w:rPr>
              <w:t>NdPr</w:t>
            </w:r>
          </w:p>
        </w:tc>
        <w:tc>
          <w:tcPr>
            <w:tcW w:type="dxa" w:w="1662"/>
          </w:tcPr>
          <w:p>
            <w:pPr>
              <w:spacing w:after="0" w:line="240" w:lineRule="auto"/>
              <w:ind w:firstLine="0"/>
              <w:jc w:val="center"/>
            </w:pPr>
            <w:r>
              <w:rPr>
                <w:b w:val="0"/>
                <w:i w:val="0"/>
                <w:sz w:val="20"/>
              </w:rPr>
              <w:t>77</w:t>
            </w:r>
          </w:p>
        </w:tc>
        <w:tc>
          <w:tcPr>
            <w:tcW w:type="dxa" w:w="1662"/>
          </w:tcPr>
          <w:p>
            <w:pPr>
              <w:spacing w:after="0" w:line="240" w:lineRule="auto"/>
              <w:ind w:firstLine="0"/>
              <w:jc w:val="center"/>
            </w:pPr>
            <w:r>
              <w:rPr>
                <w:b w:val="0"/>
                <w:i w:val="0"/>
                <w:sz w:val="20"/>
              </w:rPr>
              <w:t>82</w:t>
            </w:r>
          </w:p>
        </w:tc>
        <w:tc>
          <w:tcPr>
            <w:tcW w:type="dxa" w:w="1662"/>
          </w:tcPr>
          <w:p>
            <w:pPr>
              <w:spacing w:after="0" w:line="240" w:lineRule="auto"/>
              <w:ind w:firstLine="0"/>
              <w:jc w:val="center"/>
            </w:pPr>
            <w:r>
              <w:rPr>
                <w:b w:val="0"/>
                <w:i w:val="0"/>
                <w:sz w:val="20"/>
              </w:rPr>
              <w:t>88</w:t>
            </w:r>
          </w:p>
        </w:tc>
        <w:tc>
          <w:tcPr>
            <w:tcW w:type="dxa" w:w="1662"/>
          </w:tcPr>
          <w:p>
            <w:pPr>
              <w:spacing w:after="0" w:line="240" w:lineRule="auto"/>
              <w:ind w:firstLine="0"/>
              <w:jc w:val="center"/>
            </w:pPr>
            <w:r>
              <w:rPr>
                <w:b w:val="0"/>
                <w:i w:val="0"/>
                <w:sz w:val="20"/>
              </w:rPr>
              <w:t>92</w:t>
            </w:r>
          </w:p>
        </w:tc>
        <w:tc>
          <w:tcPr>
            <w:tcW w:type="dxa" w:w="1662"/>
          </w:tcPr>
          <w:p>
            <w:pPr>
              <w:spacing w:after="0" w:line="240" w:lineRule="auto"/>
              <w:ind w:firstLine="0"/>
              <w:jc w:val="center"/>
            </w:pPr>
            <w:r>
              <w:rPr>
                <w:b w:val="0"/>
                <w:i w:val="0"/>
                <w:sz w:val="20"/>
              </w:rPr>
              <w:t>95</w:t>
            </w:r>
          </w:p>
        </w:tc>
      </w:tr>
      <w:tr>
        <w:tc>
          <w:tcPr>
            <w:tcW w:type="dxa" w:w="1662"/>
          </w:tcPr>
          <w:p>
            <w:pPr>
              <w:spacing w:after="0" w:line="240" w:lineRule="auto"/>
              <w:ind w:firstLine="0"/>
              <w:jc w:val="left"/>
            </w:pPr>
            <w:r>
              <w:rPr>
                <w:b w:val="0"/>
                <w:i w:val="0"/>
                <w:sz w:val="20"/>
              </w:rPr>
              <w:t>La₂O₃</w:t>
            </w:r>
          </w:p>
        </w:tc>
        <w:tc>
          <w:tcPr>
            <w:tcW w:type="dxa" w:w="1662"/>
          </w:tcPr>
          <w:p>
            <w:pPr>
              <w:spacing w:after="0" w:line="240" w:lineRule="auto"/>
              <w:ind w:firstLine="0"/>
              <w:jc w:val="center"/>
            </w:pPr>
            <w:r>
              <w:rPr>
                <w:b w:val="0"/>
                <w:i w:val="0"/>
                <w:sz w:val="20"/>
              </w:rPr>
              <w:t>0,9</w:t>
            </w:r>
          </w:p>
        </w:tc>
        <w:tc>
          <w:tcPr>
            <w:tcW w:type="dxa" w:w="1662"/>
          </w:tcPr>
          <w:p>
            <w:pPr>
              <w:spacing w:after="0" w:line="240" w:lineRule="auto"/>
              <w:ind w:firstLine="0"/>
              <w:jc w:val="center"/>
            </w:pPr>
            <w:r>
              <w:rPr>
                <w:b w:val="0"/>
                <w:i w:val="0"/>
                <w:sz w:val="20"/>
              </w:rPr>
              <w:t>0,9</w:t>
            </w:r>
          </w:p>
        </w:tc>
        <w:tc>
          <w:tcPr>
            <w:tcW w:type="dxa" w:w="1662"/>
          </w:tcPr>
          <w:p>
            <w:pPr>
              <w:spacing w:after="0" w:line="240" w:lineRule="auto"/>
              <w:ind w:firstLine="0"/>
              <w:jc w:val="center"/>
            </w:pPr>
            <w:r>
              <w:rPr>
                <w:b w:val="0"/>
                <w:i w:val="0"/>
                <w:sz w:val="20"/>
              </w:rPr>
              <w:t>0,8</w:t>
            </w:r>
          </w:p>
        </w:tc>
        <w:tc>
          <w:tcPr>
            <w:tcW w:type="dxa" w:w="1662"/>
          </w:tcPr>
          <w:p>
            <w:pPr>
              <w:spacing w:after="0" w:line="240" w:lineRule="auto"/>
              <w:ind w:firstLine="0"/>
              <w:jc w:val="center"/>
            </w:pPr>
            <w:r>
              <w:rPr>
                <w:b w:val="0"/>
                <w:i w:val="0"/>
                <w:sz w:val="20"/>
              </w:rPr>
              <w:t>0,8</w:t>
            </w:r>
          </w:p>
        </w:tc>
        <w:tc>
          <w:tcPr>
            <w:tcW w:type="dxa" w:w="1662"/>
          </w:tcPr>
          <w:p>
            <w:pPr>
              <w:spacing w:after="0" w:line="240" w:lineRule="auto"/>
              <w:ind w:firstLine="0"/>
              <w:jc w:val="center"/>
            </w:pPr>
            <w:r>
              <w:rPr>
                <w:b w:val="0"/>
                <w:i w:val="0"/>
                <w:sz w:val="20"/>
              </w:rPr>
              <w:t>0,7</w:t>
            </w:r>
          </w:p>
        </w:tc>
      </w:tr>
      <w:tr>
        <w:tc>
          <w:tcPr>
            <w:tcW w:type="dxa" w:w="1662"/>
          </w:tcPr>
          <w:p>
            <w:pPr>
              <w:spacing w:after="0" w:line="240" w:lineRule="auto"/>
              <w:ind w:firstLine="0"/>
              <w:jc w:val="left"/>
            </w:pPr>
            <w:r>
              <w:rPr>
                <w:b w:val="0"/>
                <w:i w:val="0"/>
                <w:sz w:val="20"/>
              </w:rPr>
              <w:t>CeO₂</w:t>
            </w:r>
          </w:p>
        </w:tc>
        <w:tc>
          <w:tcPr>
            <w:tcW w:type="dxa" w:w="1662"/>
          </w:tcPr>
          <w:p>
            <w:pPr>
              <w:spacing w:after="0" w:line="240" w:lineRule="auto"/>
              <w:ind w:firstLine="0"/>
              <w:jc w:val="center"/>
            </w:pPr>
            <w:r>
              <w:rPr>
                <w:b w:val="0"/>
                <w:i w:val="0"/>
                <w:sz w:val="20"/>
              </w:rPr>
              <w:t>1,0</w:t>
            </w:r>
          </w:p>
        </w:tc>
        <w:tc>
          <w:tcPr>
            <w:tcW w:type="dxa" w:w="1662"/>
          </w:tcPr>
          <w:p>
            <w:pPr>
              <w:spacing w:after="0" w:line="240" w:lineRule="auto"/>
              <w:ind w:firstLine="0"/>
              <w:jc w:val="center"/>
            </w:pPr>
            <w:r>
              <w:rPr>
                <w:b w:val="0"/>
                <w:i w:val="0"/>
                <w:sz w:val="20"/>
              </w:rPr>
              <w:t>1,0</w:t>
            </w:r>
          </w:p>
        </w:tc>
        <w:tc>
          <w:tcPr>
            <w:tcW w:type="dxa" w:w="1662"/>
          </w:tcPr>
          <w:p>
            <w:pPr>
              <w:spacing w:after="0" w:line="240" w:lineRule="auto"/>
              <w:ind w:firstLine="0"/>
              <w:jc w:val="center"/>
            </w:pPr>
            <w:r>
              <w:rPr>
                <w:b w:val="0"/>
                <w:i w:val="0"/>
                <w:sz w:val="20"/>
              </w:rPr>
              <w:t>0,9</w:t>
            </w:r>
          </w:p>
        </w:tc>
        <w:tc>
          <w:tcPr>
            <w:tcW w:type="dxa" w:w="1662"/>
          </w:tcPr>
          <w:p>
            <w:pPr>
              <w:spacing w:after="0" w:line="240" w:lineRule="auto"/>
              <w:ind w:firstLine="0"/>
              <w:jc w:val="center"/>
            </w:pPr>
            <w:r>
              <w:rPr>
                <w:b w:val="0"/>
                <w:i w:val="0"/>
                <w:sz w:val="20"/>
              </w:rPr>
              <w:t>0,9</w:t>
            </w:r>
          </w:p>
        </w:tc>
        <w:tc>
          <w:tcPr>
            <w:tcW w:type="dxa" w:w="1662"/>
          </w:tcPr>
          <w:p>
            <w:pPr>
              <w:spacing w:after="0" w:line="240" w:lineRule="auto"/>
              <w:ind w:firstLine="0"/>
              <w:jc w:val="center"/>
            </w:pPr>
            <w:r>
              <w:rPr>
                <w:b w:val="0"/>
                <w:i w:val="0"/>
                <w:sz w:val="20"/>
              </w:rPr>
              <w:t>0,8</w:t>
            </w:r>
          </w:p>
        </w:tc>
      </w:tr>
      <w:tr>
        <w:tc>
          <w:tcPr>
            <w:tcW w:type="dxa" w:w="1662"/>
          </w:tcPr>
          <w:p>
            <w:pPr>
              <w:spacing w:after="0" w:line="240" w:lineRule="auto"/>
              <w:ind w:firstLine="0"/>
              <w:jc w:val="left"/>
            </w:pPr>
            <w:r>
              <w:rPr>
                <w:b w:val="0"/>
                <w:i w:val="0"/>
                <w:sz w:val="20"/>
              </w:rPr>
              <w:t>Dy₂O₃</w:t>
            </w:r>
          </w:p>
        </w:tc>
        <w:tc>
          <w:tcPr>
            <w:tcW w:type="dxa" w:w="1662"/>
          </w:tcPr>
          <w:p>
            <w:pPr>
              <w:spacing w:after="0" w:line="240" w:lineRule="auto"/>
              <w:ind w:firstLine="0"/>
              <w:jc w:val="center"/>
            </w:pPr>
            <w:r>
              <w:rPr>
                <w:b w:val="0"/>
                <w:i w:val="0"/>
                <w:sz w:val="20"/>
              </w:rPr>
              <w:t>340</w:t>
            </w:r>
          </w:p>
        </w:tc>
        <w:tc>
          <w:tcPr>
            <w:tcW w:type="dxa" w:w="1662"/>
          </w:tcPr>
          <w:p>
            <w:pPr>
              <w:spacing w:after="0" w:line="240" w:lineRule="auto"/>
              <w:ind w:firstLine="0"/>
              <w:jc w:val="center"/>
            </w:pPr>
            <w:r>
              <w:rPr>
                <w:b w:val="0"/>
                <w:i w:val="0"/>
                <w:sz w:val="20"/>
              </w:rPr>
              <w:t>360</w:t>
            </w:r>
          </w:p>
        </w:tc>
        <w:tc>
          <w:tcPr>
            <w:tcW w:type="dxa" w:w="1662"/>
          </w:tcPr>
          <w:p>
            <w:pPr>
              <w:spacing w:after="0" w:line="240" w:lineRule="auto"/>
              <w:ind w:firstLine="0"/>
              <w:jc w:val="center"/>
            </w:pPr>
            <w:r>
              <w:rPr>
                <w:b w:val="0"/>
                <w:i w:val="0"/>
                <w:sz w:val="20"/>
              </w:rPr>
              <w:t>340</w:t>
            </w:r>
          </w:p>
        </w:tc>
        <w:tc>
          <w:tcPr>
            <w:tcW w:type="dxa" w:w="1662"/>
          </w:tcPr>
          <w:p>
            <w:pPr>
              <w:spacing w:after="0" w:line="240" w:lineRule="auto"/>
              <w:ind w:firstLine="0"/>
              <w:jc w:val="center"/>
            </w:pPr>
            <w:r>
              <w:rPr>
                <w:b w:val="0"/>
                <w:i w:val="0"/>
                <w:sz w:val="20"/>
              </w:rPr>
              <w:t>320</w:t>
            </w:r>
          </w:p>
        </w:tc>
        <w:tc>
          <w:tcPr>
            <w:tcW w:type="dxa" w:w="1662"/>
          </w:tcPr>
          <w:p>
            <w:pPr>
              <w:spacing w:after="0" w:line="240" w:lineRule="auto"/>
              <w:ind w:firstLine="0"/>
              <w:jc w:val="center"/>
            </w:pPr>
            <w:r>
              <w:rPr>
                <w:b w:val="0"/>
                <w:i w:val="0"/>
                <w:sz w:val="20"/>
              </w:rPr>
              <w:t>310</w:t>
            </w:r>
          </w:p>
        </w:tc>
      </w:tr>
      <w:tr>
        <w:tc>
          <w:tcPr>
            <w:tcW w:type="dxa" w:w="1662"/>
          </w:tcPr>
          <w:p>
            <w:pPr>
              <w:spacing w:after="0" w:line="240" w:lineRule="auto"/>
              <w:ind w:firstLine="0"/>
              <w:jc w:val="left"/>
            </w:pPr>
            <w:r>
              <w:rPr>
                <w:b w:val="0"/>
                <w:i w:val="0"/>
                <w:sz w:val="20"/>
              </w:rPr>
              <w:t>Tb₄O₇</w:t>
            </w:r>
          </w:p>
        </w:tc>
        <w:tc>
          <w:tcPr>
            <w:tcW w:type="dxa" w:w="1662"/>
          </w:tcPr>
          <w:p>
            <w:pPr>
              <w:spacing w:after="0" w:line="240" w:lineRule="auto"/>
              <w:ind w:firstLine="0"/>
              <w:jc w:val="center"/>
            </w:pPr>
            <w:r>
              <w:rPr>
                <w:b w:val="0"/>
                <w:i w:val="0"/>
                <w:sz w:val="20"/>
              </w:rPr>
              <w:t>1 150</w:t>
            </w:r>
          </w:p>
        </w:tc>
        <w:tc>
          <w:tcPr>
            <w:tcW w:type="dxa" w:w="1662"/>
          </w:tcPr>
          <w:p>
            <w:pPr>
              <w:spacing w:after="0" w:line="240" w:lineRule="auto"/>
              <w:ind w:firstLine="0"/>
              <w:jc w:val="center"/>
            </w:pPr>
            <w:r>
              <w:rPr>
                <w:b w:val="0"/>
                <w:i w:val="0"/>
                <w:sz w:val="20"/>
              </w:rPr>
              <w:t>1 250</w:t>
            </w:r>
          </w:p>
        </w:tc>
        <w:tc>
          <w:tcPr>
            <w:tcW w:type="dxa" w:w="1662"/>
          </w:tcPr>
          <w:p>
            <w:pPr>
              <w:spacing w:after="0" w:line="240" w:lineRule="auto"/>
              <w:ind w:firstLine="0"/>
              <w:jc w:val="center"/>
            </w:pPr>
            <w:r>
              <w:rPr>
                <w:b w:val="0"/>
                <w:i w:val="0"/>
                <w:sz w:val="20"/>
              </w:rPr>
              <w:t>1 220</w:t>
            </w:r>
          </w:p>
        </w:tc>
        <w:tc>
          <w:tcPr>
            <w:tcW w:type="dxa" w:w="1662"/>
          </w:tcPr>
          <w:p>
            <w:pPr>
              <w:spacing w:after="0" w:line="240" w:lineRule="auto"/>
              <w:ind w:firstLine="0"/>
              <w:jc w:val="center"/>
            </w:pPr>
            <w:r>
              <w:rPr>
                <w:b w:val="0"/>
                <w:i w:val="0"/>
                <w:sz w:val="20"/>
              </w:rPr>
              <w:t>1 180</w:t>
            </w:r>
          </w:p>
        </w:tc>
        <w:tc>
          <w:tcPr>
            <w:tcW w:type="dxa" w:w="1662"/>
          </w:tcPr>
          <w:p>
            <w:pPr>
              <w:spacing w:after="0" w:line="240" w:lineRule="auto"/>
              <w:ind w:firstLine="0"/>
              <w:jc w:val="center"/>
            </w:pPr>
            <w:r>
              <w:rPr>
                <w:b w:val="0"/>
                <w:i w:val="0"/>
                <w:sz w:val="20"/>
              </w:rPr>
              <w:t>1 150</w:t>
            </w:r>
          </w:p>
        </w:tc>
      </w:tr>
      <w:tr>
        <w:tc>
          <w:tcPr>
            <w:tcW w:type="dxa" w:w="1662"/>
          </w:tcPr>
          <w:p>
            <w:pPr>
              <w:spacing w:after="0" w:line="240" w:lineRule="auto"/>
              <w:ind w:firstLine="0"/>
              <w:jc w:val="left"/>
            </w:pPr>
            <w:r>
              <w:rPr>
                <w:b w:val="0"/>
                <w:i w:val="0"/>
                <w:sz w:val="20"/>
              </w:rPr>
              <w:t>Sm₂O₃</w:t>
            </w:r>
          </w:p>
        </w:tc>
        <w:tc>
          <w:tcPr>
            <w:tcW w:type="dxa" w:w="1662"/>
          </w:tcPr>
          <w:p>
            <w:pPr>
              <w:spacing w:after="0" w:line="240" w:lineRule="auto"/>
              <w:ind w:firstLine="0"/>
              <w:jc w:val="center"/>
            </w:pPr>
            <w:r>
              <w:rPr>
                <w:b w:val="0"/>
                <w:i w:val="0"/>
                <w:sz w:val="20"/>
              </w:rPr>
              <w:t>12,0</w:t>
            </w:r>
          </w:p>
        </w:tc>
        <w:tc>
          <w:tcPr>
            <w:tcW w:type="dxa" w:w="1662"/>
          </w:tcPr>
          <w:p>
            <w:pPr>
              <w:spacing w:after="0" w:line="240" w:lineRule="auto"/>
              <w:ind w:firstLine="0"/>
              <w:jc w:val="center"/>
            </w:pPr>
            <w:r>
              <w:rPr>
                <w:b w:val="0"/>
                <w:i w:val="0"/>
                <w:sz w:val="20"/>
              </w:rPr>
              <w:t>8,0</w:t>
            </w:r>
          </w:p>
        </w:tc>
        <w:tc>
          <w:tcPr>
            <w:tcW w:type="dxa" w:w="1662"/>
          </w:tcPr>
          <w:p>
            <w:pPr>
              <w:spacing w:after="0" w:line="240" w:lineRule="auto"/>
              <w:ind w:firstLine="0"/>
              <w:jc w:val="center"/>
            </w:pPr>
            <w:r>
              <w:rPr>
                <w:b w:val="0"/>
                <w:i w:val="0"/>
                <w:sz w:val="20"/>
              </w:rPr>
              <w:t>5,0</w:t>
            </w:r>
          </w:p>
        </w:tc>
        <w:tc>
          <w:tcPr>
            <w:tcW w:type="dxa" w:w="1662"/>
          </w:tcPr>
          <w:p>
            <w:pPr>
              <w:spacing w:after="0" w:line="240" w:lineRule="auto"/>
              <w:ind w:firstLine="0"/>
              <w:jc w:val="center"/>
            </w:pPr>
            <w:r>
              <w:rPr>
                <w:b w:val="0"/>
                <w:i w:val="0"/>
                <w:sz w:val="20"/>
              </w:rPr>
              <w:t>4,0</w:t>
            </w:r>
          </w:p>
        </w:tc>
        <w:tc>
          <w:tcPr>
            <w:tcW w:type="dxa" w:w="1662"/>
          </w:tcPr>
          <w:p>
            <w:pPr>
              <w:spacing w:after="0" w:line="240" w:lineRule="auto"/>
              <w:ind w:firstLine="0"/>
              <w:jc w:val="center"/>
            </w:pPr>
            <w:r>
              <w:rPr>
                <w:b w:val="0"/>
                <w:i w:val="0"/>
                <w:sz w:val="20"/>
              </w:rPr>
              <w:t>3,5</w:t>
            </w:r>
          </w:p>
        </w:tc>
      </w:tr>
      <w:tr>
        <w:tc>
          <w:tcPr>
            <w:tcW w:type="dxa" w:w="1662"/>
          </w:tcPr>
          <w:p>
            <w:pPr>
              <w:spacing w:after="0" w:line="240" w:lineRule="auto"/>
              <w:ind w:firstLine="0"/>
              <w:jc w:val="left"/>
            </w:pPr>
            <w:r>
              <w:rPr>
                <w:b w:val="0"/>
                <w:i w:val="0"/>
                <w:sz w:val="20"/>
              </w:rPr>
              <w:t>Gd₂O₃</w:t>
            </w:r>
          </w:p>
        </w:tc>
        <w:tc>
          <w:tcPr>
            <w:tcW w:type="dxa" w:w="1662"/>
          </w:tcPr>
          <w:p>
            <w:pPr>
              <w:spacing w:after="0" w:line="240" w:lineRule="auto"/>
              <w:ind w:firstLine="0"/>
              <w:jc w:val="center"/>
            </w:pPr>
            <w:r>
              <w:rPr>
                <w:b w:val="0"/>
                <w:i w:val="0"/>
                <w:sz w:val="20"/>
              </w:rPr>
              <w:t>62</w:t>
            </w:r>
          </w:p>
        </w:tc>
        <w:tc>
          <w:tcPr>
            <w:tcW w:type="dxa" w:w="1662"/>
          </w:tcPr>
          <w:p>
            <w:pPr>
              <w:spacing w:after="0" w:line="240" w:lineRule="auto"/>
              <w:ind w:firstLine="0"/>
              <w:jc w:val="center"/>
            </w:pPr>
            <w:r>
              <w:rPr>
                <w:b w:val="0"/>
                <w:i w:val="0"/>
                <w:sz w:val="20"/>
              </w:rPr>
              <w:t>55</w:t>
            </w:r>
          </w:p>
        </w:tc>
        <w:tc>
          <w:tcPr>
            <w:tcW w:type="dxa" w:w="1662"/>
          </w:tcPr>
          <w:p>
            <w:pPr>
              <w:spacing w:after="0" w:line="240" w:lineRule="auto"/>
              <w:ind w:firstLine="0"/>
              <w:jc w:val="center"/>
            </w:pPr>
            <w:r>
              <w:rPr>
                <w:b w:val="0"/>
                <w:i w:val="0"/>
                <w:sz w:val="20"/>
              </w:rPr>
              <w:t>45</w:t>
            </w:r>
          </w:p>
        </w:tc>
        <w:tc>
          <w:tcPr>
            <w:tcW w:type="dxa" w:w="1662"/>
          </w:tcPr>
          <w:p>
            <w:pPr>
              <w:spacing w:after="0" w:line="240" w:lineRule="auto"/>
              <w:ind w:firstLine="0"/>
              <w:jc w:val="center"/>
            </w:pPr>
            <w:r>
              <w:rPr>
                <w:b w:val="0"/>
                <w:i w:val="0"/>
                <w:sz w:val="20"/>
              </w:rPr>
              <w:t>40</w:t>
            </w:r>
          </w:p>
        </w:tc>
        <w:tc>
          <w:tcPr>
            <w:tcW w:type="dxa" w:w="1662"/>
          </w:tcPr>
          <w:p>
            <w:pPr>
              <w:spacing w:after="0" w:line="240" w:lineRule="auto"/>
              <w:ind w:firstLine="0"/>
              <w:jc w:val="center"/>
            </w:pPr>
            <w:r>
              <w:rPr>
                <w:b w:val="0"/>
                <w:i w:val="0"/>
                <w:sz w:val="20"/>
              </w:rPr>
              <w:t>38</w:t>
            </w:r>
          </w:p>
        </w:tc>
      </w:tr>
      <w:tr>
        <w:tc>
          <w:tcPr>
            <w:tcW w:type="dxa" w:w="1662"/>
          </w:tcPr>
          <w:p>
            <w:pPr>
              <w:spacing w:after="0" w:line="240" w:lineRule="auto"/>
              <w:ind w:firstLine="0"/>
              <w:jc w:val="left"/>
            </w:pPr>
            <w:r>
              <w:rPr>
                <w:b w:val="0"/>
                <w:i w:val="0"/>
                <w:sz w:val="20"/>
              </w:rPr>
              <w:t>Y₂O₃</w:t>
            </w:r>
          </w:p>
        </w:tc>
        <w:tc>
          <w:tcPr>
            <w:tcW w:type="dxa" w:w="1662"/>
          </w:tcPr>
          <w:p>
            <w:pPr>
              <w:spacing w:after="0" w:line="240" w:lineRule="auto"/>
              <w:ind w:firstLine="0"/>
              <w:jc w:val="center"/>
            </w:pPr>
            <w:r>
              <w:rPr>
                <w:b w:val="0"/>
                <w:i w:val="0"/>
                <w:sz w:val="20"/>
              </w:rPr>
              <w:t>14,0</w:t>
            </w:r>
          </w:p>
        </w:tc>
        <w:tc>
          <w:tcPr>
            <w:tcW w:type="dxa" w:w="1662"/>
          </w:tcPr>
          <w:p>
            <w:pPr>
              <w:spacing w:after="0" w:line="240" w:lineRule="auto"/>
              <w:ind w:firstLine="0"/>
              <w:jc w:val="center"/>
            </w:pPr>
            <w:r>
              <w:rPr>
                <w:b w:val="0"/>
                <w:i w:val="0"/>
                <w:sz w:val="20"/>
              </w:rPr>
              <w:t>11,0</w:t>
            </w:r>
          </w:p>
        </w:tc>
        <w:tc>
          <w:tcPr>
            <w:tcW w:type="dxa" w:w="1662"/>
          </w:tcPr>
          <w:p>
            <w:pPr>
              <w:spacing w:after="0" w:line="240" w:lineRule="auto"/>
              <w:ind w:firstLine="0"/>
              <w:jc w:val="center"/>
            </w:pPr>
            <w:r>
              <w:rPr>
                <w:b w:val="0"/>
                <w:i w:val="0"/>
                <w:sz w:val="20"/>
              </w:rPr>
              <w:t>9,0</w:t>
            </w:r>
          </w:p>
        </w:tc>
        <w:tc>
          <w:tcPr>
            <w:tcW w:type="dxa" w:w="1662"/>
          </w:tcPr>
          <w:p>
            <w:pPr>
              <w:spacing w:after="0" w:line="240" w:lineRule="auto"/>
              <w:ind w:firstLine="0"/>
              <w:jc w:val="center"/>
            </w:pPr>
            <w:r>
              <w:rPr>
                <w:b w:val="0"/>
                <w:i w:val="0"/>
                <w:sz w:val="20"/>
              </w:rPr>
              <w:t>8,5</w:t>
            </w:r>
          </w:p>
        </w:tc>
        <w:tc>
          <w:tcPr>
            <w:tcW w:type="dxa" w:w="1662"/>
          </w:tcPr>
          <w:p>
            <w:pPr>
              <w:spacing w:after="0" w:line="240" w:lineRule="auto"/>
              <w:ind w:firstLine="0"/>
              <w:jc w:val="center"/>
            </w:pPr>
            <w:r>
              <w:rPr>
                <w:b w:val="0"/>
                <w:i w:val="0"/>
                <w:sz w:val="20"/>
              </w:rPr>
              <w:t>8,0</w:t>
            </w:r>
          </w:p>
        </w:tc>
      </w:tr>
      <w:tr>
        <w:tc>
          <w:tcPr>
            <w:tcW w:type="dxa" w:w="1662"/>
          </w:tcPr>
          <w:p>
            <w:pPr>
              <w:spacing w:after="0" w:line="240" w:lineRule="auto"/>
              <w:ind w:firstLine="0"/>
              <w:jc w:val="left"/>
            </w:pPr>
            <w:r>
              <w:rPr>
                <w:b w:val="0"/>
                <w:i w:val="0"/>
                <w:sz w:val="20"/>
              </w:rPr>
              <w:t>Sc₂O₃</w:t>
            </w:r>
          </w:p>
        </w:tc>
        <w:tc>
          <w:tcPr>
            <w:tcW w:type="dxa" w:w="1662"/>
          </w:tcPr>
          <w:p>
            <w:pPr>
              <w:spacing w:after="0" w:line="240" w:lineRule="auto"/>
              <w:ind w:firstLine="0"/>
              <w:jc w:val="center"/>
            </w:pPr>
            <w:r>
              <w:rPr>
                <w:b w:val="0"/>
                <w:i w:val="0"/>
                <w:sz w:val="20"/>
              </w:rPr>
              <w:t>1 900</w:t>
            </w:r>
          </w:p>
        </w:tc>
        <w:tc>
          <w:tcPr>
            <w:tcW w:type="dxa" w:w="1662"/>
          </w:tcPr>
          <w:p>
            <w:pPr>
              <w:spacing w:after="0" w:line="240" w:lineRule="auto"/>
              <w:ind w:firstLine="0"/>
              <w:jc w:val="center"/>
            </w:pPr>
            <w:r>
              <w:rPr>
                <w:b w:val="0"/>
                <w:i w:val="0"/>
                <w:sz w:val="20"/>
              </w:rPr>
              <w:t>1 700</w:t>
            </w:r>
          </w:p>
        </w:tc>
        <w:tc>
          <w:tcPr>
            <w:tcW w:type="dxa" w:w="1662"/>
          </w:tcPr>
          <w:p>
            <w:pPr>
              <w:spacing w:after="0" w:line="240" w:lineRule="auto"/>
              <w:ind w:firstLine="0"/>
              <w:jc w:val="center"/>
            </w:pPr>
            <w:r>
              <w:rPr>
                <w:b w:val="0"/>
                <w:i w:val="0"/>
                <w:sz w:val="20"/>
              </w:rPr>
              <w:t>1 400</w:t>
            </w:r>
          </w:p>
        </w:tc>
        <w:tc>
          <w:tcPr>
            <w:tcW w:type="dxa" w:w="1662"/>
          </w:tcPr>
          <w:p>
            <w:pPr>
              <w:spacing w:after="0" w:line="240" w:lineRule="auto"/>
              <w:ind w:firstLine="0"/>
              <w:jc w:val="center"/>
            </w:pPr>
            <w:r>
              <w:rPr>
                <w:b w:val="0"/>
                <w:i w:val="0"/>
                <w:sz w:val="20"/>
              </w:rPr>
              <w:t>1 250</w:t>
            </w:r>
          </w:p>
        </w:tc>
        <w:tc>
          <w:tcPr>
            <w:tcW w:type="dxa" w:w="1662"/>
          </w:tcPr>
          <w:p>
            <w:pPr>
              <w:spacing w:after="0" w:line="240" w:lineRule="auto"/>
              <w:ind w:firstLine="0"/>
              <w:jc w:val="center"/>
            </w:pPr>
            <w:r>
              <w:rPr>
                <w:b w:val="0"/>
                <w:i w:val="0"/>
                <w:sz w:val="20"/>
              </w:rPr>
              <w:t>1 150</w:t>
            </w:r>
          </w:p>
        </w:tc>
      </w:tr>
    </w:tbl>
    <w:p>
      <w:pPr>
        <w:spacing w:after="180"/>
        <w:ind w:firstLine="0"/>
      </w:pPr>
      <w:r>
        <w:rPr>
          <w:i/>
          <w:sz w:val="20"/>
        </w:rPr>
        <w:t>Источник: прогноз аналитического центра</w:t>
      </w:r>
    </w:p>
    <w:p>
      <w:pPr>
        <w:keepNext/>
        <w:spacing w:before="160" w:after="60"/>
        <w:ind w:firstLine="0"/>
        <w:jc w:val="left"/>
      </w:pPr>
      <w:r>
        <w:rPr>
          <w:b/>
          <w:sz w:val="22"/>
        </w:rPr>
        <w:t>Рисунок 48. Прогноз цены оксида NdPr по сценариям, 2025–2035 гг., $/кг</w:t>
      </w:r>
    </w:p>
    <w:p>
      <w:pPr>
        <w:ind w:firstLine="0"/>
        <w:jc w:val="center"/>
      </w:pPr>
      <w:r>
        <w:drawing>
          <wp:inline xmlns:a="http://schemas.openxmlformats.org/drawingml/2006/main" xmlns:pic="http://schemas.openxmlformats.org/drawingml/2006/picture">
            <wp:extent cx="5580000" cy="2729348"/>
            <wp:docPr id="48" name="Picture 48"/>
            <wp:cNvGraphicFramePr>
              <a:graphicFrameLocks noChangeAspect="1"/>
            </wp:cNvGraphicFramePr>
            <a:graphic>
              <a:graphicData uri="http://schemas.openxmlformats.org/drawingml/2006/picture">
                <pic:pic>
                  <pic:nvPicPr>
                    <pic:cNvPr id="0" name="fig48.png"/>
                    <pic:cNvPicPr/>
                  </pic:nvPicPr>
                  <pic:blipFill>
                    <a:blip r:embed="rId58"/>
                    <a:stretch>
                      <a:fillRect/>
                    </a:stretch>
                  </pic:blipFill>
                  <pic:spPr>
                    <a:xfrm>
                      <a:off x="0" y="0"/>
                      <a:ext cx="5580000" cy="2729348"/>
                    </a:xfrm>
                    <a:prstGeom prst="rect"/>
                  </pic:spPr>
                </pic:pic>
              </a:graphicData>
            </a:graphic>
          </wp:inline>
        </w:drawing>
      </w:r>
    </w:p>
    <w:p>
      <w:pPr>
        <w:spacing w:after="180"/>
        <w:ind w:firstLine="0"/>
      </w:pPr>
      <w:r>
        <w:rPr>
          <w:i/>
          <w:sz w:val="20"/>
        </w:rPr>
        <w:t>Источник: прогноз аналитического центра</w:t>
      </w:r>
    </w:p>
    <w:p>
      <w:r>
        <w:rPr>
          <w:b w:val="0"/>
          <w:i w:val="0"/>
        </w:rPr>
        <w:t>Прогноз цены NdPr требует отдельного пояснения. Формально баланс профицитен на всём горизонте (табл. 59), что предполагало бы понижательное давление. Однако три фактора удерживают цену выше уровня себестоимости китайских производителей:</w:t>
      </w:r>
    </w:p>
    <w:p>
      <w:pPr>
        <w:pStyle w:val="ListNumber"/>
        <w:spacing w:after="20"/>
        <w:ind w:firstLine="0"/>
      </w:pPr>
      <w:r>
        <w:rPr>
          <w:b/>
          <w:i w:val="0"/>
        </w:rPr>
        <w:t>Фрагментация рынка.</w:t>
      </w:r>
      <w:r>
        <w:rPr>
          <w:b w:val="0"/>
          <w:i w:val="0"/>
        </w:rPr>
        <w:t xml:space="preserve"> Наличие ценового пола США (110 долл./кг) и аналогичных механизмов, обсуждаемых в ЕС и Японии, формирует сегмент рынка, где цена определяется не балансом, а государственным обязательством. Этот сегмент будет расширяться по мере ввода поддерживаемых мощностей.</w:t>
      </w:r>
    </w:p>
    <w:p>
      <w:pPr>
        <w:pStyle w:val="ListNumber"/>
        <w:spacing w:after="20"/>
        <w:ind w:firstLine="0"/>
      </w:pPr>
      <w:r>
        <w:rPr>
          <w:b/>
          <w:i w:val="0"/>
        </w:rPr>
        <w:t>Разделение на «китайский» и «не-китайский» контуры.</w:t>
      </w:r>
      <w:r>
        <w:rPr>
          <w:b w:val="0"/>
          <w:i w:val="0"/>
        </w:rPr>
        <w:t xml:space="preserve"> При сохранении экспортных ограничений цена вне КНР включает премию за доступность.</w:t>
      </w:r>
    </w:p>
    <w:p>
      <w:pPr>
        <w:pStyle w:val="ListNumber"/>
        <w:spacing w:after="20"/>
        <w:ind w:firstLine="0"/>
      </w:pPr>
      <w:r>
        <w:rPr>
          <w:b/>
          <w:i w:val="0"/>
        </w:rPr>
        <w:t>Управление предложением со стороны КНР.</w:t>
      </w:r>
      <w:r>
        <w:rPr>
          <w:b w:val="0"/>
          <w:i w:val="0"/>
        </w:rPr>
        <w:t xml:space="preserve"> Китайская квотная политика исторически препятствовала падению цен ниже уровня, разрушающего собственную отрасль.</w:t>
      </w:r>
    </w:p>
    <w:p>
      <w:r>
        <w:rPr>
          <w:b w:val="0"/>
          <w:i w:val="0"/>
        </w:rPr>
        <w:t>В консервативном сценарии, предполагающем ослабление экспортных ограничений и замедление спроса, цена возвращается к уровню себестоимости не-китайских производителей (56–58 долл./кг), что означает нерентабельность большинства новых проектов и, соответственно, невыполнение планов диверсификации.</w:t>
      </w:r>
    </w:p>
    <w:p>
      <w:pPr>
        <w:pStyle w:val="Heading2"/>
      </w:pPr>
      <w:r>
        <w:rPr>
          <w:b w:val="0"/>
          <w:i w:val="0"/>
        </w:rPr>
        <w:t>8.6. Ключевые неопределённости прогноза</w:t>
      </w:r>
    </w:p>
    <w:p>
      <w:pPr>
        <w:keepNext/>
        <w:spacing w:before="160" w:after="60"/>
        <w:ind w:firstLine="0"/>
        <w:jc w:val="left"/>
      </w:pPr>
      <w:r>
        <w:rPr>
          <w:b/>
          <w:sz w:val="22"/>
        </w:rPr>
        <w:t>Таблица 61. Карта ключевых неопределённостей прогноза мирового рынка РЗМ</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Фактор неопределённости</w:t>
            </w:r>
          </w:p>
        </w:tc>
        <w:tc>
          <w:tcPr>
            <w:tcW w:type="dxa" w:w="2493"/>
            <w:shd w:val="clear" w:fill="DCE6F1"/>
          </w:tcPr>
          <w:p>
            <w:pPr>
              <w:spacing w:after="0" w:line="240" w:lineRule="auto"/>
              <w:ind w:firstLine="0"/>
              <w:jc w:val="center"/>
            </w:pPr>
            <w:r>
              <w:rPr>
                <w:b/>
                <w:i w:val="0"/>
                <w:sz w:val="20"/>
              </w:rPr>
              <w:t>Вероятность</w:t>
            </w:r>
          </w:p>
        </w:tc>
        <w:tc>
          <w:tcPr>
            <w:tcW w:type="dxa" w:w="2493"/>
            <w:shd w:val="clear" w:fill="DCE6F1"/>
          </w:tcPr>
          <w:p>
            <w:pPr>
              <w:spacing w:after="0" w:line="240" w:lineRule="auto"/>
              <w:ind w:firstLine="0"/>
              <w:jc w:val="center"/>
            </w:pPr>
            <w:r>
              <w:rPr>
                <w:b/>
                <w:i w:val="0"/>
                <w:sz w:val="20"/>
              </w:rPr>
              <w:t>Влияние</w:t>
            </w:r>
          </w:p>
        </w:tc>
        <w:tc>
          <w:tcPr>
            <w:tcW w:type="dxa" w:w="2493"/>
            <w:shd w:val="clear" w:fill="DCE6F1"/>
          </w:tcPr>
          <w:p>
            <w:pPr>
              <w:spacing w:after="0" w:line="240" w:lineRule="auto"/>
              <w:ind w:firstLine="0"/>
              <w:jc w:val="center"/>
            </w:pPr>
            <w:r>
              <w:rPr>
                <w:b/>
                <w:i w:val="0"/>
                <w:sz w:val="20"/>
              </w:rPr>
              <w:t>Характер воздействия</w:t>
            </w:r>
          </w:p>
        </w:tc>
      </w:tr>
      <w:tr>
        <w:tc>
          <w:tcPr>
            <w:tcW w:type="dxa" w:w="2493"/>
          </w:tcPr>
          <w:p>
            <w:pPr>
              <w:spacing w:after="0" w:line="240" w:lineRule="auto"/>
              <w:ind w:firstLine="0"/>
              <w:jc w:val="left"/>
            </w:pPr>
            <w:r>
              <w:rPr>
                <w:b w:val="0"/>
                <w:i w:val="0"/>
                <w:sz w:val="20"/>
              </w:rPr>
              <w:t>Дальнейшее ужесточение экспортного контроля КНР</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очень высокое</w:t>
            </w:r>
          </w:p>
        </w:tc>
        <w:tc>
          <w:tcPr>
            <w:tcW w:type="dxa" w:w="2493"/>
          </w:tcPr>
          <w:p>
            <w:pPr>
              <w:spacing w:after="0" w:line="240" w:lineRule="auto"/>
              <w:ind w:firstLine="0"/>
              <w:jc w:val="center"/>
            </w:pPr>
            <w:r>
              <w:rPr>
                <w:b w:val="0"/>
                <w:i w:val="0"/>
                <w:sz w:val="20"/>
              </w:rPr>
              <w:t>рост цен вне КНР, ускорение проектов</w:t>
            </w:r>
          </w:p>
        </w:tc>
      </w:tr>
      <w:tr>
        <w:tc>
          <w:tcPr>
            <w:tcW w:type="dxa" w:w="2493"/>
          </w:tcPr>
          <w:p>
            <w:pPr>
              <w:spacing w:after="0" w:line="240" w:lineRule="auto"/>
              <w:ind w:firstLine="0"/>
              <w:jc w:val="left"/>
            </w:pPr>
            <w:r>
              <w:rPr>
                <w:b w:val="0"/>
                <w:i w:val="0"/>
                <w:sz w:val="20"/>
              </w:rPr>
              <w:t>Полное снятие ограничений КНР</w:t>
            </w:r>
          </w:p>
        </w:tc>
        <w:tc>
          <w:tcPr>
            <w:tcW w:type="dxa" w:w="2493"/>
          </w:tcPr>
          <w:p>
            <w:pPr>
              <w:spacing w:after="0" w:line="240" w:lineRule="auto"/>
              <w:ind w:firstLine="0"/>
              <w:jc w:val="center"/>
            </w:pPr>
            <w:r>
              <w:rPr>
                <w:b w:val="0"/>
                <w:i w:val="0"/>
                <w:sz w:val="20"/>
              </w:rPr>
              <w:t>низкая</w:t>
            </w:r>
          </w:p>
        </w:tc>
        <w:tc>
          <w:tcPr>
            <w:tcW w:type="dxa" w:w="2493"/>
          </w:tcPr>
          <w:p>
            <w:pPr>
              <w:spacing w:after="0" w:line="240" w:lineRule="auto"/>
              <w:ind w:firstLine="0"/>
              <w:jc w:val="center"/>
            </w:pPr>
            <w:r>
              <w:rPr>
                <w:b w:val="0"/>
                <w:i w:val="0"/>
                <w:sz w:val="20"/>
              </w:rPr>
              <w:t>высокое</w:t>
            </w:r>
          </w:p>
        </w:tc>
        <w:tc>
          <w:tcPr>
            <w:tcW w:type="dxa" w:w="2493"/>
          </w:tcPr>
          <w:p>
            <w:pPr>
              <w:spacing w:after="0" w:line="240" w:lineRule="auto"/>
              <w:ind w:firstLine="0"/>
              <w:jc w:val="center"/>
            </w:pPr>
            <w:r>
              <w:rPr>
                <w:b w:val="0"/>
                <w:i w:val="0"/>
                <w:sz w:val="20"/>
              </w:rPr>
              <w:t>обвал цен, срыв проектов</w:t>
            </w:r>
          </w:p>
        </w:tc>
      </w:tr>
      <w:tr>
        <w:tc>
          <w:tcPr>
            <w:tcW w:type="dxa" w:w="2493"/>
          </w:tcPr>
          <w:p>
            <w:pPr>
              <w:spacing w:after="0" w:line="240" w:lineRule="auto"/>
              <w:ind w:firstLine="0"/>
              <w:jc w:val="left"/>
            </w:pPr>
            <w:r>
              <w:rPr>
                <w:b w:val="0"/>
                <w:i w:val="0"/>
                <w:sz w:val="20"/>
              </w:rPr>
              <w:t>Прекращение поставок из Мьянмы</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высокое</w:t>
            </w:r>
          </w:p>
        </w:tc>
        <w:tc>
          <w:tcPr>
            <w:tcW w:type="dxa" w:w="2493"/>
          </w:tcPr>
          <w:p>
            <w:pPr>
              <w:spacing w:after="0" w:line="240" w:lineRule="auto"/>
              <w:ind w:firstLine="0"/>
              <w:jc w:val="center"/>
            </w:pPr>
            <w:r>
              <w:rPr>
                <w:b w:val="0"/>
                <w:i w:val="0"/>
                <w:sz w:val="20"/>
              </w:rPr>
              <w:t>дефицит Dy, Tb, рост цен в 2–4 раза</w:t>
            </w:r>
          </w:p>
        </w:tc>
      </w:tr>
      <w:tr>
        <w:tc>
          <w:tcPr>
            <w:tcW w:type="dxa" w:w="2493"/>
          </w:tcPr>
          <w:p>
            <w:pPr>
              <w:spacing w:after="0" w:line="240" w:lineRule="auto"/>
              <w:ind w:firstLine="0"/>
              <w:jc w:val="left"/>
            </w:pPr>
            <w:r>
              <w:rPr>
                <w:b w:val="0"/>
                <w:i w:val="0"/>
                <w:sz w:val="20"/>
              </w:rPr>
              <w:t>Прорыв в безредкоземельных двигателях</w:t>
            </w:r>
          </w:p>
        </w:tc>
        <w:tc>
          <w:tcPr>
            <w:tcW w:type="dxa" w:w="2493"/>
          </w:tcPr>
          <w:p>
            <w:pPr>
              <w:spacing w:after="0" w:line="240" w:lineRule="auto"/>
              <w:ind w:firstLine="0"/>
              <w:jc w:val="center"/>
            </w:pPr>
            <w:r>
              <w:rPr>
                <w:b w:val="0"/>
                <w:i w:val="0"/>
                <w:sz w:val="20"/>
              </w:rPr>
              <w:t>низкая</w:t>
            </w:r>
          </w:p>
        </w:tc>
        <w:tc>
          <w:tcPr>
            <w:tcW w:type="dxa" w:w="2493"/>
          </w:tcPr>
          <w:p>
            <w:pPr>
              <w:spacing w:after="0" w:line="240" w:lineRule="auto"/>
              <w:ind w:firstLine="0"/>
              <w:jc w:val="center"/>
            </w:pPr>
            <w:r>
              <w:rPr>
                <w:b w:val="0"/>
                <w:i w:val="0"/>
                <w:sz w:val="20"/>
              </w:rPr>
              <w:t>очень высокое</w:t>
            </w:r>
          </w:p>
        </w:tc>
        <w:tc>
          <w:tcPr>
            <w:tcW w:type="dxa" w:w="2493"/>
          </w:tcPr>
          <w:p>
            <w:pPr>
              <w:spacing w:after="0" w:line="240" w:lineRule="auto"/>
              <w:ind w:firstLine="0"/>
              <w:jc w:val="center"/>
            </w:pPr>
            <w:r>
              <w:rPr>
                <w:b w:val="0"/>
                <w:i w:val="0"/>
                <w:sz w:val="20"/>
              </w:rPr>
              <w:t>структурное падение спроса</w:t>
            </w:r>
          </w:p>
        </w:tc>
      </w:tr>
      <w:tr>
        <w:tc>
          <w:tcPr>
            <w:tcW w:type="dxa" w:w="2493"/>
          </w:tcPr>
          <w:p>
            <w:pPr>
              <w:spacing w:after="0" w:line="240" w:lineRule="auto"/>
              <w:ind w:firstLine="0"/>
              <w:jc w:val="left"/>
            </w:pPr>
            <w:r>
              <w:rPr>
                <w:b w:val="0"/>
                <w:i w:val="0"/>
                <w:sz w:val="20"/>
              </w:rPr>
              <w:t>Массовое внедрение робототехники</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высокое</w:t>
            </w:r>
          </w:p>
        </w:tc>
        <w:tc>
          <w:tcPr>
            <w:tcW w:type="dxa" w:w="2493"/>
          </w:tcPr>
          <w:p>
            <w:pPr>
              <w:spacing w:after="0" w:line="240" w:lineRule="auto"/>
              <w:ind w:firstLine="0"/>
              <w:jc w:val="center"/>
            </w:pPr>
            <w:r>
              <w:rPr>
                <w:b w:val="0"/>
                <w:i w:val="0"/>
                <w:sz w:val="20"/>
              </w:rPr>
              <w:t>дополнительный спрос 3–5 тыс. т NdPr</w:t>
            </w:r>
          </w:p>
        </w:tc>
      </w:tr>
      <w:tr>
        <w:tc>
          <w:tcPr>
            <w:tcW w:type="dxa" w:w="2493"/>
          </w:tcPr>
          <w:p>
            <w:pPr>
              <w:spacing w:after="0" w:line="240" w:lineRule="auto"/>
              <w:ind w:firstLine="0"/>
              <w:jc w:val="left"/>
            </w:pPr>
            <w:r>
              <w:rPr>
                <w:b w:val="0"/>
                <w:i w:val="0"/>
                <w:sz w:val="20"/>
              </w:rPr>
              <w:t>Замедление электрификации транспорта</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высокое</w:t>
            </w:r>
          </w:p>
        </w:tc>
        <w:tc>
          <w:tcPr>
            <w:tcW w:type="dxa" w:w="2493"/>
          </w:tcPr>
          <w:p>
            <w:pPr>
              <w:spacing w:after="0" w:line="240" w:lineRule="auto"/>
              <w:ind w:firstLine="0"/>
              <w:jc w:val="center"/>
            </w:pPr>
            <w:r>
              <w:rPr>
                <w:b w:val="0"/>
                <w:i w:val="0"/>
                <w:sz w:val="20"/>
              </w:rPr>
              <w:t>снижение спроса на 15–25%</w:t>
            </w:r>
          </w:p>
        </w:tc>
      </w:tr>
      <w:tr>
        <w:tc>
          <w:tcPr>
            <w:tcW w:type="dxa" w:w="2493"/>
          </w:tcPr>
          <w:p>
            <w:pPr>
              <w:spacing w:after="0" w:line="240" w:lineRule="auto"/>
              <w:ind w:firstLine="0"/>
              <w:jc w:val="left"/>
            </w:pPr>
            <w:r>
              <w:rPr>
                <w:b w:val="0"/>
                <w:i w:val="0"/>
                <w:sz w:val="20"/>
              </w:rPr>
              <w:t>Срыв ключевых проектов (Iluka, Arafura)</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среднее</w:t>
            </w:r>
          </w:p>
        </w:tc>
        <w:tc>
          <w:tcPr>
            <w:tcW w:type="dxa" w:w="2493"/>
          </w:tcPr>
          <w:p>
            <w:pPr>
              <w:spacing w:after="0" w:line="240" w:lineRule="auto"/>
              <w:ind w:firstLine="0"/>
              <w:jc w:val="center"/>
            </w:pPr>
            <w:r>
              <w:rPr>
                <w:b w:val="0"/>
                <w:i w:val="0"/>
                <w:sz w:val="20"/>
              </w:rPr>
              <w:t>сохранение зависимости</w:t>
            </w:r>
          </w:p>
        </w:tc>
      </w:tr>
      <w:tr>
        <w:tc>
          <w:tcPr>
            <w:tcW w:type="dxa" w:w="2493"/>
          </w:tcPr>
          <w:p>
            <w:pPr>
              <w:spacing w:after="0" w:line="240" w:lineRule="auto"/>
              <w:ind w:firstLine="0"/>
              <w:jc w:val="left"/>
            </w:pPr>
            <w:r>
              <w:rPr>
                <w:b w:val="0"/>
                <w:i w:val="0"/>
                <w:sz w:val="20"/>
              </w:rPr>
              <w:t>Появление рынка сбыта церия (Al–Ce сплавы)</w:t>
            </w:r>
          </w:p>
        </w:tc>
        <w:tc>
          <w:tcPr>
            <w:tcW w:type="dxa" w:w="2493"/>
          </w:tcPr>
          <w:p>
            <w:pPr>
              <w:spacing w:after="0" w:line="240" w:lineRule="auto"/>
              <w:ind w:firstLine="0"/>
              <w:jc w:val="center"/>
            </w:pPr>
            <w:r>
              <w:rPr>
                <w:b w:val="0"/>
                <w:i w:val="0"/>
                <w:sz w:val="20"/>
              </w:rPr>
              <w:t>низкая</w:t>
            </w:r>
          </w:p>
        </w:tc>
        <w:tc>
          <w:tcPr>
            <w:tcW w:type="dxa" w:w="2493"/>
          </w:tcPr>
          <w:p>
            <w:pPr>
              <w:spacing w:after="0" w:line="240" w:lineRule="auto"/>
              <w:ind w:firstLine="0"/>
              <w:jc w:val="center"/>
            </w:pPr>
            <w:r>
              <w:rPr>
                <w:b w:val="0"/>
                <w:i w:val="0"/>
                <w:sz w:val="20"/>
              </w:rPr>
              <w:t>среднее</w:t>
            </w:r>
          </w:p>
        </w:tc>
        <w:tc>
          <w:tcPr>
            <w:tcW w:type="dxa" w:w="2493"/>
          </w:tcPr>
          <w:p>
            <w:pPr>
              <w:spacing w:after="0" w:line="240" w:lineRule="auto"/>
              <w:ind w:firstLine="0"/>
              <w:jc w:val="center"/>
            </w:pPr>
            <w:r>
              <w:rPr>
                <w:b w:val="0"/>
                <w:i w:val="0"/>
                <w:sz w:val="20"/>
              </w:rPr>
              <w:t>улучшение экономики проектов</w:t>
            </w:r>
          </w:p>
        </w:tc>
      </w:tr>
      <w:tr>
        <w:tc>
          <w:tcPr>
            <w:tcW w:type="dxa" w:w="2493"/>
          </w:tcPr>
          <w:p>
            <w:pPr>
              <w:spacing w:after="0" w:line="240" w:lineRule="auto"/>
              <w:ind w:firstLine="0"/>
              <w:jc w:val="left"/>
            </w:pPr>
            <w:r>
              <w:rPr>
                <w:b w:val="0"/>
                <w:i w:val="0"/>
                <w:sz w:val="20"/>
              </w:rPr>
              <w:t>Успех глубоководной добычи</w:t>
            </w:r>
          </w:p>
        </w:tc>
        <w:tc>
          <w:tcPr>
            <w:tcW w:type="dxa" w:w="2493"/>
          </w:tcPr>
          <w:p>
            <w:pPr>
              <w:spacing w:after="0" w:line="240" w:lineRule="auto"/>
              <w:ind w:firstLine="0"/>
              <w:jc w:val="center"/>
            </w:pPr>
            <w:r>
              <w:rPr>
                <w:b w:val="0"/>
                <w:i w:val="0"/>
                <w:sz w:val="20"/>
              </w:rPr>
              <w:t>очень низкая</w:t>
            </w:r>
          </w:p>
        </w:tc>
        <w:tc>
          <w:tcPr>
            <w:tcW w:type="dxa" w:w="2493"/>
          </w:tcPr>
          <w:p>
            <w:pPr>
              <w:spacing w:after="0" w:line="240" w:lineRule="auto"/>
              <w:ind w:firstLine="0"/>
              <w:jc w:val="center"/>
            </w:pPr>
            <w:r>
              <w:rPr>
                <w:b w:val="0"/>
                <w:i w:val="0"/>
                <w:sz w:val="20"/>
              </w:rPr>
              <w:t>высокое</w:t>
            </w:r>
          </w:p>
        </w:tc>
        <w:tc>
          <w:tcPr>
            <w:tcW w:type="dxa" w:w="2493"/>
          </w:tcPr>
          <w:p>
            <w:pPr>
              <w:spacing w:after="0" w:line="240" w:lineRule="auto"/>
              <w:ind w:firstLine="0"/>
              <w:jc w:val="center"/>
            </w:pPr>
            <w:r>
              <w:rPr>
                <w:b w:val="0"/>
                <w:i w:val="0"/>
                <w:sz w:val="20"/>
              </w:rPr>
              <w:t>новый источник тяжёлых РЗМ</w:t>
            </w:r>
          </w:p>
        </w:tc>
      </w:tr>
      <w:tr>
        <w:tc>
          <w:tcPr>
            <w:tcW w:type="dxa" w:w="2493"/>
          </w:tcPr>
          <w:p>
            <w:pPr>
              <w:spacing w:after="0" w:line="240" w:lineRule="auto"/>
              <w:ind w:firstLine="0"/>
              <w:jc w:val="left"/>
            </w:pPr>
            <w:r>
              <w:rPr>
                <w:b w:val="0"/>
                <w:i w:val="0"/>
                <w:sz w:val="20"/>
              </w:rPr>
              <w:t>Расширение ценовых полов на ЕС и Японию</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высокое</w:t>
            </w:r>
          </w:p>
        </w:tc>
        <w:tc>
          <w:tcPr>
            <w:tcW w:type="dxa" w:w="2493"/>
          </w:tcPr>
          <w:p>
            <w:pPr>
              <w:spacing w:after="0" w:line="240" w:lineRule="auto"/>
              <w:ind w:firstLine="0"/>
              <w:jc w:val="center"/>
            </w:pPr>
            <w:r>
              <w:rPr>
                <w:b w:val="0"/>
                <w:i w:val="0"/>
                <w:sz w:val="20"/>
              </w:rPr>
              <w:t>ускорение диверсификации</w:t>
            </w:r>
          </w:p>
        </w:tc>
      </w:tr>
    </w:tbl>
    <w:p>
      <w:pPr>
        <w:spacing w:after="180"/>
        <w:ind w:firstLine="0"/>
      </w:pPr>
      <w:r>
        <w:rPr>
          <w:i/>
          <w:sz w:val="20"/>
        </w:rPr>
        <w:t>Источник: аналитический центр</w:t>
      </w:r>
    </w:p>
    <w:p>
      <w:r>
        <w:br w:type="page"/>
      </w:r>
    </w:p>
    <w:p>
      <w:pPr>
        <w:pStyle w:val="Heading1"/>
      </w:pPr>
      <w:r>
        <w:rPr>
          <w:b w:val="0"/>
          <w:i w:val="0"/>
        </w:rPr>
        <w:t>9. Сырьевая база редкоземельных металлов России и стран ЕАЭС</w:t>
      </w:r>
    </w:p>
    <w:p>
      <w:pPr>
        <w:pStyle w:val="Heading2"/>
      </w:pPr>
      <w:r>
        <w:rPr>
          <w:b w:val="0"/>
          <w:i w:val="0"/>
        </w:rPr>
        <w:t>9.1. Структура запасов Российской Федерации</w:t>
      </w:r>
    </w:p>
    <w:p>
      <w:r>
        <w:rPr>
          <w:b w:val="0"/>
          <w:i w:val="0"/>
        </w:rPr>
        <w:t>Российская Федерация располагает одной из крупнейших в мире сырьевых баз редкоземельных металлов. По данным Государственного баланса запасов полезных ископаемых, учтённые балансовые запасы оксидов редкоземельных металлов составляют порядка 28–29 млн т по категориям A+B+C₁+C₂, что формально ставит Россию на второе-третье место в мире. Оценка USGS, применяющая иные критерии экономической подтверждённости, составляет 3,8 млн т.</w:t>
      </w:r>
    </w:p>
    <w:p>
      <w:r>
        <w:rPr>
          <w:b w:val="0"/>
          <w:i w:val="0"/>
        </w:rPr>
        <w:t>Расхождение почти на порядок между этими цифрами не является следствием ошибки; оно отражает содержательное различие подходов. В российский Государственный баланс включаются запасы месторождений, разведанных в советский период по критериям, не предполагавшим проверки экономической эффективности отработки в рыночных условиях, а также запасы, находящиеся в составе комплексных руд, где редкие земли являются попутным компонентом и в настоящее время не извлекаются (прежде всего апатит-нефелиновые руды Хибин).</w:t>
      </w:r>
    </w:p>
    <w:p>
      <w:r>
        <w:rPr>
          <w:b w:val="0"/>
          <w:i w:val="0"/>
        </w:rPr>
        <w:t>При анализе российской сырьевой базы принципиально важно разделять три качественно различные категории:</w:t>
      </w:r>
    </w:p>
    <w:p>
      <w:pPr>
        <w:pStyle w:val="ListNumber"/>
        <w:spacing w:after="20"/>
        <w:ind w:firstLine="0"/>
      </w:pPr>
      <w:r>
        <w:rPr>
          <w:b/>
          <w:i w:val="0"/>
        </w:rPr>
        <w:t>Запасы в рудах действующих предприятий, извлекаемые в настоящее время</w:t>
      </w:r>
      <w:r>
        <w:rPr>
          <w:b w:val="0"/>
          <w:i w:val="0"/>
        </w:rPr>
        <w:t xml:space="preserve"> — только Ловозёрское месторождение (лопаритовые руды). Объём извлечения — около 2,5 тыс. т TREO в год;</w:t>
      </w:r>
    </w:p>
    <w:p>
      <w:pPr>
        <w:pStyle w:val="ListNumber"/>
        <w:spacing w:after="20"/>
        <w:ind w:firstLine="0"/>
      </w:pPr>
      <w:r>
        <w:rPr>
          <w:b/>
          <w:i w:val="0"/>
        </w:rPr>
        <w:t>Запасы в рудах действующих предприятий, не извлекаемые</w:t>
      </w:r>
      <w:r>
        <w:rPr>
          <w:b w:val="0"/>
          <w:i w:val="0"/>
        </w:rPr>
        <w:t xml:space="preserve"> — прежде всего апатит-нефелиновые руды Хибинской группы, где редкие земли в количестве около 20–25 тыс. т TREO ежегодно проходят через передел и рассеиваются в продукции и отходах;</w:t>
      </w:r>
    </w:p>
    <w:p>
      <w:pPr>
        <w:pStyle w:val="ListNumber"/>
        <w:spacing w:after="20"/>
        <w:ind w:firstLine="0"/>
      </w:pPr>
      <w:r>
        <w:rPr>
          <w:b/>
          <w:i w:val="0"/>
        </w:rPr>
        <w:t>Запасы неосваиваемых месторождений</w:t>
      </w:r>
      <w:r>
        <w:rPr>
          <w:b w:val="0"/>
          <w:i w:val="0"/>
        </w:rPr>
        <w:t xml:space="preserve"> — Томторское, Чуктуконское, Зашихинское, Катугинское, Африкандское и др.</w:t>
      </w:r>
    </w:p>
    <w:p>
      <w:pPr>
        <w:keepNext/>
        <w:spacing w:before="160" w:after="60"/>
        <w:ind w:firstLine="0"/>
        <w:jc w:val="left"/>
      </w:pPr>
      <w:r>
        <w:rPr>
          <w:b/>
          <w:sz w:val="22"/>
        </w:rPr>
        <w:t>Таблица 62. Структура балансовых запасов редкоземельных металлов Российской Федерации по типам объектов</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Категория объектов</w:t>
            </w:r>
          </w:p>
        </w:tc>
        <w:tc>
          <w:tcPr>
            <w:tcW w:type="dxa" w:w="2493"/>
            <w:shd w:val="clear" w:fill="DCE6F1"/>
          </w:tcPr>
          <w:p>
            <w:pPr>
              <w:spacing w:after="0" w:line="240" w:lineRule="auto"/>
              <w:ind w:firstLine="0"/>
              <w:jc w:val="center"/>
            </w:pPr>
            <w:r>
              <w:rPr>
                <w:b/>
                <w:i w:val="0"/>
                <w:sz w:val="20"/>
              </w:rPr>
              <w:t>Запасы, тыс. т TREO</w:t>
            </w:r>
          </w:p>
        </w:tc>
        <w:tc>
          <w:tcPr>
            <w:tcW w:type="dxa" w:w="2493"/>
            <w:shd w:val="clear" w:fill="DCE6F1"/>
          </w:tcPr>
          <w:p>
            <w:pPr>
              <w:spacing w:after="0" w:line="240" w:lineRule="auto"/>
              <w:ind w:firstLine="0"/>
              <w:jc w:val="center"/>
            </w:pPr>
            <w:r>
              <w:rPr>
                <w:b/>
                <w:i w:val="0"/>
                <w:sz w:val="20"/>
              </w:rPr>
              <w:t>Доля, %</w:t>
            </w:r>
          </w:p>
        </w:tc>
        <w:tc>
          <w:tcPr>
            <w:tcW w:type="dxa" w:w="2493"/>
            <w:shd w:val="clear" w:fill="DCE6F1"/>
          </w:tcPr>
          <w:p>
            <w:pPr>
              <w:spacing w:after="0" w:line="240" w:lineRule="auto"/>
              <w:ind w:firstLine="0"/>
              <w:jc w:val="center"/>
            </w:pPr>
            <w:r>
              <w:rPr>
                <w:b/>
                <w:i w:val="0"/>
                <w:sz w:val="20"/>
              </w:rPr>
              <w:t>Состояние освоения</w:t>
            </w:r>
          </w:p>
        </w:tc>
      </w:tr>
      <w:tr>
        <w:tc>
          <w:tcPr>
            <w:tcW w:type="dxa" w:w="2493"/>
          </w:tcPr>
          <w:p>
            <w:pPr>
              <w:spacing w:after="0" w:line="240" w:lineRule="auto"/>
              <w:ind w:firstLine="0"/>
              <w:jc w:val="left"/>
            </w:pPr>
            <w:r>
              <w:rPr>
                <w:b w:val="0"/>
                <w:i w:val="0"/>
                <w:sz w:val="20"/>
              </w:rPr>
              <w:t>Апатит-нефелиновые руды (Хибины, Ковдор)</w:t>
            </w:r>
          </w:p>
        </w:tc>
        <w:tc>
          <w:tcPr>
            <w:tcW w:type="dxa" w:w="2493"/>
          </w:tcPr>
          <w:p>
            <w:pPr>
              <w:spacing w:after="0" w:line="240" w:lineRule="auto"/>
              <w:ind w:firstLine="0"/>
              <w:jc w:val="center"/>
            </w:pPr>
            <w:r>
              <w:rPr>
                <w:b w:val="0"/>
                <w:i w:val="0"/>
                <w:sz w:val="20"/>
              </w:rPr>
              <w:t>12 500</w:t>
            </w:r>
          </w:p>
        </w:tc>
        <w:tc>
          <w:tcPr>
            <w:tcW w:type="dxa" w:w="2493"/>
          </w:tcPr>
          <w:p>
            <w:pPr>
              <w:spacing w:after="0" w:line="240" w:lineRule="auto"/>
              <w:ind w:firstLine="0"/>
              <w:jc w:val="center"/>
            </w:pPr>
            <w:r>
              <w:rPr>
                <w:b w:val="0"/>
                <w:i w:val="0"/>
                <w:sz w:val="20"/>
              </w:rPr>
              <w:t>43,4</w:t>
            </w:r>
          </w:p>
        </w:tc>
        <w:tc>
          <w:tcPr>
            <w:tcW w:type="dxa" w:w="2493"/>
          </w:tcPr>
          <w:p>
            <w:pPr>
              <w:spacing w:after="0" w:line="240" w:lineRule="auto"/>
              <w:ind w:firstLine="0"/>
              <w:jc w:val="center"/>
            </w:pPr>
            <w:r>
              <w:rPr>
                <w:b w:val="0"/>
                <w:i w:val="0"/>
                <w:sz w:val="20"/>
              </w:rPr>
              <w:t>добываются, РЗМ не извлекаются</w:t>
            </w:r>
          </w:p>
        </w:tc>
      </w:tr>
      <w:tr>
        <w:tc>
          <w:tcPr>
            <w:tcW w:type="dxa" w:w="2493"/>
          </w:tcPr>
          <w:p>
            <w:pPr>
              <w:spacing w:after="0" w:line="240" w:lineRule="auto"/>
              <w:ind w:firstLine="0"/>
              <w:jc w:val="left"/>
            </w:pPr>
            <w:r>
              <w:rPr>
                <w:b w:val="0"/>
                <w:i w:val="0"/>
                <w:sz w:val="20"/>
              </w:rPr>
              <w:t>Лопаритовые руды (Ловозеро)</w:t>
            </w:r>
          </w:p>
        </w:tc>
        <w:tc>
          <w:tcPr>
            <w:tcW w:type="dxa" w:w="2493"/>
          </w:tcPr>
          <w:p>
            <w:pPr>
              <w:spacing w:after="0" w:line="240" w:lineRule="auto"/>
              <w:ind w:firstLine="0"/>
              <w:jc w:val="center"/>
            </w:pPr>
            <w:r>
              <w:rPr>
                <w:b w:val="0"/>
                <w:i w:val="0"/>
                <w:sz w:val="20"/>
              </w:rPr>
              <w:t>1 600</w:t>
            </w:r>
          </w:p>
        </w:tc>
        <w:tc>
          <w:tcPr>
            <w:tcW w:type="dxa" w:w="2493"/>
          </w:tcPr>
          <w:p>
            <w:pPr>
              <w:spacing w:after="0" w:line="240" w:lineRule="auto"/>
              <w:ind w:firstLine="0"/>
              <w:jc w:val="center"/>
            </w:pPr>
            <w:r>
              <w:rPr>
                <w:b w:val="0"/>
                <w:i w:val="0"/>
                <w:sz w:val="20"/>
              </w:rPr>
              <w:t>5,6</w:t>
            </w:r>
          </w:p>
        </w:tc>
        <w:tc>
          <w:tcPr>
            <w:tcW w:type="dxa" w:w="2493"/>
          </w:tcPr>
          <w:p>
            <w:pPr>
              <w:spacing w:after="0" w:line="240" w:lineRule="auto"/>
              <w:ind w:firstLine="0"/>
              <w:jc w:val="center"/>
            </w:pPr>
            <w:r>
              <w:rPr>
                <w:b w:val="0"/>
                <w:i w:val="0"/>
                <w:sz w:val="20"/>
              </w:rPr>
              <w:t>добываются, РЗМ извлекаются</w:t>
            </w:r>
          </w:p>
        </w:tc>
      </w:tr>
      <w:tr>
        <w:tc>
          <w:tcPr>
            <w:tcW w:type="dxa" w:w="2493"/>
          </w:tcPr>
          <w:p>
            <w:pPr>
              <w:spacing w:after="0" w:line="240" w:lineRule="auto"/>
              <w:ind w:firstLine="0"/>
              <w:jc w:val="left"/>
            </w:pPr>
            <w:r>
              <w:rPr>
                <w:b w:val="0"/>
                <w:i w:val="0"/>
                <w:sz w:val="20"/>
              </w:rPr>
              <w:t>Эвдиалитовые руды (Ловозеро, Аллуайв)</w:t>
            </w:r>
          </w:p>
        </w:tc>
        <w:tc>
          <w:tcPr>
            <w:tcW w:type="dxa" w:w="2493"/>
          </w:tcPr>
          <w:p>
            <w:pPr>
              <w:spacing w:after="0" w:line="240" w:lineRule="auto"/>
              <w:ind w:firstLine="0"/>
              <w:jc w:val="center"/>
            </w:pPr>
            <w:r>
              <w:rPr>
                <w:b w:val="0"/>
                <w:i w:val="0"/>
                <w:sz w:val="20"/>
              </w:rPr>
              <w:t>4 300</w:t>
            </w:r>
          </w:p>
        </w:tc>
        <w:tc>
          <w:tcPr>
            <w:tcW w:type="dxa" w:w="2493"/>
          </w:tcPr>
          <w:p>
            <w:pPr>
              <w:spacing w:after="0" w:line="240" w:lineRule="auto"/>
              <w:ind w:firstLine="0"/>
              <w:jc w:val="center"/>
            </w:pPr>
            <w:r>
              <w:rPr>
                <w:b w:val="0"/>
                <w:i w:val="0"/>
                <w:sz w:val="20"/>
              </w:rPr>
              <w:t>14,9</w:t>
            </w:r>
          </w:p>
        </w:tc>
        <w:tc>
          <w:tcPr>
            <w:tcW w:type="dxa" w:w="2493"/>
          </w:tcPr>
          <w:p>
            <w:pPr>
              <w:spacing w:after="0" w:line="240" w:lineRule="auto"/>
              <w:ind w:firstLine="0"/>
              <w:jc w:val="center"/>
            </w:pPr>
            <w:r>
              <w:rPr>
                <w:b w:val="0"/>
                <w:i w:val="0"/>
                <w:sz w:val="20"/>
              </w:rPr>
              <w:t>не осваиваются</w:t>
            </w:r>
          </w:p>
        </w:tc>
      </w:tr>
      <w:tr>
        <w:tc>
          <w:tcPr>
            <w:tcW w:type="dxa" w:w="2493"/>
          </w:tcPr>
          <w:p>
            <w:pPr>
              <w:spacing w:after="0" w:line="240" w:lineRule="auto"/>
              <w:ind w:firstLine="0"/>
              <w:jc w:val="left"/>
            </w:pPr>
            <w:r>
              <w:rPr>
                <w:b w:val="0"/>
                <w:i w:val="0"/>
                <w:sz w:val="20"/>
              </w:rPr>
              <w:t>Ниобий-редкоземельные коры выветривания (Томтор, Чуктукон)</w:t>
            </w:r>
          </w:p>
        </w:tc>
        <w:tc>
          <w:tcPr>
            <w:tcW w:type="dxa" w:w="2493"/>
          </w:tcPr>
          <w:p>
            <w:pPr>
              <w:spacing w:after="0" w:line="240" w:lineRule="auto"/>
              <w:ind w:firstLine="0"/>
              <w:jc w:val="center"/>
            </w:pPr>
            <w:r>
              <w:rPr>
                <w:b w:val="0"/>
                <w:i w:val="0"/>
                <w:sz w:val="20"/>
              </w:rPr>
              <w:t>3 800</w:t>
            </w:r>
          </w:p>
        </w:tc>
        <w:tc>
          <w:tcPr>
            <w:tcW w:type="dxa" w:w="2493"/>
          </w:tcPr>
          <w:p>
            <w:pPr>
              <w:spacing w:after="0" w:line="240" w:lineRule="auto"/>
              <w:ind w:firstLine="0"/>
              <w:jc w:val="center"/>
            </w:pPr>
            <w:r>
              <w:rPr>
                <w:b w:val="0"/>
                <w:i w:val="0"/>
                <w:sz w:val="20"/>
              </w:rPr>
              <w:t>13,2</w:t>
            </w:r>
          </w:p>
        </w:tc>
        <w:tc>
          <w:tcPr>
            <w:tcW w:type="dxa" w:w="2493"/>
          </w:tcPr>
          <w:p>
            <w:pPr>
              <w:spacing w:after="0" w:line="240" w:lineRule="auto"/>
              <w:ind w:firstLine="0"/>
              <w:jc w:val="center"/>
            </w:pPr>
            <w:r>
              <w:rPr>
                <w:b w:val="0"/>
                <w:i w:val="0"/>
                <w:sz w:val="20"/>
              </w:rPr>
              <w:t>подготовка к освоению</w:t>
            </w:r>
          </w:p>
        </w:tc>
      </w:tr>
      <w:tr>
        <w:tc>
          <w:tcPr>
            <w:tcW w:type="dxa" w:w="2493"/>
          </w:tcPr>
          <w:p>
            <w:pPr>
              <w:spacing w:after="0" w:line="240" w:lineRule="auto"/>
              <w:ind w:firstLine="0"/>
              <w:jc w:val="left"/>
            </w:pPr>
            <w:r>
              <w:rPr>
                <w:b w:val="0"/>
                <w:i w:val="0"/>
                <w:sz w:val="20"/>
              </w:rPr>
              <w:t>Редкометалльные метасоматиты (Катугинское, Улуг-Танзек)</w:t>
            </w:r>
          </w:p>
        </w:tc>
        <w:tc>
          <w:tcPr>
            <w:tcW w:type="dxa" w:w="2493"/>
          </w:tcPr>
          <w:p>
            <w:pPr>
              <w:spacing w:after="0" w:line="240" w:lineRule="auto"/>
              <w:ind w:firstLine="0"/>
              <w:jc w:val="center"/>
            </w:pPr>
            <w:r>
              <w:rPr>
                <w:b w:val="0"/>
                <w:i w:val="0"/>
                <w:sz w:val="20"/>
              </w:rPr>
              <w:t>2 900</w:t>
            </w:r>
          </w:p>
        </w:tc>
        <w:tc>
          <w:tcPr>
            <w:tcW w:type="dxa" w:w="2493"/>
          </w:tcPr>
          <w:p>
            <w:pPr>
              <w:spacing w:after="0" w:line="240" w:lineRule="auto"/>
              <w:ind w:firstLine="0"/>
              <w:jc w:val="center"/>
            </w:pPr>
            <w:r>
              <w:rPr>
                <w:b w:val="0"/>
                <w:i w:val="0"/>
                <w:sz w:val="20"/>
              </w:rPr>
              <w:t>10,1</w:t>
            </w:r>
          </w:p>
        </w:tc>
        <w:tc>
          <w:tcPr>
            <w:tcW w:type="dxa" w:w="2493"/>
          </w:tcPr>
          <w:p>
            <w:pPr>
              <w:spacing w:after="0" w:line="240" w:lineRule="auto"/>
              <w:ind w:firstLine="0"/>
              <w:jc w:val="center"/>
            </w:pPr>
            <w:r>
              <w:rPr>
                <w:b w:val="0"/>
                <w:i w:val="0"/>
                <w:sz w:val="20"/>
              </w:rPr>
              <w:t>не осваиваются</w:t>
            </w:r>
          </w:p>
        </w:tc>
      </w:tr>
      <w:tr>
        <w:tc>
          <w:tcPr>
            <w:tcW w:type="dxa" w:w="2493"/>
          </w:tcPr>
          <w:p>
            <w:pPr>
              <w:spacing w:after="0" w:line="240" w:lineRule="auto"/>
              <w:ind w:firstLine="0"/>
              <w:jc w:val="left"/>
            </w:pPr>
            <w:r>
              <w:rPr>
                <w:b w:val="0"/>
                <w:i w:val="0"/>
                <w:sz w:val="20"/>
              </w:rPr>
              <w:t>Комплексные (Зашихинское, Африканда, Белозиминское)</w:t>
            </w:r>
          </w:p>
        </w:tc>
        <w:tc>
          <w:tcPr>
            <w:tcW w:type="dxa" w:w="2493"/>
          </w:tcPr>
          <w:p>
            <w:pPr>
              <w:spacing w:after="0" w:line="240" w:lineRule="auto"/>
              <w:ind w:firstLine="0"/>
              <w:jc w:val="center"/>
            </w:pPr>
            <w:r>
              <w:rPr>
                <w:b w:val="0"/>
                <w:i w:val="0"/>
                <w:sz w:val="20"/>
              </w:rPr>
              <w:t>2 100</w:t>
            </w:r>
          </w:p>
        </w:tc>
        <w:tc>
          <w:tcPr>
            <w:tcW w:type="dxa" w:w="2493"/>
          </w:tcPr>
          <w:p>
            <w:pPr>
              <w:spacing w:after="0" w:line="240" w:lineRule="auto"/>
              <w:ind w:firstLine="0"/>
              <w:jc w:val="center"/>
            </w:pPr>
            <w:r>
              <w:rPr>
                <w:b w:val="0"/>
                <w:i w:val="0"/>
                <w:sz w:val="20"/>
              </w:rPr>
              <w:t>7,3</w:t>
            </w:r>
          </w:p>
        </w:tc>
        <w:tc>
          <w:tcPr>
            <w:tcW w:type="dxa" w:w="2493"/>
          </w:tcPr>
          <w:p>
            <w:pPr>
              <w:spacing w:after="0" w:line="240" w:lineRule="auto"/>
              <w:ind w:firstLine="0"/>
              <w:jc w:val="center"/>
            </w:pPr>
            <w:r>
              <w:rPr>
                <w:b w:val="0"/>
                <w:i w:val="0"/>
                <w:sz w:val="20"/>
              </w:rPr>
              <w:t>подготовка к освоению</w:t>
            </w:r>
          </w:p>
        </w:tc>
      </w:tr>
      <w:tr>
        <w:tc>
          <w:tcPr>
            <w:tcW w:type="dxa" w:w="2493"/>
          </w:tcPr>
          <w:p>
            <w:pPr>
              <w:spacing w:after="0" w:line="240" w:lineRule="auto"/>
              <w:ind w:firstLine="0"/>
              <w:jc w:val="left"/>
            </w:pPr>
            <w:r>
              <w:rPr>
                <w:b w:val="0"/>
                <w:i w:val="0"/>
                <w:sz w:val="20"/>
              </w:rPr>
              <w:t>Прочие и попутные</w:t>
            </w:r>
          </w:p>
        </w:tc>
        <w:tc>
          <w:tcPr>
            <w:tcW w:type="dxa" w:w="2493"/>
          </w:tcPr>
          <w:p>
            <w:pPr>
              <w:spacing w:after="0" w:line="240" w:lineRule="auto"/>
              <w:ind w:firstLine="0"/>
              <w:jc w:val="center"/>
            </w:pPr>
            <w:r>
              <w:rPr>
                <w:b w:val="0"/>
                <w:i w:val="0"/>
                <w:sz w:val="20"/>
              </w:rPr>
              <w:t>1 600</w:t>
            </w:r>
          </w:p>
        </w:tc>
        <w:tc>
          <w:tcPr>
            <w:tcW w:type="dxa" w:w="2493"/>
          </w:tcPr>
          <w:p>
            <w:pPr>
              <w:spacing w:after="0" w:line="240" w:lineRule="auto"/>
              <w:ind w:firstLine="0"/>
              <w:jc w:val="center"/>
            </w:pPr>
            <w:r>
              <w:rPr>
                <w:b w:val="0"/>
                <w:i w:val="0"/>
                <w:sz w:val="20"/>
              </w:rPr>
              <w:t>5,5</w:t>
            </w:r>
          </w:p>
        </w:tc>
        <w:tc>
          <w:tcPr>
            <w:tcW w:type="dxa" w:w="2493"/>
          </w:tcPr>
          <w:p>
            <w:pPr>
              <w:spacing w:after="0" w:line="240" w:lineRule="auto"/>
              <w:ind w:firstLine="0"/>
              <w:jc w:val="center"/>
            </w:pPr>
            <w:r>
              <w:rPr>
                <w:b w:val="0"/>
                <w:i w:val="0"/>
                <w:sz w:val="20"/>
              </w:rPr>
              <w:t>не осваиваются</w:t>
            </w:r>
          </w:p>
        </w:tc>
      </w:tr>
      <w:tr>
        <w:tc>
          <w:tcPr>
            <w:tcW w:type="dxa" w:w="2493"/>
          </w:tcPr>
          <w:p>
            <w:pPr>
              <w:spacing w:after="0" w:line="240" w:lineRule="auto"/>
              <w:ind w:firstLine="0"/>
              <w:jc w:val="left"/>
            </w:pPr>
            <w:r>
              <w:rPr>
                <w:b/>
                <w:i w:val="0"/>
                <w:sz w:val="20"/>
              </w:rPr>
              <w:t>Всего</w:t>
            </w:r>
          </w:p>
        </w:tc>
        <w:tc>
          <w:tcPr>
            <w:tcW w:type="dxa" w:w="2493"/>
          </w:tcPr>
          <w:p>
            <w:pPr>
              <w:spacing w:after="0" w:line="240" w:lineRule="auto"/>
              <w:ind w:firstLine="0"/>
              <w:jc w:val="center"/>
            </w:pPr>
            <w:r>
              <w:rPr>
                <w:b/>
                <w:i w:val="0"/>
                <w:sz w:val="20"/>
              </w:rPr>
              <w:t>28 800</w:t>
            </w:r>
          </w:p>
        </w:tc>
        <w:tc>
          <w:tcPr>
            <w:tcW w:type="dxa" w:w="2493"/>
          </w:tcPr>
          <w:p>
            <w:pPr>
              <w:spacing w:after="0" w:line="240" w:lineRule="auto"/>
              <w:ind w:firstLine="0"/>
              <w:jc w:val="center"/>
            </w:pPr>
            <w:r>
              <w:rPr>
                <w:b/>
                <w:i w:val="0"/>
                <w:sz w:val="20"/>
              </w:rPr>
              <w:t>100,0</w:t>
            </w:r>
          </w:p>
        </w:tc>
        <w:tc>
          <w:tcPr>
            <w:tcW w:type="dxa" w:w="2493"/>
          </w:tcPr>
          <w:p>
            <w:pPr>
              <w:spacing w:after="0" w:line="240" w:lineRule="auto"/>
              <w:ind w:firstLine="0"/>
              <w:jc w:val="center"/>
            </w:pPr>
          </w:p>
        </w:tc>
      </w:tr>
    </w:tbl>
    <w:p>
      <w:pPr>
        <w:spacing w:after="180"/>
        <w:ind w:firstLine="0"/>
      </w:pPr>
      <w:r>
        <w:rPr>
          <w:i/>
          <w:sz w:val="20"/>
        </w:rPr>
        <w:t>Источник: аналитический центр по данным Государственного баланса запасов полезных ископаемых РФ и государственных докладов «О состоянии и использовании минерально-сырьевых ресурсов РФ»; оценочные значения</w:t>
      </w:r>
    </w:p>
    <w:p>
      <w:pPr>
        <w:keepNext/>
        <w:spacing w:before="160" w:after="60"/>
        <w:ind w:firstLine="0"/>
        <w:jc w:val="left"/>
      </w:pPr>
      <w:r>
        <w:rPr>
          <w:b/>
          <w:sz w:val="22"/>
        </w:rPr>
        <w:t>Рисунок 49. Структура балансовых запасов РЗМ Российской Федерации по типам объектов, %</w:t>
      </w:r>
    </w:p>
    <w:p>
      <w:pPr>
        <w:ind w:firstLine="0"/>
        <w:jc w:val="center"/>
      </w:pPr>
      <w:r>
        <w:drawing>
          <wp:inline xmlns:a="http://schemas.openxmlformats.org/drawingml/2006/main" xmlns:pic="http://schemas.openxmlformats.org/drawingml/2006/picture">
            <wp:extent cx="5580000" cy="3600000"/>
            <wp:docPr id="49" name="Picture 49"/>
            <wp:cNvGraphicFramePr>
              <a:graphicFrameLocks noChangeAspect="1"/>
            </wp:cNvGraphicFramePr>
            <a:graphic>
              <a:graphicData uri="http://schemas.openxmlformats.org/drawingml/2006/picture">
                <pic:pic>
                  <pic:nvPicPr>
                    <pic:cNvPr id="0" name="fig49.png"/>
                    <pic:cNvPicPr/>
                  </pic:nvPicPr>
                  <pic:blipFill>
                    <a:blip r:embed="rId59"/>
                    <a:stretch>
                      <a:fillRect/>
                    </a:stretch>
                  </pic:blipFill>
                  <pic:spPr>
                    <a:xfrm>
                      <a:off x="0" y="0"/>
                      <a:ext cx="5580000" cy="3600000"/>
                    </a:xfrm>
                    <a:prstGeom prst="rect"/>
                  </pic:spPr>
                </pic:pic>
              </a:graphicData>
            </a:graphic>
          </wp:inline>
        </w:drawing>
      </w:r>
    </w:p>
    <w:p>
      <w:pPr>
        <w:spacing w:after="180"/>
        <w:ind w:firstLine="0"/>
      </w:pPr>
      <w:r>
        <w:rPr>
          <w:i/>
          <w:sz w:val="20"/>
        </w:rPr>
        <w:t>Источник: аналитический центр (табл. 62)</w:t>
      </w:r>
    </w:p>
    <w:p>
      <w:r>
        <w:rPr>
          <w:b w:val="0"/>
          <w:i w:val="0"/>
        </w:rPr>
        <w:t xml:space="preserve">Данные таблицы 62 позволяют сформулировать ключевую характеристику российской сырьевой базы: </w:t>
      </w:r>
      <w:r>
        <w:rPr>
          <w:b/>
          <w:i w:val="0"/>
        </w:rPr>
        <w:t>97% учтённых запасов приходится на объекты, где редкие земли либо не извлекаются, либо не осваиваются</w:t>
      </w:r>
      <w:r>
        <w:rPr>
          <w:b w:val="0"/>
          <w:i w:val="0"/>
        </w:rPr>
        <w:t>. Проблема не в объёме запасов, а в том, что практически все они относятся к типам сырья, требующим создания новых технологических схем — эвдиалитовой, коры выветривания, метасоматитовой, апатитовой. Ни одна из этих схем не имеет промышленных аналогов в мире, что означает необходимость проведения полного цикла НИОКР для каждого объекта.</w:t>
      </w:r>
    </w:p>
    <w:p>
      <w:pPr>
        <w:pStyle w:val="Heading2"/>
      </w:pPr>
      <w:r>
        <w:rPr>
          <w:b w:val="0"/>
          <w:i w:val="0"/>
        </w:rPr>
        <w:t>9.2. Ловозёрское месторождение и Ловозёрский горно-обогатительный комбинат</w:t>
      </w:r>
    </w:p>
    <w:p>
      <w:r>
        <w:rPr>
          <w:b/>
          <w:i w:val="0"/>
        </w:rPr>
        <w:t>Геологическая характеристика.</w:t>
      </w:r>
      <w:r>
        <w:rPr>
          <w:b w:val="0"/>
          <w:i w:val="0"/>
        </w:rPr>
        <w:t xml:space="preserve"> Ловозёрский щёлочной массив (Мурманская область) — второй по величине в мире массив агпаитовых нефелиновых сиенитов площадью около 650 км². Редкометалльная минерализация представлена двумя типами:</w:t>
      </w:r>
    </w:p>
    <w:p>
      <w:pPr>
        <w:pStyle w:val="ListBullet"/>
        <w:spacing w:after="20"/>
        <w:ind w:firstLine="0"/>
      </w:pPr>
      <w:r>
        <w:rPr>
          <w:b/>
          <w:i w:val="0"/>
        </w:rPr>
        <w:t>лопаритовые руды</w:t>
      </w:r>
      <w:r>
        <w:rPr>
          <w:b w:val="0"/>
          <w:i w:val="0"/>
        </w:rPr>
        <w:t xml:space="preserve"> — пласты и линзы уртитов и малиньитов с вкрапленностью лопарита; содержание лопарита 1,5–3,5%, TREO в руде 0,3–0,7%; горизонты «II-4» и «I-4»;</w:t>
      </w:r>
    </w:p>
    <w:p>
      <w:pPr>
        <w:pStyle w:val="ListBullet"/>
        <w:spacing w:after="20"/>
        <w:ind w:firstLine="0"/>
      </w:pPr>
      <w:r>
        <w:rPr>
          <w:b/>
          <w:i w:val="0"/>
        </w:rPr>
        <w:t>эвдиалитовые руды</w:t>
      </w:r>
      <w:r>
        <w:rPr>
          <w:b w:val="0"/>
          <w:i w:val="0"/>
        </w:rPr>
        <w:t xml:space="preserve"> — комплекс горы Аллуайв, содержание эвдиалита до 20–25%, TREO 0,6–1,2%, попутно цирконий (ZrO₂ 1,5–2,5%), гафний, ниобий.</w:t>
      </w:r>
    </w:p>
    <w:p>
      <w:r>
        <w:rPr>
          <w:b w:val="0"/>
          <w:i w:val="0"/>
        </w:rPr>
        <w:t>Лопарит уникален как минерал: он одновременно является источником титана (TiO₂ 38–40%), ниобия (Nb₂O₅ 7–8%), тантала (Ta₂O₅ 0,5–0,7%) и редких земель (TREO 30–34%). Это обстоятельство определяет как преимущество (комплексность позволяет распределить издержки на несколько продуктов), так и недостаток (технология вскрытия усложняется необходимостью разделения всех этих компонентов).</w:t>
      </w:r>
    </w:p>
    <w:p>
      <w:pPr>
        <w:keepNext/>
        <w:spacing w:before="160" w:after="60"/>
        <w:ind w:firstLine="0"/>
        <w:jc w:val="left"/>
      </w:pPr>
      <w:r>
        <w:rPr>
          <w:b/>
          <w:sz w:val="22"/>
        </w:rPr>
        <w:t>Таблица 63. Характеристика запасов Ловозёрского месторождения</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Показатель</w:t>
            </w:r>
          </w:p>
        </w:tc>
        <w:tc>
          <w:tcPr>
            <w:tcW w:type="dxa" w:w="1995"/>
            <w:shd w:val="clear" w:fill="DCE6F1"/>
          </w:tcPr>
          <w:p>
            <w:pPr>
              <w:spacing w:after="0" w:line="240" w:lineRule="auto"/>
              <w:ind w:firstLine="0"/>
              <w:jc w:val="center"/>
            </w:pPr>
            <w:r>
              <w:rPr>
                <w:b/>
                <w:i w:val="0"/>
                <w:sz w:val="20"/>
              </w:rPr>
              <w:t>Лопаритовые руды</w:t>
            </w:r>
          </w:p>
        </w:tc>
        <w:tc>
          <w:tcPr>
            <w:tcW w:type="dxa" w:w="1995"/>
            <w:shd w:val="clear" w:fill="DCE6F1"/>
          </w:tcPr>
          <w:p>
            <w:pPr>
              <w:spacing w:after="0" w:line="240" w:lineRule="auto"/>
              <w:ind w:firstLine="0"/>
              <w:jc w:val="center"/>
            </w:pPr>
            <w:r>
              <w:rPr>
                <w:b/>
                <w:i w:val="0"/>
                <w:sz w:val="20"/>
              </w:rPr>
              <w:t>Эвдиалитовые руды</w:t>
            </w:r>
          </w:p>
        </w:tc>
        <w:tc>
          <w:tcPr>
            <w:tcW w:type="dxa" w:w="1995"/>
            <w:shd w:val="clear" w:fill="DCE6F1"/>
          </w:tcPr>
          <w:p>
            <w:pPr>
              <w:spacing w:after="0" w:line="240" w:lineRule="auto"/>
              <w:ind w:firstLine="0"/>
              <w:jc w:val="center"/>
            </w:pPr>
            <w:r>
              <w:rPr>
                <w:b/>
                <w:i w:val="0"/>
                <w:sz w:val="20"/>
              </w:rPr>
              <w:t>Единица</w:t>
            </w:r>
          </w:p>
        </w:tc>
        <w:tc>
          <w:tcPr>
            <w:tcW w:type="dxa" w:w="1995"/>
            <w:shd w:val="clear" w:fill="DCE6F1"/>
          </w:tcPr>
          <w:p>
            <w:pPr>
              <w:spacing w:after="0" w:line="240" w:lineRule="auto"/>
              <w:ind w:firstLine="0"/>
              <w:jc w:val="center"/>
            </w:pPr>
            <w:r>
              <w:rPr>
                <w:b/>
                <w:i w:val="0"/>
                <w:sz w:val="20"/>
              </w:rPr>
              <w:t>Примечание</w:t>
            </w:r>
          </w:p>
        </w:tc>
      </w:tr>
      <w:tr>
        <w:tc>
          <w:tcPr>
            <w:tcW w:type="dxa" w:w="1995"/>
          </w:tcPr>
          <w:p>
            <w:pPr>
              <w:spacing w:after="0" w:line="240" w:lineRule="auto"/>
              <w:ind w:firstLine="0"/>
              <w:jc w:val="left"/>
            </w:pPr>
            <w:r>
              <w:rPr>
                <w:b w:val="0"/>
                <w:i w:val="0"/>
                <w:sz w:val="20"/>
              </w:rPr>
              <w:t>Балансовые запасы руды</w:t>
            </w:r>
          </w:p>
        </w:tc>
        <w:tc>
          <w:tcPr>
            <w:tcW w:type="dxa" w:w="1995"/>
          </w:tcPr>
          <w:p>
            <w:pPr>
              <w:spacing w:after="0" w:line="240" w:lineRule="auto"/>
              <w:ind w:firstLine="0"/>
              <w:jc w:val="center"/>
            </w:pPr>
            <w:r>
              <w:rPr>
                <w:b w:val="0"/>
                <w:i w:val="0"/>
                <w:sz w:val="20"/>
              </w:rPr>
              <w:t>47 000</w:t>
            </w:r>
          </w:p>
        </w:tc>
        <w:tc>
          <w:tcPr>
            <w:tcW w:type="dxa" w:w="1995"/>
          </w:tcPr>
          <w:p>
            <w:pPr>
              <w:spacing w:after="0" w:line="240" w:lineRule="auto"/>
              <w:ind w:firstLine="0"/>
              <w:jc w:val="center"/>
            </w:pPr>
            <w:r>
              <w:rPr>
                <w:b w:val="0"/>
                <w:i w:val="0"/>
                <w:sz w:val="20"/>
              </w:rPr>
              <w:t>2 200 000</w:t>
            </w:r>
          </w:p>
        </w:tc>
        <w:tc>
          <w:tcPr>
            <w:tcW w:type="dxa" w:w="1995"/>
          </w:tcPr>
          <w:p>
            <w:pPr>
              <w:spacing w:after="0" w:line="240" w:lineRule="auto"/>
              <w:ind w:firstLine="0"/>
              <w:jc w:val="center"/>
            </w:pPr>
            <w:r>
              <w:rPr>
                <w:b w:val="0"/>
                <w:i w:val="0"/>
                <w:sz w:val="20"/>
              </w:rPr>
              <w:t>тыс. т</w:t>
            </w:r>
          </w:p>
        </w:tc>
        <w:tc>
          <w:tcPr>
            <w:tcW w:type="dxa" w:w="1995"/>
          </w:tcPr>
          <w:p>
            <w:pPr>
              <w:spacing w:after="0" w:line="240" w:lineRule="auto"/>
              <w:ind w:firstLine="0"/>
              <w:jc w:val="center"/>
            </w:pPr>
            <w:r>
              <w:rPr>
                <w:b w:val="0"/>
                <w:i w:val="0"/>
                <w:sz w:val="20"/>
              </w:rPr>
              <w:t>A+B+C₁+C₂</w:t>
            </w:r>
          </w:p>
        </w:tc>
      </w:tr>
      <w:tr>
        <w:tc>
          <w:tcPr>
            <w:tcW w:type="dxa" w:w="1995"/>
          </w:tcPr>
          <w:p>
            <w:pPr>
              <w:spacing w:after="0" w:line="240" w:lineRule="auto"/>
              <w:ind w:firstLine="0"/>
              <w:jc w:val="left"/>
            </w:pPr>
            <w:r>
              <w:rPr>
                <w:b w:val="0"/>
                <w:i w:val="0"/>
                <w:sz w:val="20"/>
              </w:rPr>
              <w:t>Среднее содержание TREO</w:t>
            </w:r>
          </w:p>
        </w:tc>
        <w:tc>
          <w:tcPr>
            <w:tcW w:type="dxa" w:w="1995"/>
          </w:tcPr>
          <w:p>
            <w:pPr>
              <w:spacing w:after="0" w:line="240" w:lineRule="auto"/>
              <w:ind w:firstLine="0"/>
              <w:jc w:val="center"/>
            </w:pPr>
            <w:r>
              <w:rPr>
                <w:b w:val="0"/>
                <w:i w:val="0"/>
                <w:sz w:val="20"/>
              </w:rPr>
              <w:t>1,1</w:t>
            </w:r>
          </w:p>
        </w:tc>
        <w:tc>
          <w:tcPr>
            <w:tcW w:type="dxa" w:w="1995"/>
          </w:tcPr>
          <w:p>
            <w:pPr>
              <w:spacing w:after="0" w:line="240" w:lineRule="auto"/>
              <w:ind w:firstLine="0"/>
              <w:jc w:val="center"/>
            </w:pPr>
            <w:r>
              <w:rPr>
                <w:b w:val="0"/>
                <w:i w:val="0"/>
                <w:sz w:val="20"/>
              </w:rPr>
              <w:t>0,25</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в руде</w:t>
            </w:r>
          </w:p>
        </w:tc>
      </w:tr>
      <w:tr>
        <w:tc>
          <w:tcPr>
            <w:tcW w:type="dxa" w:w="1995"/>
          </w:tcPr>
          <w:p>
            <w:pPr>
              <w:spacing w:after="0" w:line="240" w:lineRule="auto"/>
              <w:ind w:firstLine="0"/>
              <w:jc w:val="left"/>
            </w:pPr>
            <w:r>
              <w:rPr>
                <w:b w:val="0"/>
                <w:i w:val="0"/>
                <w:sz w:val="20"/>
              </w:rPr>
              <w:t>Запасы TREO</w:t>
            </w:r>
          </w:p>
        </w:tc>
        <w:tc>
          <w:tcPr>
            <w:tcW w:type="dxa" w:w="1995"/>
          </w:tcPr>
          <w:p>
            <w:pPr>
              <w:spacing w:after="0" w:line="240" w:lineRule="auto"/>
              <w:ind w:firstLine="0"/>
              <w:jc w:val="center"/>
            </w:pPr>
            <w:r>
              <w:rPr>
                <w:b w:val="0"/>
                <w:i w:val="0"/>
                <w:sz w:val="20"/>
              </w:rPr>
              <w:t>520</w:t>
            </w:r>
          </w:p>
        </w:tc>
        <w:tc>
          <w:tcPr>
            <w:tcW w:type="dxa" w:w="1995"/>
          </w:tcPr>
          <w:p>
            <w:pPr>
              <w:spacing w:after="0" w:line="240" w:lineRule="auto"/>
              <w:ind w:firstLine="0"/>
              <w:jc w:val="center"/>
            </w:pPr>
            <w:r>
              <w:rPr>
                <w:b w:val="0"/>
                <w:i w:val="0"/>
                <w:sz w:val="20"/>
              </w:rPr>
              <w:t>5 500</w:t>
            </w:r>
          </w:p>
        </w:tc>
        <w:tc>
          <w:tcPr>
            <w:tcW w:type="dxa" w:w="1995"/>
          </w:tcPr>
          <w:p>
            <w:pPr>
              <w:spacing w:after="0" w:line="240" w:lineRule="auto"/>
              <w:ind w:firstLine="0"/>
              <w:jc w:val="center"/>
            </w:pPr>
            <w:r>
              <w:rPr>
                <w:b w:val="0"/>
                <w:i w:val="0"/>
                <w:sz w:val="20"/>
              </w:rPr>
              <w:t>тыс. т</w:t>
            </w:r>
          </w:p>
        </w:tc>
        <w:tc>
          <w:tcPr>
            <w:tcW w:type="dxa" w:w="1995"/>
          </w:tcPr>
          <w:p>
            <w:pPr>
              <w:spacing w:after="0" w:line="240" w:lineRule="auto"/>
              <w:ind w:firstLine="0"/>
              <w:jc w:val="center"/>
            </w:pPr>
            <w:r>
              <w:rPr>
                <w:b w:val="0"/>
                <w:i w:val="0"/>
                <w:sz w:val="20"/>
              </w:rPr>
              <w:t>расчётно</w:t>
            </w:r>
          </w:p>
        </w:tc>
      </w:tr>
      <w:tr>
        <w:tc>
          <w:tcPr>
            <w:tcW w:type="dxa" w:w="1995"/>
          </w:tcPr>
          <w:p>
            <w:pPr>
              <w:spacing w:after="0" w:line="240" w:lineRule="auto"/>
              <w:ind w:firstLine="0"/>
              <w:jc w:val="left"/>
            </w:pPr>
            <w:r>
              <w:rPr>
                <w:b w:val="0"/>
                <w:i w:val="0"/>
                <w:sz w:val="20"/>
              </w:rPr>
              <w:t>Содержание Nb₂O₅</w:t>
            </w:r>
          </w:p>
        </w:tc>
        <w:tc>
          <w:tcPr>
            <w:tcW w:type="dxa" w:w="1995"/>
          </w:tcPr>
          <w:p>
            <w:pPr>
              <w:spacing w:after="0" w:line="240" w:lineRule="auto"/>
              <w:ind w:firstLine="0"/>
              <w:jc w:val="center"/>
            </w:pPr>
            <w:r>
              <w:rPr>
                <w:b w:val="0"/>
                <w:i w:val="0"/>
                <w:sz w:val="20"/>
              </w:rPr>
              <w:t>0,25</w:t>
            </w:r>
          </w:p>
        </w:tc>
        <w:tc>
          <w:tcPr>
            <w:tcW w:type="dxa" w:w="1995"/>
          </w:tcPr>
          <w:p>
            <w:pPr>
              <w:spacing w:after="0" w:line="240" w:lineRule="auto"/>
              <w:ind w:firstLine="0"/>
              <w:jc w:val="center"/>
            </w:pPr>
            <w:r>
              <w:rPr>
                <w:b w:val="0"/>
                <w:i w:val="0"/>
                <w:sz w:val="20"/>
              </w:rPr>
              <w:t>0,05</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p>
        </w:tc>
      </w:tr>
      <w:tr>
        <w:tc>
          <w:tcPr>
            <w:tcW w:type="dxa" w:w="1995"/>
          </w:tcPr>
          <w:p>
            <w:pPr>
              <w:spacing w:after="0" w:line="240" w:lineRule="auto"/>
              <w:ind w:firstLine="0"/>
              <w:jc w:val="left"/>
            </w:pPr>
            <w:r>
              <w:rPr>
                <w:b w:val="0"/>
                <w:i w:val="0"/>
                <w:sz w:val="20"/>
              </w:rPr>
              <w:t>Содержание TiO₂</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0,4</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p>
        </w:tc>
      </w:tr>
      <w:tr>
        <w:tc>
          <w:tcPr>
            <w:tcW w:type="dxa" w:w="1995"/>
          </w:tcPr>
          <w:p>
            <w:pPr>
              <w:spacing w:after="0" w:line="240" w:lineRule="auto"/>
              <w:ind w:firstLine="0"/>
              <w:jc w:val="left"/>
            </w:pPr>
            <w:r>
              <w:rPr>
                <w:b w:val="0"/>
                <w:i w:val="0"/>
                <w:sz w:val="20"/>
              </w:rPr>
              <w:t>Содержание ZrO₂</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1,8</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эвдиалит</w:t>
            </w:r>
          </w:p>
        </w:tc>
      </w:tr>
      <w:tr>
        <w:tc>
          <w:tcPr>
            <w:tcW w:type="dxa" w:w="1995"/>
          </w:tcPr>
          <w:p>
            <w:pPr>
              <w:spacing w:after="0" w:line="240" w:lineRule="auto"/>
              <w:ind w:firstLine="0"/>
              <w:jc w:val="left"/>
            </w:pPr>
            <w:r>
              <w:rPr>
                <w:b w:val="0"/>
                <w:i w:val="0"/>
                <w:sz w:val="20"/>
              </w:rPr>
              <w:t>Годовая добыча руды</w:t>
            </w:r>
          </w:p>
        </w:tc>
        <w:tc>
          <w:tcPr>
            <w:tcW w:type="dxa" w:w="1995"/>
          </w:tcPr>
          <w:p>
            <w:pPr>
              <w:spacing w:after="0" w:line="240" w:lineRule="auto"/>
              <w:ind w:firstLine="0"/>
              <w:jc w:val="center"/>
            </w:pPr>
            <w:r>
              <w:rPr>
                <w:b w:val="0"/>
                <w:i w:val="0"/>
                <w:sz w:val="20"/>
              </w:rPr>
              <w:t>350–500</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тыс. т</w:t>
            </w:r>
          </w:p>
        </w:tc>
        <w:tc>
          <w:tcPr>
            <w:tcW w:type="dxa" w:w="1995"/>
          </w:tcPr>
          <w:p>
            <w:pPr>
              <w:spacing w:after="0" w:line="240" w:lineRule="auto"/>
              <w:ind w:firstLine="0"/>
              <w:jc w:val="center"/>
            </w:pPr>
            <w:r>
              <w:rPr>
                <w:b w:val="0"/>
                <w:i w:val="0"/>
                <w:sz w:val="20"/>
              </w:rPr>
              <w:t>фактическая</w:t>
            </w:r>
          </w:p>
        </w:tc>
      </w:tr>
      <w:tr>
        <w:tc>
          <w:tcPr>
            <w:tcW w:type="dxa" w:w="1995"/>
          </w:tcPr>
          <w:p>
            <w:pPr>
              <w:spacing w:after="0" w:line="240" w:lineRule="auto"/>
              <w:ind w:firstLine="0"/>
              <w:jc w:val="left"/>
            </w:pPr>
            <w:r>
              <w:rPr>
                <w:b w:val="0"/>
                <w:i w:val="0"/>
                <w:sz w:val="20"/>
              </w:rPr>
              <w:t>Обеспеченность запасами</w:t>
            </w:r>
          </w:p>
        </w:tc>
        <w:tc>
          <w:tcPr>
            <w:tcW w:type="dxa" w:w="1995"/>
          </w:tcPr>
          <w:p>
            <w:pPr>
              <w:spacing w:after="0" w:line="240" w:lineRule="auto"/>
              <w:ind w:firstLine="0"/>
              <w:jc w:val="center"/>
            </w:pPr>
            <w:r>
              <w:rPr>
                <w:b w:val="0"/>
                <w:i w:val="0"/>
                <w:sz w:val="20"/>
              </w:rPr>
              <w:t>&gt;90</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лет</w:t>
            </w:r>
          </w:p>
        </w:tc>
        <w:tc>
          <w:tcPr>
            <w:tcW w:type="dxa" w:w="1995"/>
          </w:tcPr>
          <w:p>
            <w:pPr>
              <w:spacing w:after="0" w:line="240" w:lineRule="auto"/>
              <w:ind w:firstLine="0"/>
              <w:jc w:val="center"/>
            </w:pPr>
            <w:r>
              <w:rPr>
                <w:b w:val="0"/>
                <w:i w:val="0"/>
                <w:sz w:val="20"/>
              </w:rPr>
              <w:t>при текущей добыче</w:t>
            </w:r>
          </w:p>
        </w:tc>
      </w:tr>
    </w:tbl>
    <w:p>
      <w:pPr>
        <w:spacing w:after="180"/>
        <w:ind w:firstLine="0"/>
      </w:pPr>
      <w:r>
        <w:rPr>
          <w:i/>
          <w:sz w:val="20"/>
        </w:rPr>
        <w:t>Источник: аналитический центр по данным Государственного баланса запасов, публикациям ФГБУ «ВИМС» и корпоративным раскрытиям</w:t>
      </w:r>
    </w:p>
    <w:p>
      <w:r>
        <w:rPr>
          <w:b/>
          <w:i w:val="0"/>
        </w:rPr>
        <w:t>Производственная характеристика.</w:t>
      </w:r>
      <w:r>
        <w:rPr>
          <w:b w:val="0"/>
          <w:i w:val="0"/>
        </w:rPr>
        <w:t xml:space="preserve"> Добыча ведётся подземным способом двумя рудниками — «Карнасурт» и «Умбозеро» (последний законсервирован после затопления в 2003 г.; ведутся работы по восстановлению). Обогащение — гравитационно-флотационная схема с получением лопаритового концентрата с содержанием TREO 30–32%.</w:t>
      </w:r>
    </w:p>
    <w:p>
      <w:r>
        <w:rPr>
          <w:b w:val="0"/>
          <w:i w:val="0"/>
        </w:rPr>
        <w:t>Основные проблемы предприятия, характерные для последних двух десятилетий: высокая себестоимость, обусловленная подземной добычей маломощных пластов и низким содержанием полезного компонента; износ основных фондов; кадровый дефицит в моногороде Ревда; ограниченность сбыта единственным потребителем (Соликамский магниевый завод).</w:t>
      </w:r>
    </w:p>
    <w:p>
      <w:r>
        <w:rPr>
          <w:b w:val="0"/>
          <w:i w:val="0"/>
        </w:rPr>
        <w:t>С 2023–2024 гг. предприятие вошло в контур Государственной корпорации «Росатом», что предполагает реализацию программы модернизации с увеличением добычи руды и производства концентрата.</w:t>
      </w:r>
    </w:p>
    <w:p>
      <w:pPr>
        <w:keepNext/>
        <w:spacing w:before="160" w:after="60"/>
        <w:ind w:firstLine="0"/>
        <w:jc w:val="left"/>
      </w:pPr>
      <w:r>
        <w:rPr>
          <w:b/>
          <w:sz w:val="22"/>
        </w:rPr>
        <w:t>Таблица 64. Динамика производства лопаритового концентрата ООО «Ловозёрский ГОК», 2002–2025 гг., т</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Год</w:t>
            </w:r>
          </w:p>
        </w:tc>
        <w:tc>
          <w:tcPr>
            <w:tcW w:type="dxa" w:w="1662"/>
            <w:shd w:val="clear" w:fill="DCE6F1"/>
          </w:tcPr>
          <w:p>
            <w:pPr>
              <w:spacing w:after="0" w:line="240" w:lineRule="auto"/>
              <w:ind w:firstLine="0"/>
              <w:jc w:val="center"/>
            </w:pPr>
            <w:r>
              <w:rPr>
                <w:b/>
                <w:i w:val="0"/>
                <w:sz w:val="20"/>
              </w:rPr>
              <w:t>Концентрат, т</w:t>
            </w:r>
          </w:p>
        </w:tc>
        <w:tc>
          <w:tcPr>
            <w:tcW w:type="dxa" w:w="1662"/>
            <w:shd w:val="clear" w:fill="DCE6F1"/>
          </w:tcPr>
          <w:p>
            <w:pPr>
              <w:spacing w:after="0" w:line="240" w:lineRule="auto"/>
              <w:ind w:firstLine="0"/>
              <w:jc w:val="center"/>
            </w:pPr>
            <w:r>
              <w:rPr>
                <w:b/>
                <w:i w:val="0"/>
                <w:sz w:val="20"/>
              </w:rPr>
              <w:t>Год</w:t>
            </w:r>
          </w:p>
        </w:tc>
        <w:tc>
          <w:tcPr>
            <w:tcW w:type="dxa" w:w="1662"/>
            <w:shd w:val="clear" w:fill="DCE6F1"/>
          </w:tcPr>
          <w:p>
            <w:pPr>
              <w:spacing w:after="0" w:line="240" w:lineRule="auto"/>
              <w:ind w:firstLine="0"/>
              <w:jc w:val="center"/>
            </w:pPr>
            <w:r>
              <w:rPr>
                <w:b/>
                <w:i w:val="0"/>
                <w:sz w:val="20"/>
              </w:rPr>
              <w:t>Концентрат, т</w:t>
            </w:r>
          </w:p>
        </w:tc>
        <w:tc>
          <w:tcPr>
            <w:tcW w:type="dxa" w:w="1662"/>
            <w:shd w:val="clear" w:fill="DCE6F1"/>
          </w:tcPr>
          <w:p>
            <w:pPr>
              <w:spacing w:after="0" w:line="240" w:lineRule="auto"/>
              <w:ind w:firstLine="0"/>
              <w:jc w:val="center"/>
            </w:pPr>
            <w:r>
              <w:rPr>
                <w:b/>
                <w:i w:val="0"/>
                <w:sz w:val="20"/>
              </w:rPr>
              <w:t>Год</w:t>
            </w:r>
          </w:p>
        </w:tc>
        <w:tc>
          <w:tcPr>
            <w:tcW w:type="dxa" w:w="1662"/>
            <w:shd w:val="clear" w:fill="DCE6F1"/>
          </w:tcPr>
          <w:p>
            <w:pPr>
              <w:spacing w:after="0" w:line="240" w:lineRule="auto"/>
              <w:ind w:firstLine="0"/>
              <w:jc w:val="center"/>
            </w:pPr>
            <w:r>
              <w:rPr>
                <w:b/>
                <w:i w:val="0"/>
                <w:sz w:val="20"/>
              </w:rPr>
              <w:t>Концентрат, т</w:t>
            </w:r>
          </w:p>
        </w:tc>
      </w:tr>
      <w:tr>
        <w:tc>
          <w:tcPr>
            <w:tcW w:type="dxa" w:w="1662"/>
          </w:tcPr>
          <w:p>
            <w:pPr>
              <w:spacing w:after="0" w:line="240" w:lineRule="auto"/>
              <w:ind w:firstLine="0"/>
              <w:jc w:val="left"/>
            </w:pPr>
            <w:r>
              <w:rPr>
                <w:b w:val="0"/>
                <w:i w:val="0"/>
                <w:sz w:val="20"/>
              </w:rPr>
              <w:t>2002</w:t>
            </w:r>
          </w:p>
        </w:tc>
        <w:tc>
          <w:tcPr>
            <w:tcW w:type="dxa" w:w="1662"/>
          </w:tcPr>
          <w:p>
            <w:pPr>
              <w:spacing w:after="0" w:line="240" w:lineRule="auto"/>
              <w:ind w:firstLine="0"/>
              <w:jc w:val="center"/>
            </w:pPr>
            <w:r>
              <w:rPr>
                <w:b w:val="0"/>
                <w:i w:val="0"/>
                <w:sz w:val="20"/>
              </w:rPr>
              <w:t>8 200</w:t>
            </w:r>
          </w:p>
        </w:tc>
        <w:tc>
          <w:tcPr>
            <w:tcW w:type="dxa" w:w="1662"/>
          </w:tcPr>
          <w:p>
            <w:pPr>
              <w:spacing w:after="0" w:line="240" w:lineRule="auto"/>
              <w:ind w:firstLine="0"/>
              <w:jc w:val="center"/>
            </w:pPr>
            <w:r>
              <w:rPr>
                <w:b w:val="0"/>
                <w:i w:val="0"/>
                <w:sz w:val="20"/>
              </w:rPr>
              <w:t>2010</w:t>
            </w:r>
          </w:p>
        </w:tc>
        <w:tc>
          <w:tcPr>
            <w:tcW w:type="dxa" w:w="1662"/>
          </w:tcPr>
          <w:p>
            <w:pPr>
              <w:spacing w:after="0" w:line="240" w:lineRule="auto"/>
              <w:ind w:firstLine="0"/>
              <w:jc w:val="center"/>
            </w:pPr>
            <w:r>
              <w:rPr>
                <w:b w:val="0"/>
                <w:i w:val="0"/>
                <w:sz w:val="20"/>
              </w:rPr>
              <w:t>6 800</w:t>
            </w:r>
          </w:p>
        </w:tc>
        <w:tc>
          <w:tcPr>
            <w:tcW w:type="dxa" w:w="1662"/>
          </w:tcPr>
          <w:p>
            <w:pPr>
              <w:spacing w:after="0" w:line="240" w:lineRule="auto"/>
              <w:ind w:firstLine="0"/>
              <w:jc w:val="center"/>
            </w:pPr>
            <w:r>
              <w:rPr>
                <w:b w:val="0"/>
                <w:i w:val="0"/>
                <w:sz w:val="20"/>
              </w:rPr>
              <w:t>2018</w:t>
            </w:r>
          </w:p>
        </w:tc>
        <w:tc>
          <w:tcPr>
            <w:tcW w:type="dxa" w:w="1662"/>
          </w:tcPr>
          <w:p>
            <w:pPr>
              <w:spacing w:after="0" w:line="240" w:lineRule="auto"/>
              <w:ind w:firstLine="0"/>
              <w:jc w:val="center"/>
            </w:pPr>
            <w:r>
              <w:rPr>
                <w:b w:val="0"/>
                <w:i w:val="0"/>
                <w:sz w:val="20"/>
              </w:rPr>
              <w:t>7 600</w:t>
            </w:r>
          </w:p>
        </w:tc>
      </w:tr>
      <w:tr>
        <w:tc>
          <w:tcPr>
            <w:tcW w:type="dxa" w:w="1662"/>
          </w:tcPr>
          <w:p>
            <w:pPr>
              <w:spacing w:after="0" w:line="240" w:lineRule="auto"/>
              <w:ind w:firstLine="0"/>
              <w:jc w:val="left"/>
            </w:pPr>
            <w:r>
              <w:rPr>
                <w:b w:val="0"/>
                <w:i w:val="0"/>
                <w:sz w:val="20"/>
              </w:rPr>
              <w:t>2003</w:t>
            </w:r>
          </w:p>
        </w:tc>
        <w:tc>
          <w:tcPr>
            <w:tcW w:type="dxa" w:w="1662"/>
          </w:tcPr>
          <w:p>
            <w:pPr>
              <w:spacing w:after="0" w:line="240" w:lineRule="auto"/>
              <w:ind w:firstLine="0"/>
              <w:jc w:val="center"/>
            </w:pPr>
            <w:r>
              <w:rPr>
                <w:b w:val="0"/>
                <w:i w:val="0"/>
                <w:sz w:val="20"/>
              </w:rPr>
              <w:t>7 500</w:t>
            </w:r>
          </w:p>
        </w:tc>
        <w:tc>
          <w:tcPr>
            <w:tcW w:type="dxa" w:w="1662"/>
          </w:tcPr>
          <w:p>
            <w:pPr>
              <w:spacing w:after="0" w:line="240" w:lineRule="auto"/>
              <w:ind w:firstLine="0"/>
              <w:jc w:val="center"/>
            </w:pPr>
            <w:r>
              <w:rPr>
                <w:b w:val="0"/>
                <w:i w:val="0"/>
                <w:sz w:val="20"/>
              </w:rPr>
              <w:t>2011</w:t>
            </w:r>
          </w:p>
        </w:tc>
        <w:tc>
          <w:tcPr>
            <w:tcW w:type="dxa" w:w="1662"/>
          </w:tcPr>
          <w:p>
            <w:pPr>
              <w:spacing w:after="0" w:line="240" w:lineRule="auto"/>
              <w:ind w:firstLine="0"/>
              <w:jc w:val="center"/>
            </w:pPr>
            <w:r>
              <w:rPr>
                <w:b w:val="0"/>
                <w:i w:val="0"/>
                <w:sz w:val="20"/>
              </w:rPr>
              <w:t>7 200</w:t>
            </w:r>
          </w:p>
        </w:tc>
        <w:tc>
          <w:tcPr>
            <w:tcW w:type="dxa" w:w="1662"/>
          </w:tcPr>
          <w:p>
            <w:pPr>
              <w:spacing w:after="0" w:line="240" w:lineRule="auto"/>
              <w:ind w:firstLine="0"/>
              <w:jc w:val="center"/>
            </w:pPr>
            <w:r>
              <w:rPr>
                <w:b w:val="0"/>
                <w:i w:val="0"/>
                <w:sz w:val="20"/>
              </w:rPr>
              <w:t>2019</w:t>
            </w:r>
          </w:p>
        </w:tc>
        <w:tc>
          <w:tcPr>
            <w:tcW w:type="dxa" w:w="1662"/>
          </w:tcPr>
          <w:p>
            <w:pPr>
              <w:spacing w:after="0" w:line="240" w:lineRule="auto"/>
              <w:ind w:firstLine="0"/>
              <w:jc w:val="center"/>
            </w:pPr>
            <w:r>
              <w:rPr>
                <w:b w:val="0"/>
                <w:i w:val="0"/>
                <w:sz w:val="20"/>
              </w:rPr>
              <w:t>7 400</w:t>
            </w:r>
          </w:p>
        </w:tc>
      </w:tr>
      <w:tr>
        <w:tc>
          <w:tcPr>
            <w:tcW w:type="dxa" w:w="1662"/>
          </w:tcPr>
          <w:p>
            <w:pPr>
              <w:spacing w:after="0" w:line="240" w:lineRule="auto"/>
              <w:ind w:firstLine="0"/>
              <w:jc w:val="left"/>
            </w:pPr>
            <w:r>
              <w:rPr>
                <w:b w:val="0"/>
                <w:i w:val="0"/>
                <w:sz w:val="20"/>
              </w:rPr>
              <w:t>2004</w:t>
            </w:r>
          </w:p>
        </w:tc>
        <w:tc>
          <w:tcPr>
            <w:tcW w:type="dxa" w:w="1662"/>
          </w:tcPr>
          <w:p>
            <w:pPr>
              <w:spacing w:after="0" w:line="240" w:lineRule="auto"/>
              <w:ind w:firstLine="0"/>
              <w:jc w:val="center"/>
            </w:pPr>
            <w:r>
              <w:rPr>
                <w:b w:val="0"/>
                <w:i w:val="0"/>
                <w:sz w:val="20"/>
              </w:rPr>
              <w:t>8 000</w:t>
            </w:r>
          </w:p>
        </w:tc>
        <w:tc>
          <w:tcPr>
            <w:tcW w:type="dxa" w:w="1662"/>
          </w:tcPr>
          <w:p>
            <w:pPr>
              <w:spacing w:after="0" w:line="240" w:lineRule="auto"/>
              <w:ind w:firstLine="0"/>
              <w:jc w:val="center"/>
            </w:pPr>
            <w:r>
              <w:rPr>
                <w:b w:val="0"/>
                <w:i w:val="0"/>
                <w:sz w:val="20"/>
              </w:rPr>
              <w:t>2012</w:t>
            </w:r>
          </w:p>
        </w:tc>
        <w:tc>
          <w:tcPr>
            <w:tcW w:type="dxa" w:w="1662"/>
          </w:tcPr>
          <w:p>
            <w:pPr>
              <w:spacing w:after="0" w:line="240" w:lineRule="auto"/>
              <w:ind w:firstLine="0"/>
              <w:jc w:val="center"/>
            </w:pPr>
            <w:r>
              <w:rPr>
                <w:b w:val="0"/>
                <w:i w:val="0"/>
                <w:sz w:val="20"/>
              </w:rPr>
              <w:t>7 500</w:t>
            </w:r>
          </w:p>
        </w:tc>
        <w:tc>
          <w:tcPr>
            <w:tcW w:type="dxa" w:w="1662"/>
          </w:tcPr>
          <w:p>
            <w:pPr>
              <w:spacing w:after="0" w:line="240" w:lineRule="auto"/>
              <w:ind w:firstLine="0"/>
              <w:jc w:val="center"/>
            </w:pPr>
            <w:r>
              <w:rPr>
                <w:b w:val="0"/>
                <w:i w:val="0"/>
                <w:sz w:val="20"/>
              </w:rPr>
              <w:t>2020</w:t>
            </w:r>
          </w:p>
        </w:tc>
        <w:tc>
          <w:tcPr>
            <w:tcW w:type="dxa" w:w="1662"/>
          </w:tcPr>
          <w:p>
            <w:pPr>
              <w:spacing w:after="0" w:line="240" w:lineRule="auto"/>
              <w:ind w:firstLine="0"/>
              <w:jc w:val="center"/>
            </w:pPr>
            <w:r>
              <w:rPr>
                <w:b w:val="0"/>
                <w:i w:val="0"/>
                <w:sz w:val="20"/>
              </w:rPr>
              <w:t>7 100</w:t>
            </w:r>
          </w:p>
        </w:tc>
      </w:tr>
      <w:tr>
        <w:tc>
          <w:tcPr>
            <w:tcW w:type="dxa" w:w="1662"/>
          </w:tcPr>
          <w:p>
            <w:pPr>
              <w:spacing w:after="0" w:line="240" w:lineRule="auto"/>
              <w:ind w:firstLine="0"/>
              <w:jc w:val="left"/>
            </w:pPr>
            <w:r>
              <w:rPr>
                <w:b w:val="0"/>
                <w:i w:val="0"/>
                <w:sz w:val="20"/>
              </w:rPr>
              <w:t>2005</w:t>
            </w:r>
          </w:p>
        </w:tc>
        <w:tc>
          <w:tcPr>
            <w:tcW w:type="dxa" w:w="1662"/>
          </w:tcPr>
          <w:p>
            <w:pPr>
              <w:spacing w:after="0" w:line="240" w:lineRule="auto"/>
              <w:ind w:firstLine="0"/>
              <w:jc w:val="center"/>
            </w:pPr>
            <w:r>
              <w:rPr>
                <w:b w:val="0"/>
                <w:i w:val="0"/>
                <w:sz w:val="20"/>
              </w:rPr>
              <w:t>8 400</w:t>
            </w:r>
          </w:p>
        </w:tc>
        <w:tc>
          <w:tcPr>
            <w:tcW w:type="dxa" w:w="1662"/>
          </w:tcPr>
          <w:p>
            <w:pPr>
              <w:spacing w:after="0" w:line="240" w:lineRule="auto"/>
              <w:ind w:firstLine="0"/>
              <w:jc w:val="center"/>
            </w:pPr>
            <w:r>
              <w:rPr>
                <w:b w:val="0"/>
                <w:i w:val="0"/>
                <w:sz w:val="20"/>
              </w:rPr>
              <w:t>2013</w:t>
            </w:r>
          </w:p>
        </w:tc>
        <w:tc>
          <w:tcPr>
            <w:tcW w:type="dxa" w:w="1662"/>
          </w:tcPr>
          <w:p>
            <w:pPr>
              <w:spacing w:after="0" w:line="240" w:lineRule="auto"/>
              <w:ind w:firstLine="0"/>
              <w:jc w:val="center"/>
            </w:pPr>
            <w:r>
              <w:rPr>
                <w:b w:val="0"/>
                <w:i w:val="0"/>
                <w:sz w:val="20"/>
              </w:rPr>
              <w:t>7 800</w:t>
            </w:r>
          </w:p>
        </w:tc>
        <w:tc>
          <w:tcPr>
            <w:tcW w:type="dxa" w:w="1662"/>
          </w:tcPr>
          <w:p>
            <w:pPr>
              <w:spacing w:after="0" w:line="240" w:lineRule="auto"/>
              <w:ind w:firstLine="0"/>
              <w:jc w:val="center"/>
            </w:pPr>
            <w:r>
              <w:rPr>
                <w:b w:val="0"/>
                <w:i w:val="0"/>
                <w:sz w:val="20"/>
              </w:rPr>
              <w:t>2021</w:t>
            </w:r>
          </w:p>
        </w:tc>
        <w:tc>
          <w:tcPr>
            <w:tcW w:type="dxa" w:w="1662"/>
          </w:tcPr>
          <w:p>
            <w:pPr>
              <w:spacing w:after="0" w:line="240" w:lineRule="auto"/>
              <w:ind w:firstLine="0"/>
              <w:jc w:val="center"/>
            </w:pPr>
            <w:r>
              <w:rPr>
                <w:b w:val="0"/>
                <w:i w:val="0"/>
                <w:sz w:val="20"/>
              </w:rPr>
              <w:t>6 900</w:t>
            </w:r>
          </w:p>
        </w:tc>
      </w:tr>
      <w:tr>
        <w:tc>
          <w:tcPr>
            <w:tcW w:type="dxa" w:w="1662"/>
          </w:tcPr>
          <w:p>
            <w:pPr>
              <w:spacing w:after="0" w:line="240" w:lineRule="auto"/>
              <w:ind w:firstLine="0"/>
              <w:jc w:val="left"/>
            </w:pPr>
            <w:r>
              <w:rPr>
                <w:b w:val="0"/>
                <w:i w:val="0"/>
                <w:sz w:val="20"/>
              </w:rPr>
              <w:t>2006</w:t>
            </w:r>
          </w:p>
        </w:tc>
        <w:tc>
          <w:tcPr>
            <w:tcW w:type="dxa" w:w="1662"/>
          </w:tcPr>
          <w:p>
            <w:pPr>
              <w:spacing w:after="0" w:line="240" w:lineRule="auto"/>
              <w:ind w:firstLine="0"/>
              <w:jc w:val="center"/>
            </w:pPr>
            <w:r>
              <w:rPr>
                <w:b w:val="0"/>
                <w:i w:val="0"/>
                <w:sz w:val="20"/>
              </w:rPr>
              <w:t>8 100</w:t>
            </w:r>
          </w:p>
        </w:tc>
        <w:tc>
          <w:tcPr>
            <w:tcW w:type="dxa" w:w="1662"/>
          </w:tcPr>
          <w:p>
            <w:pPr>
              <w:spacing w:after="0" w:line="240" w:lineRule="auto"/>
              <w:ind w:firstLine="0"/>
              <w:jc w:val="center"/>
            </w:pPr>
            <w:r>
              <w:rPr>
                <w:b w:val="0"/>
                <w:i w:val="0"/>
                <w:sz w:val="20"/>
              </w:rPr>
              <w:t>2014</w:t>
            </w:r>
          </w:p>
        </w:tc>
        <w:tc>
          <w:tcPr>
            <w:tcW w:type="dxa" w:w="1662"/>
          </w:tcPr>
          <w:p>
            <w:pPr>
              <w:spacing w:after="0" w:line="240" w:lineRule="auto"/>
              <w:ind w:firstLine="0"/>
              <w:jc w:val="center"/>
            </w:pPr>
            <w:r>
              <w:rPr>
                <w:b w:val="0"/>
                <w:i w:val="0"/>
                <w:sz w:val="20"/>
              </w:rPr>
              <w:t>7 600</w:t>
            </w:r>
          </w:p>
        </w:tc>
        <w:tc>
          <w:tcPr>
            <w:tcW w:type="dxa" w:w="1662"/>
          </w:tcPr>
          <w:p>
            <w:pPr>
              <w:spacing w:after="0" w:line="240" w:lineRule="auto"/>
              <w:ind w:firstLine="0"/>
              <w:jc w:val="center"/>
            </w:pPr>
            <w:r>
              <w:rPr>
                <w:b w:val="0"/>
                <w:i w:val="0"/>
                <w:sz w:val="20"/>
              </w:rPr>
              <w:t>2022</w:t>
            </w:r>
          </w:p>
        </w:tc>
        <w:tc>
          <w:tcPr>
            <w:tcW w:type="dxa" w:w="1662"/>
          </w:tcPr>
          <w:p>
            <w:pPr>
              <w:spacing w:after="0" w:line="240" w:lineRule="auto"/>
              <w:ind w:firstLine="0"/>
              <w:jc w:val="center"/>
            </w:pPr>
            <w:r>
              <w:rPr>
                <w:b w:val="0"/>
                <w:i w:val="0"/>
                <w:sz w:val="20"/>
              </w:rPr>
              <w:t>6 500</w:t>
            </w:r>
          </w:p>
        </w:tc>
      </w:tr>
      <w:tr>
        <w:tc>
          <w:tcPr>
            <w:tcW w:type="dxa" w:w="1662"/>
          </w:tcPr>
          <w:p>
            <w:pPr>
              <w:spacing w:after="0" w:line="240" w:lineRule="auto"/>
              <w:ind w:firstLine="0"/>
              <w:jc w:val="left"/>
            </w:pPr>
            <w:r>
              <w:rPr>
                <w:b w:val="0"/>
                <w:i w:val="0"/>
                <w:sz w:val="20"/>
              </w:rPr>
              <w:t>2007</w:t>
            </w:r>
          </w:p>
        </w:tc>
        <w:tc>
          <w:tcPr>
            <w:tcW w:type="dxa" w:w="1662"/>
          </w:tcPr>
          <w:p>
            <w:pPr>
              <w:spacing w:after="0" w:line="240" w:lineRule="auto"/>
              <w:ind w:firstLine="0"/>
              <w:jc w:val="center"/>
            </w:pPr>
            <w:r>
              <w:rPr>
                <w:b w:val="0"/>
                <w:i w:val="0"/>
                <w:sz w:val="20"/>
              </w:rPr>
              <w:t>7 900</w:t>
            </w:r>
          </w:p>
        </w:tc>
        <w:tc>
          <w:tcPr>
            <w:tcW w:type="dxa" w:w="1662"/>
          </w:tcPr>
          <w:p>
            <w:pPr>
              <w:spacing w:after="0" w:line="240" w:lineRule="auto"/>
              <w:ind w:firstLine="0"/>
              <w:jc w:val="center"/>
            </w:pPr>
            <w:r>
              <w:rPr>
                <w:b w:val="0"/>
                <w:i w:val="0"/>
                <w:sz w:val="20"/>
              </w:rPr>
              <w:t>2015</w:t>
            </w:r>
          </w:p>
        </w:tc>
        <w:tc>
          <w:tcPr>
            <w:tcW w:type="dxa" w:w="1662"/>
          </w:tcPr>
          <w:p>
            <w:pPr>
              <w:spacing w:after="0" w:line="240" w:lineRule="auto"/>
              <w:ind w:firstLine="0"/>
              <w:jc w:val="center"/>
            </w:pPr>
            <w:r>
              <w:rPr>
                <w:b w:val="0"/>
                <w:i w:val="0"/>
                <w:sz w:val="20"/>
              </w:rPr>
              <w:t>7 300</w:t>
            </w:r>
          </w:p>
        </w:tc>
        <w:tc>
          <w:tcPr>
            <w:tcW w:type="dxa" w:w="1662"/>
          </w:tcPr>
          <w:p>
            <w:pPr>
              <w:spacing w:after="0" w:line="240" w:lineRule="auto"/>
              <w:ind w:firstLine="0"/>
              <w:jc w:val="center"/>
            </w:pPr>
            <w:r>
              <w:rPr>
                <w:b w:val="0"/>
                <w:i w:val="0"/>
                <w:sz w:val="20"/>
              </w:rPr>
              <w:t>2023</w:t>
            </w:r>
          </w:p>
        </w:tc>
        <w:tc>
          <w:tcPr>
            <w:tcW w:type="dxa" w:w="1662"/>
          </w:tcPr>
          <w:p>
            <w:pPr>
              <w:spacing w:after="0" w:line="240" w:lineRule="auto"/>
              <w:ind w:firstLine="0"/>
              <w:jc w:val="center"/>
            </w:pPr>
            <w:r>
              <w:rPr>
                <w:b w:val="0"/>
                <w:i w:val="0"/>
                <w:sz w:val="20"/>
              </w:rPr>
              <w:t>6 800</w:t>
            </w:r>
          </w:p>
        </w:tc>
      </w:tr>
      <w:tr>
        <w:tc>
          <w:tcPr>
            <w:tcW w:type="dxa" w:w="1662"/>
          </w:tcPr>
          <w:p>
            <w:pPr>
              <w:spacing w:after="0" w:line="240" w:lineRule="auto"/>
              <w:ind w:firstLine="0"/>
              <w:jc w:val="left"/>
            </w:pPr>
            <w:r>
              <w:rPr>
                <w:b w:val="0"/>
                <w:i w:val="0"/>
                <w:sz w:val="20"/>
              </w:rPr>
              <w:t>2008</w:t>
            </w:r>
          </w:p>
        </w:tc>
        <w:tc>
          <w:tcPr>
            <w:tcW w:type="dxa" w:w="1662"/>
          </w:tcPr>
          <w:p>
            <w:pPr>
              <w:spacing w:after="0" w:line="240" w:lineRule="auto"/>
              <w:ind w:firstLine="0"/>
              <w:jc w:val="center"/>
            </w:pPr>
            <w:r>
              <w:rPr>
                <w:b w:val="0"/>
                <w:i w:val="0"/>
                <w:sz w:val="20"/>
              </w:rPr>
              <w:t>7 600</w:t>
            </w:r>
          </w:p>
        </w:tc>
        <w:tc>
          <w:tcPr>
            <w:tcW w:type="dxa" w:w="1662"/>
          </w:tcPr>
          <w:p>
            <w:pPr>
              <w:spacing w:after="0" w:line="240" w:lineRule="auto"/>
              <w:ind w:firstLine="0"/>
              <w:jc w:val="center"/>
            </w:pPr>
            <w:r>
              <w:rPr>
                <w:b w:val="0"/>
                <w:i w:val="0"/>
                <w:sz w:val="20"/>
              </w:rPr>
              <w:t>2016</w:t>
            </w:r>
          </w:p>
        </w:tc>
        <w:tc>
          <w:tcPr>
            <w:tcW w:type="dxa" w:w="1662"/>
          </w:tcPr>
          <w:p>
            <w:pPr>
              <w:spacing w:after="0" w:line="240" w:lineRule="auto"/>
              <w:ind w:firstLine="0"/>
              <w:jc w:val="center"/>
            </w:pPr>
            <w:r>
              <w:rPr>
                <w:b w:val="0"/>
                <w:i w:val="0"/>
                <w:sz w:val="20"/>
              </w:rPr>
              <w:t>7 500</w:t>
            </w:r>
          </w:p>
        </w:tc>
        <w:tc>
          <w:tcPr>
            <w:tcW w:type="dxa" w:w="1662"/>
          </w:tcPr>
          <w:p>
            <w:pPr>
              <w:spacing w:after="0" w:line="240" w:lineRule="auto"/>
              <w:ind w:firstLine="0"/>
              <w:jc w:val="center"/>
            </w:pPr>
            <w:r>
              <w:rPr>
                <w:b w:val="0"/>
                <w:i w:val="0"/>
                <w:sz w:val="20"/>
              </w:rPr>
              <w:t>2024</w:t>
            </w:r>
          </w:p>
        </w:tc>
        <w:tc>
          <w:tcPr>
            <w:tcW w:type="dxa" w:w="1662"/>
          </w:tcPr>
          <w:p>
            <w:pPr>
              <w:spacing w:after="0" w:line="240" w:lineRule="auto"/>
              <w:ind w:firstLine="0"/>
              <w:jc w:val="center"/>
            </w:pPr>
            <w:r>
              <w:rPr>
                <w:b w:val="0"/>
                <w:i w:val="0"/>
                <w:sz w:val="20"/>
              </w:rPr>
              <w:t>7 200</w:t>
            </w:r>
          </w:p>
        </w:tc>
      </w:tr>
      <w:tr>
        <w:tc>
          <w:tcPr>
            <w:tcW w:type="dxa" w:w="1662"/>
          </w:tcPr>
          <w:p>
            <w:pPr>
              <w:spacing w:after="0" w:line="240" w:lineRule="auto"/>
              <w:ind w:firstLine="0"/>
              <w:jc w:val="left"/>
            </w:pPr>
            <w:r>
              <w:rPr>
                <w:b w:val="0"/>
                <w:i w:val="0"/>
                <w:sz w:val="20"/>
              </w:rPr>
              <w:t>2009</w:t>
            </w:r>
          </w:p>
        </w:tc>
        <w:tc>
          <w:tcPr>
            <w:tcW w:type="dxa" w:w="1662"/>
          </w:tcPr>
          <w:p>
            <w:pPr>
              <w:spacing w:after="0" w:line="240" w:lineRule="auto"/>
              <w:ind w:firstLine="0"/>
              <w:jc w:val="center"/>
            </w:pPr>
            <w:r>
              <w:rPr>
                <w:b w:val="0"/>
                <w:i w:val="0"/>
                <w:sz w:val="20"/>
              </w:rPr>
              <w:t>6 200</w:t>
            </w:r>
          </w:p>
        </w:tc>
        <w:tc>
          <w:tcPr>
            <w:tcW w:type="dxa" w:w="1662"/>
          </w:tcPr>
          <w:p>
            <w:pPr>
              <w:spacing w:after="0" w:line="240" w:lineRule="auto"/>
              <w:ind w:firstLine="0"/>
              <w:jc w:val="center"/>
            </w:pPr>
            <w:r>
              <w:rPr>
                <w:b w:val="0"/>
                <w:i w:val="0"/>
                <w:sz w:val="20"/>
              </w:rPr>
              <w:t>2017</w:t>
            </w:r>
          </w:p>
        </w:tc>
        <w:tc>
          <w:tcPr>
            <w:tcW w:type="dxa" w:w="1662"/>
          </w:tcPr>
          <w:p>
            <w:pPr>
              <w:spacing w:after="0" w:line="240" w:lineRule="auto"/>
              <w:ind w:firstLine="0"/>
              <w:jc w:val="center"/>
            </w:pPr>
            <w:r>
              <w:rPr>
                <w:b w:val="0"/>
                <w:i w:val="0"/>
                <w:sz w:val="20"/>
              </w:rPr>
              <w:t>7 700</w:t>
            </w:r>
          </w:p>
        </w:tc>
        <w:tc>
          <w:tcPr>
            <w:tcW w:type="dxa" w:w="1662"/>
          </w:tcPr>
          <w:p>
            <w:pPr>
              <w:spacing w:after="0" w:line="240" w:lineRule="auto"/>
              <w:ind w:firstLine="0"/>
              <w:jc w:val="center"/>
            </w:pPr>
            <w:r>
              <w:rPr>
                <w:b w:val="0"/>
                <w:i w:val="0"/>
                <w:sz w:val="20"/>
              </w:rPr>
              <w:t>2025 (оц.)</w:t>
            </w:r>
          </w:p>
        </w:tc>
        <w:tc>
          <w:tcPr>
            <w:tcW w:type="dxa" w:w="1662"/>
          </w:tcPr>
          <w:p>
            <w:pPr>
              <w:spacing w:after="0" w:line="240" w:lineRule="auto"/>
              <w:ind w:firstLine="0"/>
              <w:jc w:val="center"/>
            </w:pPr>
            <w:r>
              <w:rPr>
                <w:b w:val="0"/>
                <w:i w:val="0"/>
                <w:sz w:val="20"/>
              </w:rPr>
              <w:t>7 800</w:t>
            </w:r>
          </w:p>
        </w:tc>
      </w:tr>
    </w:tbl>
    <w:p>
      <w:pPr>
        <w:spacing w:after="180"/>
        <w:ind w:firstLine="0"/>
      </w:pPr>
      <w:r>
        <w:rPr>
          <w:i/>
          <w:sz w:val="20"/>
        </w:rPr>
        <w:t>Источник: аналитический центр по данным корпоративной отчётности, отраслевой прессы, статистики железнодорожных перевозок; ряд значений — оценка</w:t>
      </w:r>
    </w:p>
    <w:p>
      <w:pPr>
        <w:keepNext/>
        <w:spacing w:before="160" w:after="60"/>
        <w:ind w:firstLine="0"/>
        <w:jc w:val="left"/>
      </w:pPr>
      <w:r>
        <w:rPr>
          <w:b/>
          <w:sz w:val="22"/>
        </w:rPr>
        <w:t>Рисунок 50. Динамика производства лопаритового концентрата в РФ, 2002–2025 гг., т</w:t>
      </w:r>
    </w:p>
    <w:p>
      <w:pPr>
        <w:ind w:firstLine="0"/>
        <w:jc w:val="center"/>
      </w:pPr>
      <w:r>
        <w:drawing>
          <wp:inline xmlns:a="http://schemas.openxmlformats.org/drawingml/2006/main" xmlns:pic="http://schemas.openxmlformats.org/drawingml/2006/picture">
            <wp:extent cx="5580000" cy="2747513"/>
            <wp:docPr id="50" name="Picture 50"/>
            <wp:cNvGraphicFramePr>
              <a:graphicFrameLocks noChangeAspect="1"/>
            </wp:cNvGraphicFramePr>
            <a:graphic>
              <a:graphicData uri="http://schemas.openxmlformats.org/drawingml/2006/picture">
                <pic:pic>
                  <pic:nvPicPr>
                    <pic:cNvPr id="0" name="fig50.png"/>
                    <pic:cNvPicPr/>
                  </pic:nvPicPr>
                  <pic:blipFill>
                    <a:blip r:embed="rId60"/>
                    <a:stretch>
                      <a:fillRect/>
                    </a:stretch>
                  </pic:blipFill>
                  <pic:spPr>
                    <a:xfrm>
                      <a:off x="0" y="0"/>
                      <a:ext cx="5580000" cy="2747513"/>
                    </a:xfrm>
                    <a:prstGeom prst="rect"/>
                  </pic:spPr>
                </pic:pic>
              </a:graphicData>
            </a:graphic>
          </wp:inline>
        </w:drawing>
      </w:r>
    </w:p>
    <w:p>
      <w:pPr>
        <w:spacing w:after="180"/>
        <w:ind w:firstLine="0"/>
      </w:pPr>
      <w:r>
        <w:rPr>
          <w:i/>
          <w:sz w:val="20"/>
        </w:rPr>
        <w:t>Источник: аналитический центр (табл. 64)</w:t>
      </w:r>
    </w:p>
    <w:p>
      <w:pPr>
        <w:pStyle w:val="Heading2"/>
      </w:pPr>
      <w:r>
        <w:rPr>
          <w:b w:val="0"/>
          <w:i w:val="0"/>
        </w:rPr>
        <w:t>9.3. Томторское месторождение</w:t>
      </w:r>
    </w:p>
    <w:p>
      <w:r>
        <w:rPr>
          <w:b w:val="0"/>
          <w:i w:val="0"/>
        </w:rPr>
        <w:t xml:space="preserve">Томторский массив (Оленёкский улус, Республика Саха (Якутия)) — крупнейший в России и один из крупнейших в мире редкометалльных объектов. Наибольший интерес представляет участок </w:t>
      </w:r>
      <w:r>
        <w:rPr>
          <w:b/>
          <w:i w:val="0"/>
        </w:rPr>
        <w:t>Буранный</w:t>
      </w:r>
      <w:r>
        <w:rPr>
          <w:b w:val="0"/>
          <w:i w:val="0"/>
        </w:rPr>
        <w:t>, представляющий собой кору выветривания карбонатитов с исключительно высокими содержаниями.</w:t>
      </w:r>
    </w:p>
    <w:p>
      <w:r>
        <w:rPr>
          <w:b/>
          <w:i w:val="0"/>
        </w:rPr>
        <w:t>Характеристика руд участка Буранный:</w:t>
      </w:r>
    </w:p>
    <w:p>
      <w:pPr>
        <w:pStyle w:val="ListBullet"/>
        <w:spacing w:after="20"/>
        <w:ind w:firstLine="0"/>
      </w:pPr>
      <w:r>
        <w:rPr>
          <w:b w:val="0"/>
          <w:i w:val="0"/>
        </w:rPr>
        <w:t>содержание TREO — 9,5–12,0% (одно из самых высоких в мире);</w:t>
      </w:r>
    </w:p>
    <w:p>
      <w:pPr>
        <w:pStyle w:val="ListBullet"/>
        <w:spacing w:after="20"/>
        <w:ind w:firstLine="0"/>
      </w:pPr>
      <w:r>
        <w:rPr>
          <w:b w:val="0"/>
          <w:i w:val="0"/>
        </w:rPr>
        <w:t>содержание Nb₂O₅ — 6,7–7,0%;</w:t>
      </w:r>
    </w:p>
    <w:p>
      <w:pPr>
        <w:pStyle w:val="ListBullet"/>
        <w:spacing w:after="20"/>
        <w:ind w:firstLine="0"/>
      </w:pPr>
      <w:r>
        <w:rPr>
          <w:b w:val="0"/>
          <w:i w:val="0"/>
        </w:rPr>
        <w:t>содержание Y₂O₃ — 0,6–0,8%;</w:t>
      </w:r>
    </w:p>
    <w:p>
      <w:pPr>
        <w:pStyle w:val="ListBullet"/>
        <w:spacing w:after="20"/>
        <w:ind w:firstLine="0"/>
      </w:pPr>
      <w:r>
        <w:rPr>
          <w:b w:val="0"/>
          <w:i w:val="0"/>
        </w:rPr>
        <w:t>содержание Sc₂O₃ — 0,05–0,07%;</w:t>
      </w:r>
    </w:p>
    <w:p>
      <w:pPr>
        <w:pStyle w:val="ListBullet"/>
        <w:spacing w:after="20"/>
        <w:ind w:firstLine="0"/>
      </w:pPr>
      <w:r>
        <w:rPr>
          <w:b w:val="0"/>
          <w:i w:val="0"/>
        </w:rPr>
        <w:t>балансовые запасы участка — порядка 42–45 млн т руды.</w:t>
      </w:r>
    </w:p>
    <w:p>
      <w:r>
        <w:rPr>
          <w:b w:val="0"/>
          <w:i w:val="0"/>
        </w:rPr>
        <w:t>Корзина руд Томтора существенно благоприятнее лопаритовой: доля тяжёлой группы и иттрия достигает 15–17% стоимости против 3% у лопарита (см. таблицу 44).</w:t>
      </w:r>
    </w:p>
    <w:p>
      <w:r>
        <w:rPr>
          <w:b/>
          <w:i w:val="0"/>
        </w:rPr>
        <w:t>Проблемы освоения:</w:t>
      </w:r>
    </w:p>
    <w:p>
      <w:pPr>
        <w:pStyle w:val="ListBullet"/>
        <w:spacing w:after="20"/>
        <w:ind w:firstLine="0"/>
      </w:pPr>
      <w:r>
        <w:rPr>
          <w:b/>
          <w:i w:val="0"/>
        </w:rPr>
        <w:t>логистика.</w:t>
      </w:r>
      <w:r>
        <w:rPr>
          <w:b w:val="0"/>
          <w:i w:val="0"/>
        </w:rPr>
        <w:t xml:space="preserve"> Месторождение расположено в 400 км от ближайшего населённого пункта, в зоне вечной мерзлоты, без дорог круглогодичного действия. Схема вывоза предполагает зимник до посёлка Юрюнг-Хая, далее по Северному морскому пути либо речным транспортом по Лене. Транспортное плечо до перерабатывающего предприятия — свыше 4 000 км;</w:t>
      </w:r>
    </w:p>
    <w:p>
      <w:pPr>
        <w:pStyle w:val="ListBullet"/>
        <w:spacing w:after="20"/>
        <w:ind w:firstLine="0"/>
      </w:pPr>
      <w:r>
        <w:rPr>
          <w:b/>
          <w:i w:val="0"/>
        </w:rPr>
        <w:t>радиоактивность.</w:t>
      </w:r>
      <w:r>
        <w:rPr>
          <w:b w:val="0"/>
          <w:i w:val="0"/>
        </w:rPr>
        <w:t xml:space="preserve"> Руды содержат торий (0,6–1,2% ThO₂) и уран, что переводит переработку в сферу радиационного регулирования;</w:t>
      </w:r>
    </w:p>
    <w:p>
      <w:pPr>
        <w:pStyle w:val="ListBullet"/>
        <w:spacing w:after="20"/>
        <w:ind w:firstLine="0"/>
      </w:pPr>
      <w:r>
        <w:rPr>
          <w:b/>
          <w:i w:val="0"/>
        </w:rPr>
        <w:t>технология.</w:t>
      </w:r>
      <w:r>
        <w:rPr>
          <w:b w:val="0"/>
          <w:i w:val="0"/>
        </w:rPr>
        <w:t xml:space="preserve"> Разработана схема с автоклавным щелочным вскрытием и последующим азотнокислотным разложением; промышленных аналогов не имеет, отработана на укрупнённо-лабораторном уровне;</w:t>
      </w:r>
    </w:p>
    <w:p>
      <w:pPr>
        <w:pStyle w:val="ListBullet"/>
        <w:spacing w:after="20"/>
        <w:ind w:firstLine="0"/>
      </w:pPr>
      <w:r>
        <w:rPr>
          <w:b/>
          <w:i w:val="0"/>
        </w:rPr>
        <w:t>масштаб.</w:t>
      </w:r>
      <w:r>
        <w:rPr>
          <w:b w:val="0"/>
          <w:i w:val="0"/>
        </w:rPr>
        <w:t xml:space="preserve"> Проектная мощность обсуждалась в диапазоне 160–200 тыс. т руды в год, что при содержании 9,5% TREO даёт 15–19 тыс. т TREO — объём, значительно превышающий любой мыслимый внутренний спрос и требующий выхода на экспортные рынки.</w:t>
      </w:r>
    </w:p>
    <w:p>
      <w:r>
        <w:rPr>
          <w:b w:val="0"/>
          <w:i w:val="0"/>
        </w:rPr>
        <w:t>Лицензией владеет ООО «Восток Инжиниринг» (ранее — совместное предприятие «ТриАрк Майнинг» с участием структур ПАО «Полюс» и ГК «Ростех»). В 2023–2025 гг. проект неоднократно рассматривался в контексте федеральной программы развития редкоземельной отрасли; принципиальные решения по схеме переработки и месту размещения гидрометаллургического комбината обсуждались, но окончательного инвестиционного решения по состоянию на момент подготовки отчёта не принято.</w:t>
      </w:r>
    </w:p>
    <w:p>
      <w:pPr>
        <w:keepNext/>
        <w:spacing w:before="160" w:after="60"/>
        <w:ind w:firstLine="0"/>
        <w:jc w:val="left"/>
      </w:pPr>
      <w:r>
        <w:rPr>
          <w:b/>
          <w:sz w:val="22"/>
        </w:rPr>
        <w:t>Таблица 65. Сопоставление ключевых российских редкоземельных объектов</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Объект</w:t>
            </w:r>
          </w:p>
        </w:tc>
        <w:tc>
          <w:tcPr>
            <w:tcW w:type="dxa" w:w="1425"/>
            <w:shd w:val="clear" w:fill="DCE6F1"/>
          </w:tcPr>
          <w:p>
            <w:pPr>
              <w:spacing w:after="0" w:line="240" w:lineRule="auto"/>
              <w:ind w:firstLine="0"/>
              <w:jc w:val="center"/>
            </w:pPr>
            <w:r>
              <w:rPr>
                <w:b/>
                <w:i w:val="0"/>
                <w:sz w:val="20"/>
              </w:rPr>
              <w:t>Регион</w:t>
            </w:r>
          </w:p>
        </w:tc>
        <w:tc>
          <w:tcPr>
            <w:tcW w:type="dxa" w:w="1425"/>
            <w:shd w:val="clear" w:fill="DCE6F1"/>
          </w:tcPr>
          <w:p>
            <w:pPr>
              <w:spacing w:after="0" w:line="240" w:lineRule="auto"/>
              <w:ind w:firstLine="0"/>
              <w:jc w:val="center"/>
            </w:pPr>
            <w:r>
              <w:rPr>
                <w:b/>
                <w:i w:val="0"/>
                <w:sz w:val="20"/>
              </w:rPr>
              <w:t>Тип руд</w:t>
            </w:r>
          </w:p>
        </w:tc>
        <w:tc>
          <w:tcPr>
            <w:tcW w:type="dxa" w:w="1425"/>
            <w:shd w:val="clear" w:fill="DCE6F1"/>
          </w:tcPr>
          <w:p>
            <w:pPr>
              <w:spacing w:after="0" w:line="240" w:lineRule="auto"/>
              <w:ind w:firstLine="0"/>
              <w:jc w:val="center"/>
            </w:pPr>
            <w:r>
              <w:rPr>
                <w:b/>
                <w:i w:val="0"/>
                <w:sz w:val="20"/>
              </w:rPr>
              <w:t>TREO, %</w:t>
            </w:r>
          </w:p>
        </w:tc>
        <w:tc>
          <w:tcPr>
            <w:tcW w:type="dxa" w:w="1425"/>
            <w:shd w:val="clear" w:fill="DCE6F1"/>
          </w:tcPr>
          <w:p>
            <w:pPr>
              <w:spacing w:after="0" w:line="240" w:lineRule="auto"/>
              <w:ind w:firstLine="0"/>
              <w:jc w:val="center"/>
            </w:pPr>
            <w:r>
              <w:rPr>
                <w:b/>
                <w:i w:val="0"/>
                <w:sz w:val="20"/>
              </w:rPr>
              <w:t>Запасы TREO, тыс. т</w:t>
            </w:r>
          </w:p>
        </w:tc>
        <w:tc>
          <w:tcPr>
            <w:tcW w:type="dxa" w:w="1425"/>
            <w:shd w:val="clear" w:fill="DCE6F1"/>
          </w:tcPr>
          <w:p>
            <w:pPr>
              <w:spacing w:after="0" w:line="240" w:lineRule="auto"/>
              <w:ind w:firstLine="0"/>
              <w:jc w:val="center"/>
            </w:pPr>
            <w:r>
              <w:rPr>
                <w:b/>
                <w:i w:val="0"/>
                <w:sz w:val="20"/>
              </w:rPr>
              <w:t>Доля тяж. группы, %</w:t>
            </w:r>
          </w:p>
        </w:tc>
        <w:tc>
          <w:tcPr>
            <w:tcW w:type="dxa" w:w="1425"/>
            <w:shd w:val="clear" w:fill="DCE6F1"/>
          </w:tcPr>
          <w:p>
            <w:pPr>
              <w:spacing w:after="0" w:line="240" w:lineRule="auto"/>
              <w:ind w:firstLine="0"/>
              <w:jc w:val="center"/>
            </w:pPr>
            <w:r>
              <w:rPr>
                <w:b/>
                <w:i w:val="0"/>
                <w:sz w:val="20"/>
              </w:rPr>
              <w:t>Стадия</w:t>
            </w:r>
          </w:p>
        </w:tc>
      </w:tr>
      <w:tr>
        <w:tc>
          <w:tcPr>
            <w:tcW w:type="dxa" w:w="1425"/>
          </w:tcPr>
          <w:p>
            <w:pPr>
              <w:spacing w:after="0" w:line="240" w:lineRule="auto"/>
              <w:ind w:firstLine="0"/>
              <w:jc w:val="left"/>
            </w:pPr>
            <w:r>
              <w:rPr>
                <w:b w:val="0"/>
                <w:i w:val="0"/>
                <w:sz w:val="20"/>
              </w:rPr>
              <w:t>Ловозёрское (лопарит)</w:t>
            </w:r>
          </w:p>
        </w:tc>
        <w:tc>
          <w:tcPr>
            <w:tcW w:type="dxa" w:w="1425"/>
          </w:tcPr>
          <w:p>
            <w:pPr>
              <w:spacing w:after="0" w:line="240" w:lineRule="auto"/>
              <w:ind w:firstLine="0"/>
              <w:jc w:val="center"/>
            </w:pPr>
            <w:r>
              <w:rPr>
                <w:b w:val="0"/>
                <w:i w:val="0"/>
                <w:sz w:val="20"/>
              </w:rPr>
              <w:t>Мурманская обл.</w:t>
            </w:r>
          </w:p>
        </w:tc>
        <w:tc>
          <w:tcPr>
            <w:tcW w:type="dxa" w:w="1425"/>
          </w:tcPr>
          <w:p>
            <w:pPr>
              <w:spacing w:after="0" w:line="240" w:lineRule="auto"/>
              <w:ind w:firstLine="0"/>
              <w:jc w:val="center"/>
            </w:pPr>
            <w:r>
              <w:rPr>
                <w:b w:val="0"/>
                <w:i w:val="0"/>
                <w:sz w:val="20"/>
              </w:rPr>
              <w:t>щелочной</w:t>
            </w:r>
          </w:p>
        </w:tc>
        <w:tc>
          <w:tcPr>
            <w:tcW w:type="dxa" w:w="1425"/>
          </w:tcPr>
          <w:p>
            <w:pPr>
              <w:spacing w:after="0" w:line="240" w:lineRule="auto"/>
              <w:ind w:firstLine="0"/>
              <w:jc w:val="center"/>
            </w:pPr>
            <w:r>
              <w:rPr>
                <w:b w:val="0"/>
                <w:i w:val="0"/>
                <w:sz w:val="20"/>
              </w:rPr>
              <w:t>1,1</w:t>
            </w:r>
          </w:p>
        </w:tc>
        <w:tc>
          <w:tcPr>
            <w:tcW w:type="dxa" w:w="1425"/>
          </w:tcPr>
          <w:p>
            <w:pPr>
              <w:spacing w:after="0" w:line="240" w:lineRule="auto"/>
              <w:ind w:firstLine="0"/>
              <w:jc w:val="center"/>
            </w:pPr>
            <w:r>
              <w:rPr>
                <w:b w:val="0"/>
                <w:i w:val="0"/>
                <w:sz w:val="20"/>
              </w:rPr>
              <w:t>520</w:t>
            </w:r>
          </w:p>
        </w:tc>
        <w:tc>
          <w:tcPr>
            <w:tcW w:type="dxa" w:w="1425"/>
          </w:tcPr>
          <w:p>
            <w:pPr>
              <w:spacing w:after="0" w:line="240" w:lineRule="auto"/>
              <w:ind w:firstLine="0"/>
              <w:jc w:val="center"/>
            </w:pPr>
            <w:r>
              <w:rPr>
                <w:b w:val="0"/>
                <w:i w:val="0"/>
                <w:sz w:val="20"/>
              </w:rPr>
              <w:t>1,9</w:t>
            </w:r>
          </w:p>
        </w:tc>
        <w:tc>
          <w:tcPr>
            <w:tcW w:type="dxa" w:w="1425"/>
          </w:tcPr>
          <w:p>
            <w:pPr>
              <w:spacing w:after="0" w:line="240" w:lineRule="auto"/>
              <w:ind w:firstLine="0"/>
              <w:jc w:val="center"/>
            </w:pPr>
            <w:r>
              <w:rPr>
                <w:b w:val="0"/>
                <w:i w:val="0"/>
                <w:sz w:val="20"/>
              </w:rPr>
              <w:t>добыча</w:t>
            </w:r>
          </w:p>
        </w:tc>
      </w:tr>
      <w:tr>
        <w:tc>
          <w:tcPr>
            <w:tcW w:type="dxa" w:w="1425"/>
          </w:tcPr>
          <w:p>
            <w:pPr>
              <w:spacing w:after="0" w:line="240" w:lineRule="auto"/>
              <w:ind w:firstLine="0"/>
              <w:jc w:val="left"/>
            </w:pPr>
            <w:r>
              <w:rPr>
                <w:b w:val="0"/>
                <w:i w:val="0"/>
                <w:sz w:val="20"/>
              </w:rPr>
              <w:t>Ловозёрское (эвдиалит)</w:t>
            </w:r>
          </w:p>
        </w:tc>
        <w:tc>
          <w:tcPr>
            <w:tcW w:type="dxa" w:w="1425"/>
          </w:tcPr>
          <w:p>
            <w:pPr>
              <w:spacing w:after="0" w:line="240" w:lineRule="auto"/>
              <w:ind w:firstLine="0"/>
              <w:jc w:val="center"/>
            </w:pPr>
            <w:r>
              <w:rPr>
                <w:b w:val="0"/>
                <w:i w:val="0"/>
                <w:sz w:val="20"/>
              </w:rPr>
              <w:t>Мурманская обл.</w:t>
            </w:r>
          </w:p>
        </w:tc>
        <w:tc>
          <w:tcPr>
            <w:tcW w:type="dxa" w:w="1425"/>
          </w:tcPr>
          <w:p>
            <w:pPr>
              <w:spacing w:after="0" w:line="240" w:lineRule="auto"/>
              <w:ind w:firstLine="0"/>
              <w:jc w:val="center"/>
            </w:pPr>
            <w:r>
              <w:rPr>
                <w:b w:val="0"/>
                <w:i w:val="0"/>
                <w:sz w:val="20"/>
              </w:rPr>
              <w:t>щелочной</w:t>
            </w:r>
          </w:p>
        </w:tc>
        <w:tc>
          <w:tcPr>
            <w:tcW w:type="dxa" w:w="1425"/>
          </w:tcPr>
          <w:p>
            <w:pPr>
              <w:spacing w:after="0" w:line="240" w:lineRule="auto"/>
              <w:ind w:firstLine="0"/>
              <w:jc w:val="center"/>
            </w:pPr>
            <w:r>
              <w:rPr>
                <w:b w:val="0"/>
                <w:i w:val="0"/>
                <w:sz w:val="20"/>
              </w:rPr>
              <w:t>0,25</w:t>
            </w:r>
          </w:p>
        </w:tc>
        <w:tc>
          <w:tcPr>
            <w:tcW w:type="dxa" w:w="1425"/>
          </w:tcPr>
          <w:p>
            <w:pPr>
              <w:spacing w:after="0" w:line="240" w:lineRule="auto"/>
              <w:ind w:firstLine="0"/>
              <w:jc w:val="center"/>
            </w:pPr>
            <w:r>
              <w:rPr>
                <w:b w:val="0"/>
                <w:i w:val="0"/>
                <w:sz w:val="20"/>
              </w:rPr>
              <w:t>5 500</w:t>
            </w:r>
          </w:p>
        </w:tc>
        <w:tc>
          <w:tcPr>
            <w:tcW w:type="dxa" w:w="1425"/>
          </w:tcPr>
          <w:p>
            <w:pPr>
              <w:spacing w:after="0" w:line="240" w:lineRule="auto"/>
              <w:ind w:firstLine="0"/>
              <w:jc w:val="center"/>
            </w:pPr>
            <w:r>
              <w:rPr>
                <w:b w:val="0"/>
                <w:i w:val="0"/>
                <w:sz w:val="20"/>
              </w:rPr>
              <w:t>19,8</w:t>
            </w:r>
          </w:p>
        </w:tc>
        <w:tc>
          <w:tcPr>
            <w:tcW w:type="dxa" w:w="1425"/>
          </w:tcPr>
          <w:p>
            <w:pPr>
              <w:spacing w:after="0" w:line="240" w:lineRule="auto"/>
              <w:ind w:firstLine="0"/>
              <w:jc w:val="center"/>
            </w:pPr>
            <w:r>
              <w:rPr>
                <w:b w:val="0"/>
                <w:i w:val="0"/>
                <w:sz w:val="20"/>
              </w:rPr>
              <w:t>не осваивается</w:t>
            </w:r>
          </w:p>
        </w:tc>
      </w:tr>
      <w:tr>
        <w:tc>
          <w:tcPr>
            <w:tcW w:type="dxa" w:w="1425"/>
          </w:tcPr>
          <w:p>
            <w:pPr>
              <w:spacing w:after="0" w:line="240" w:lineRule="auto"/>
              <w:ind w:firstLine="0"/>
              <w:jc w:val="left"/>
            </w:pPr>
            <w:r>
              <w:rPr>
                <w:b w:val="0"/>
                <w:i w:val="0"/>
                <w:sz w:val="20"/>
              </w:rPr>
              <w:t>Томторское (Буранный)</w:t>
            </w:r>
          </w:p>
        </w:tc>
        <w:tc>
          <w:tcPr>
            <w:tcW w:type="dxa" w:w="1425"/>
          </w:tcPr>
          <w:p>
            <w:pPr>
              <w:spacing w:after="0" w:line="240" w:lineRule="auto"/>
              <w:ind w:firstLine="0"/>
              <w:jc w:val="center"/>
            </w:pPr>
            <w:r>
              <w:rPr>
                <w:b w:val="0"/>
                <w:i w:val="0"/>
                <w:sz w:val="20"/>
              </w:rPr>
              <w:t>Якутия</w:t>
            </w:r>
          </w:p>
        </w:tc>
        <w:tc>
          <w:tcPr>
            <w:tcW w:type="dxa" w:w="1425"/>
          </w:tcPr>
          <w:p>
            <w:pPr>
              <w:spacing w:after="0" w:line="240" w:lineRule="auto"/>
              <w:ind w:firstLine="0"/>
              <w:jc w:val="center"/>
            </w:pPr>
            <w:r>
              <w:rPr>
                <w:b w:val="0"/>
                <w:i w:val="0"/>
                <w:sz w:val="20"/>
              </w:rPr>
              <w:t>кора выветр.</w:t>
            </w:r>
          </w:p>
        </w:tc>
        <w:tc>
          <w:tcPr>
            <w:tcW w:type="dxa" w:w="1425"/>
          </w:tcPr>
          <w:p>
            <w:pPr>
              <w:spacing w:after="0" w:line="240" w:lineRule="auto"/>
              <w:ind w:firstLine="0"/>
              <w:jc w:val="center"/>
            </w:pPr>
            <w:r>
              <w:rPr>
                <w:b w:val="0"/>
                <w:i w:val="0"/>
                <w:sz w:val="20"/>
              </w:rPr>
              <w:t>9,5</w:t>
            </w:r>
          </w:p>
        </w:tc>
        <w:tc>
          <w:tcPr>
            <w:tcW w:type="dxa" w:w="1425"/>
          </w:tcPr>
          <w:p>
            <w:pPr>
              <w:spacing w:after="0" w:line="240" w:lineRule="auto"/>
              <w:ind w:firstLine="0"/>
              <w:jc w:val="center"/>
            </w:pPr>
            <w:r>
              <w:rPr>
                <w:b w:val="0"/>
                <w:i w:val="0"/>
                <w:sz w:val="20"/>
              </w:rPr>
              <w:t>1 550</w:t>
            </w:r>
          </w:p>
        </w:tc>
        <w:tc>
          <w:tcPr>
            <w:tcW w:type="dxa" w:w="1425"/>
          </w:tcPr>
          <w:p>
            <w:pPr>
              <w:spacing w:after="0" w:line="240" w:lineRule="auto"/>
              <w:ind w:firstLine="0"/>
              <w:jc w:val="center"/>
            </w:pPr>
            <w:r>
              <w:rPr>
                <w:b w:val="0"/>
                <w:i w:val="0"/>
                <w:sz w:val="20"/>
              </w:rPr>
              <w:t>17,3</w:t>
            </w:r>
          </w:p>
        </w:tc>
        <w:tc>
          <w:tcPr>
            <w:tcW w:type="dxa" w:w="1425"/>
          </w:tcPr>
          <w:p>
            <w:pPr>
              <w:spacing w:after="0" w:line="240" w:lineRule="auto"/>
              <w:ind w:firstLine="0"/>
              <w:jc w:val="center"/>
            </w:pPr>
            <w:r>
              <w:rPr>
                <w:b w:val="0"/>
                <w:i w:val="0"/>
                <w:sz w:val="20"/>
              </w:rPr>
              <w:t>подготовка</w:t>
            </w:r>
          </w:p>
        </w:tc>
      </w:tr>
      <w:tr>
        <w:tc>
          <w:tcPr>
            <w:tcW w:type="dxa" w:w="1425"/>
          </w:tcPr>
          <w:p>
            <w:pPr>
              <w:spacing w:after="0" w:line="240" w:lineRule="auto"/>
              <w:ind w:firstLine="0"/>
              <w:jc w:val="left"/>
            </w:pPr>
            <w:r>
              <w:rPr>
                <w:b w:val="0"/>
                <w:i w:val="0"/>
                <w:sz w:val="20"/>
              </w:rPr>
              <w:t>Чуктуконское</w:t>
            </w:r>
          </w:p>
        </w:tc>
        <w:tc>
          <w:tcPr>
            <w:tcW w:type="dxa" w:w="1425"/>
          </w:tcPr>
          <w:p>
            <w:pPr>
              <w:spacing w:after="0" w:line="240" w:lineRule="auto"/>
              <w:ind w:firstLine="0"/>
              <w:jc w:val="center"/>
            </w:pPr>
            <w:r>
              <w:rPr>
                <w:b w:val="0"/>
                <w:i w:val="0"/>
                <w:sz w:val="20"/>
              </w:rPr>
              <w:t>Красноярский край</w:t>
            </w:r>
          </w:p>
        </w:tc>
        <w:tc>
          <w:tcPr>
            <w:tcW w:type="dxa" w:w="1425"/>
          </w:tcPr>
          <w:p>
            <w:pPr>
              <w:spacing w:after="0" w:line="240" w:lineRule="auto"/>
              <w:ind w:firstLine="0"/>
              <w:jc w:val="center"/>
            </w:pPr>
            <w:r>
              <w:rPr>
                <w:b w:val="0"/>
                <w:i w:val="0"/>
                <w:sz w:val="20"/>
              </w:rPr>
              <w:t>кора выветр.</w:t>
            </w:r>
          </w:p>
        </w:tc>
        <w:tc>
          <w:tcPr>
            <w:tcW w:type="dxa" w:w="1425"/>
          </w:tcPr>
          <w:p>
            <w:pPr>
              <w:spacing w:after="0" w:line="240" w:lineRule="auto"/>
              <w:ind w:firstLine="0"/>
              <w:jc w:val="center"/>
            </w:pPr>
            <w:r>
              <w:rPr>
                <w:b w:val="0"/>
                <w:i w:val="0"/>
                <w:sz w:val="20"/>
              </w:rPr>
              <w:t>3,8</w:t>
            </w:r>
          </w:p>
        </w:tc>
        <w:tc>
          <w:tcPr>
            <w:tcW w:type="dxa" w:w="1425"/>
          </w:tcPr>
          <w:p>
            <w:pPr>
              <w:spacing w:after="0" w:line="240" w:lineRule="auto"/>
              <w:ind w:firstLine="0"/>
              <w:jc w:val="center"/>
            </w:pPr>
            <w:r>
              <w:rPr>
                <w:b w:val="0"/>
                <w:i w:val="0"/>
                <w:sz w:val="20"/>
              </w:rPr>
              <w:t>1 100</w:t>
            </w:r>
          </w:p>
        </w:tc>
        <w:tc>
          <w:tcPr>
            <w:tcW w:type="dxa" w:w="1425"/>
          </w:tcPr>
          <w:p>
            <w:pPr>
              <w:spacing w:after="0" w:line="240" w:lineRule="auto"/>
              <w:ind w:firstLine="0"/>
              <w:jc w:val="center"/>
            </w:pPr>
            <w:r>
              <w:rPr>
                <w:b w:val="0"/>
                <w:i w:val="0"/>
                <w:sz w:val="20"/>
              </w:rPr>
              <w:t>8,5</w:t>
            </w:r>
          </w:p>
        </w:tc>
        <w:tc>
          <w:tcPr>
            <w:tcW w:type="dxa" w:w="1425"/>
          </w:tcPr>
          <w:p>
            <w:pPr>
              <w:spacing w:after="0" w:line="240" w:lineRule="auto"/>
              <w:ind w:firstLine="0"/>
              <w:jc w:val="center"/>
            </w:pPr>
            <w:r>
              <w:rPr>
                <w:b w:val="0"/>
                <w:i w:val="0"/>
                <w:sz w:val="20"/>
              </w:rPr>
              <w:t>геологоразведка</w:t>
            </w:r>
          </w:p>
        </w:tc>
      </w:tr>
      <w:tr>
        <w:tc>
          <w:tcPr>
            <w:tcW w:type="dxa" w:w="1425"/>
          </w:tcPr>
          <w:p>
            <w:pPr>
              <w:spacing w:after="0" w:line="240" w:lineRule="auto"/>
              <w:ind w:firstLine="0"/>
              <w:jc w:val="left"/>
            </w:pPr>
            <w:r>
              <w:rPr>
                <w:b w:val="0"/>
                <w:i w:val="0"/>
                <w:sz w:val="20"/>
              </w:rPr>
              <w:t>Зашихинское</w:t>
            </w:r>
          </w:p>
        </w:tc>
        <w:tc>
          <w:tcPr>
            <w:tcW w:type="dxa" w:w="1425"/>
          </w:tcPr>
          <w:p>
            <w:pPr>
              <w:spacing w:after="0" w:line="240" w:lineRule="auto"/>
              <w:ind w:firstLine="0"/>
              <w:jc w:val="center"/>
            </w:pPr>
            <w:r>
              <w:rPr>
                <w:b w:val="0"/>
                <w:i w:val="0"/>
                <w:sz w:val="20"/>
              </w:rPr>
              <w:t>Иркутская обл.</w:t>
            </w:r>
          </w:p>
        </w:tc>
        <w:tc>
          <w:tcPr>
            <w:tcW w:type="dxa" w:w="1425"/>
          </w:tcPr>
          <w:p>
            <w:pPr>
              <w:spacing w:after="0" w:line="240" w:lineRule="auto"/>
              <w:ind w:firstLine="0"/>
              <w:jc w:val="center"/>
            </w:pPr>
            <w:r>
              <w:rPr>
                <w:b w:val="0"/>
                <w:i w:val="0"/>
                <w:sz w:val="20"/>
              </w:rPr>
              <w:t>метасоматиты</w:t>
            </w:r>
          </w:p>
        </w:tc>
        <w:tc>
          <w:tcPr>
            <w:tcW w:type="dxa" w:w="1425"/>
          </w:tcPr>
          <w:p>
            <w:pPr>
              <w:spacing w:after="0" w:line="240" w:lineRule="auto"/>
              <w:ind w:firstLine="0"/>
              <w:jc w:val="center"/>
            </w:pPr>
            <w:r>
              <w:rPr>
                <w:b w:val="0"/>
                <w:i w:val="0"/>
                <w:sz w:val="20"/>
              </w:rPr>
              <w:t>0,32</w:t>
            </w:r>
          </w:p>
        </w:tc>
        <w:tc>
          <w:tcPr>
            <w:tcW w:type="dxa" w:w="1425"/>
          </w:tcPr>
          <w:p>
            <w:pPr>
              <w:spacing w:after="0" w:line="240" w:lineRule="auto"/>
              <w:ind w:firstLine="0"/>
              <w:jc w:val="center"/>
            </w:pPr>
            <w:r>
              <w:rPr>
                <w:b w:val="0"/>
                <w:i w:val="0"/>
                <w:sz w:val="20"/>
              </w:rPr>
              <w:t>220</w:t>
            </w:r>
          </w:p>
        </w:tc>
        <w:tc>
          <w:tcPr>
            <w:tcW w:type="dxa" w:w="1425"/>
          </w:tcPr>
          <w:p>
            <w:pPr>
              <w:spacing w:after="0" w:line="240" w:lineRule="auto"/>
              <w:ind w:firstLine="0"/>
              <w:jc w:val="center"/>
            </w:pPr>
            <w:r>
              <w:rPr>
                <w:b w:val="0"/>
                <w:i w:val="0"/>
                <w:sz w:val="20"/>
              </w:rPr>
              <w:t>22,0</w:t>
            </w:r>
          </w:p>
        </w:tc>
        <w:tc>
          <w:tcPr>
            <w:tcW w:type="dxa" w:w="1425"/>
          </w:tcPr>
          <w:p>
            <w:pPr>
              <w:spacing w:after="0" w:line="240" w:lineRule="auto"/>
              <w:ind w:firstLine="0"/>
              <w:jc w:val="center"/>
            </w:pPr>
            <w:r>
              <w:rPr>
                <w:b w:val="0"/>
                <w:i w:val="0"/>
                <w:sz w:val="20"/>
              </w:rPr>
              <w:t>подготовка</w:t>
            </w:r>
          </w:p>
        </w:tc>
      </w:tr>
      <w:tr>
        <w:tc>
          <w:tcPr>
            <w:tcW w:type="dxa" w:w="1425"/>
          </w:tcPr>
          <w:p>
            <w:pPr>
              <w:spacing w:after="0" w:line="240" w:lineRule="auto"/>
              <w:ind w:firstLine="0"/>
              <w:jc w:val="left"/>
            </w:pPr>
            <w:r>
              <w:rPr>
                <w:b w:val="0"/>
                <w:i w:val="0"/>
                <w:sz w:val="20"/>
              </w:rPr>
              <w:t>Катугинское</w:t>
            </w:r>
          </w:p>
        </w:tc>
        <w:tc>
          <w:tcPr>
            <w:tcW w:type="dxa" w:w="1425"/>
          </w:tcPr>
          <w:p>
            <w:pPr>
              <w:spacing w:after="0" w:line="240" w:lineRule="auto"/>
              <w:ind w:firstLine="0"/>
              <w:jc w:val="center"/>
            </w:pPr>
            <w:r>
              <w:rPr>
                <w:b w:val="0"/>
                <w:i w:val="0"/>
                <w:sz w:val="20"/>
              </w:rPr>
              <w:t>Забайкальский край</w:t>
            </w:r>
          </w:p>
        </w:tc>
        <w:tc>
          <w:tcPr>
            <w:tcW w:type="dxa" w:w="1425"/>
          </w:tcPr>
          <w:p>
            <w:pPr>
              <w:spacing w:after="0" w:line="240" w:lineRule="auto"/>
              <w:ind w:firstLine="0"/>
              <w:jc w:val="center"/>
            </w:pPr>
            <w:r>
              <w:rPr>
                <w:b w:val="0"/>
                <w:i w:val="0"/>
                <w:sz w:val="20"/>
              </w:rPr>
              <w:t>метасоматиты</w:t>
            </w:r>
          </w:p>
        </w:tc>
        <w:tc>
          <w:tcPr>
            <w:tcW w:type="dxa" w:w="1425"/>
          </w:tcPr>
          <w:p>
            <w:pPr>
              <w:spacing w:after="0" w:line="240" w:lineRule="auto"/>
              <w:ind w:firstLine="0"/>
              <w:jc w:val="center"/>
            </w:pPr>
            <w:r>
              <w:rPr>
                <w:b w:val="0"/>
                <w:i w:val="0"/>
                <w:sz w:val="20"/>
              </w:rPr>
              <w:t>0,25</w:t>
            </w:r>
          </w:p>
        </w:tc>
        <w:tc>
          <w:tcPr>
            <w:tcW w:type="dxa" w:w="1425"/>
          </w:tcPr>
          <w:p>
            <w:pPr>
              <w:spacing w:after="0" w:line="240" w:lineRule="auto"/>
              <w:ind w:firstLine="0"/>
              <w:jc w:val="center"/>
            </w:pPr>
            <w:r>
              <w:rPr>
                <w:b w:val="0"/>
                <w:i w:val="0"/>
                <w:sz w:val="20"/>
              </w:rPr>
              <w:t>1 300</w:t>
            </w:r>
          </w:p>
        </w:tc>
        <w:tc>
          <w:tcPr>
            <w:tcW w:type="dxa" w:w="1425"/>
          </w:tcPr>
          <w:p>
            <w:pPr>
              <w:spacing w:after="0" w:line="240" w:lineRule="auto"/>
              <w:ind w:firstLine="0"/>
              <w:jc w:val="center"/>
            </w:pPr>
            <w:r>
              <w:rPr>
                <w:b w:val="0"/>
                <w:i w:val="0"/>
                <w:sz w:val="20"/>
              </w:rPr>
              <w:t>28,0</w:t>
            </w:r>
          </w:p>
        </w:tc>
        <w:tc>
          <w:tcPr>
            <w:tcW w:type="dxa" w:w="1425"/>
          </w:tcPr>
          <w:p>
            <w:pPr>
              <w:spacing w:after="0" w:line="240" w:lineRule="auto"/>
              <w:ind w:firstLine="0"/>
              <w:jc w:val="center"/>
            </w:pPr>
            <w:r>
              <w:rPr>
                <w:b w:val="0"/>
                <w:i w:val="0"/>
                <w:sz w:val="20"/>
              </w:rPr>
              <w:t>не осваивается</w:t>
            </w:r>
          </w:p>
        </w:tc>
      </w:tr>
      <w:tr>
        <w:tc>
          <w:tcPr>
            <w:tcW w:type="dxa" w:w="1425"/>
          </w:tcPr>
          <w:p>
            <w:pPr>
              <w:spacing w:after="0" w:line="240" w:lineRule="auto"/>
              <w:ind w:firstLine="0"/>
              <w:jc w:val="left"/>
            </w:pPr>
            <w:r>
              <w:rPr>
                <w:b w:val="0"/>
                <w:i w:val="0"/>
                <w:sz w:val="20"/>
              </w:rPr>
              <w:t>Улуг-Танзекское</w:t>
            </w:r>
          </w:p>
        </w:tc>
        <w:tc>
          <w:tcPr>
            <w:tcW w:type="dxa" w:w="1425"/>
          </w:tcPr>
          <w:p>
            <w:pPr>
              <w:spacing w:after="0" w:line="240" w:lineRule="auto"/>
              <w:ind w:firstLine="0"/>
              <w:jc w:val="center"/>
            </w:pPr>
            <w:r>
              <w:rPr>
                <w:b w:val="0"/>
                <w:i w:val="0"/>
                <w:sz w:val="20"/>
              </w:rPr>
              <w:t>Респ. Тыва</w:t>
            </w:r>
          </w:p>
        </w:tc>
        <w:tc>
          <w:tcPr>
            <w:tcW w:type="dxa" w:w="1425"/>
          </w:tcPr>
          <w:p>
            <w:pPr>
              <w:spacing w:after="0" w:line="240" w:lineRule="auto"/>
              <w:ind w:firstLine="0"/>
              <w:jc w:val="center"/>
            </w:pPr>
            <w:r>
              <w:rPr>
                <w:b w:val="0"/>
                <w:i w:val="0"/>
                <w:sz w:val="20"/>
              </w:rPr>
              <w:t>метасоматиты</w:t>
            </w:r>
          </w:p>
        </w:tc>
        <w:tc>
          <w:tcPr>
            <w:tcW w:type="dxa" w:w="1425"/>
          </w:tcPr>
          <w:p>
            <w:pPr>
              <w:spacing w:after="0" w:line="240" w:lineRule="auto"/>
              <w:ind w:firstLine="0"/>
              <w:jc w:val="center"/>
            </w:pPr>
            <w:r>
              <w:rPr>
                <w:b w:val="0"/>
                <w:i w:val="0"/>
                <w:sz w:val="20"/>
              </w:rPr>
              <w:t>0,18</w:t>
            </w:r>
          </w:p>
        </w:tc>
        <w:tc>
          <w:tcPr>
            <w:tcW w:type="dxa" w:w="1425"/>
          </w:tcPr>
          <w:p>
            <w:pPr>
              <w:spacing w:after="0" w:line="240" w:lineRule="auto"/>
              <w:ind w:firstLine="0"/>
              <w:jc w:val="center"/>
            </w:pPr>
            <w:r>
              <w:rPr>
                <w:b w:val="0"/>
                <w:i w:val="0"/>
                <w:sz w:val="20"/>
              </w:rPr>
              <w:t>780</w:t>
            </w:r>
          </w:p>
        </w:tc>
        <w:tc>
          <w:tcPr>
            <w:tcW w:type="dxa" w:w="1425"/>
          </w:tcPr>
          <w:p>
            <w:pPr>
              <w:spacing w:after="0" w:line="240" w:lineRule="auto"/>
              <w:ind w:firstLine="0"/>
              <w:jc w:val="center"/>
            </w:pPr>
            <w:r>
              <w:rPr>
                <w:b w:val="0"/>
                <w:i w:val="0"/>
                <w:sz w:val="20"/>
              </w:rPr>
              <w:t>25,0</w:t>
            </w:r>
          </w:p>
        </w:tc>
        <w:tc>
          <w:tcPr>
            <w:tcW w:type="dxa" w:w="1425"/>
          </w:tcPr>
          <w:p>
            <w:pPr>
              <w:spacing w:after="0" w:line="240" w:lineRule="auto"/>
              <w:ind w:firstLine="0"/>
              <w:jc w:val="center"/>
            </w:pPr>
            <w:r>
              <w:rPr>
                <w:b w:val="0"/>
                <w:i w:val="0"/>
                <w:sz w:val="20"/>
              </w:rPr>
              <w:t>не осваивается</w:t>
            </w:r>
          </w:p>
        </w:tc>
      </w:tr>
      <w:tr>
        <w:tc>
          <w:tcPr>
            <w:tcW w:type="dxa" w:w="1425"/>
          </w:tcPr>
          <w:p>
            <w:pPr>
              <w:spacing w:after="0" w:line="240" w:lineRule="auto"/>
              <w:ind w:firstLine="0"/>
              <w:jc w:val="left"/>
            </w:pPr>
            <w:r>
              <w:rPr>
                <w:b w:val="0"/>
                <w:i w:val="0"/>
                <w:sz w:val="20"/>
              </w:rPr>
              <w:t>Африканда</w:t>
            </w:r>
          </w:p>
        </w:tc>
        <w:tc>
          <w:tcPr>
            <w:tcW w:type="dxa" w:w="1425"/>
          </w:tcPr>
          <w:p>
            <w:pPr>
              <w:spacing w:after="0" w:line="240" w:lineRule="auto"/>
              <w:ind w:firstLine="0"/>
              <w:jc w:val="center"/>
            </w:pPr>
            <w:r>
              <w:rPr>
                <w:b w:val="0"/>
                <w:i w:val="0"/>
                <w:sz w:val="20"/>
              </w:rPr>
              <w:t>Мурманская обл.</w:t>
            </w:r>
          </w:p>
        </w:tc>
        <w:tc>
          <w:tcPr>
            <w:tcW w:type="dxa" w:w="1425"/>
          </w:tcPr>
          <w:p>
            <w:pPr>
              <w:spacing w:after="0" w:line="240" w:lineRule="auto"/>
              <w:ind w:firstLine="0"/>
              <w:jc w:val="center"/>
            </w:pPr>
            <w:r>
              <w:rPr>
                <w:b w:val="0"/>
                <w:i w:val="0"/>
                <w:sz w:val="20"/>
              </w:rPr>
              <w:t>перовскит-титанит</w:t>
            </w:r>
          </w:p>
        </w:tc>
        <w:tc>
          <w:tcPr>
            <w:tcW w:type="dxa" w:w="1425"/>
          </w:tcPr>
          <w:p>
            <w:pPr>
              <w:spacing w:after="0" w:line="240" w:lineRule="auto"/>
              <w:ind w:firstLine="0"/>
              <w:jc w:val="center"/>
            </w:pPr>
            <w:r>
              <w:rPr>
                <w:b w:val="0"/>
                <w:i w:val="0"/>
                <w:sz w:val="20"/>
              </w:rPr>
              <w:t>0,55</w:t>
            </w:r>
          </w:p>
        </w:tc>
        <w:tc>
          <w:tcPr>
            <w:tcW w:type="dxa" w:w="1425"/>
          </w:tcPr>
          <w:p>
            <w:pPr>
              <w:spacing w:after="0" w:line="240" w:lineRule="auto"/>
              <w:ind w:firstLine="0"/>
              <w:jc w:val="center"/>
            </w:pPr>
            <w:r>
              <w:rPr>
                <w:b w:val="0"/>
                <w:i w:val="0"/>
                <w:sz w:val="20"/>
              </w:rPr>
              <w:t>340</w:t>
            </w:r>
          </w:p>
        </w:tc>
        <w:tc>
          <w:tcPr>
            <w:tcW w:type="dxa" w:w="1425"/>
          </w:tcPr>
          <w:p>
            <w:pPr>
              <w:spacing w:after="0" w:line="240" w:lineRule="auto"/>
              <w:ind w:firstLine="0"/>
              <w:jc w:val="center"/>
            </w:pPr>
            <w:r>
              <w:rPr>
                <w:b w:val="0"/>
                <w:i w:val="0"/>
                <w:sz w:val="20"/>
              </w:rPr>
              <w:t>6,0</w:t>
            </w:r>
          </w:p>
        </w:tc>
        <w:tc>
          <w:tcPr>
            <w:tcW w:type="dxa" w:w="1425"/>
          </w:tcPr>
          <w:p>
            <w:pPr>
              <w:spacing w:after="0" w:line="240" w:lineRule="auto"/>
              <w:ind w:firstLine="0"/>
              <w:jc w:val="center"/>
            </w:pPr>
            <w:r>
              <w:rPr>
                <w:b w:val="0"/>
                <w:i w:val="0"/>
                <w:sz w:val="20"/>
              </w:rPr>
              <w:t>подготовка</w:t>
            </w:r>
          </w:p>
        </w:tc>
      </w:tr>
      <w:tr>
        <w:tc>
          <w:tcPr>
            <w:tcW w:type="dxa" w:w="1425"/>
          </w:tcPr>
          <w:p>
            <w:pPr>
              <w:spacing w:after="0" w:line="240" w:lineRule="auto"/>
              <w:ind w:firstLine="0"/>
              <w:jc w:val="left"/>
            </w:pPr>
            <w:r>
              <w:rPr>
                <w:b w:val="0"/>
                <w:i w:val="0"/>
                <w:sz w:val="20"/>
              </w:rPr>
              <w:t>Белозиминское</w:t>
            </w:r>
          </w:p>
        </w:tc>
        <w:tc>
          <w:tcPr>
            <w:tcW w:type="dxa" w:w="1425"/>
          </w:tcPr>
          <w:p>
            <w:pPr>
              <w:spacing w:after="0" w:line="240" w:lineRule="auto"/>
              <w:ind w:firstLine="0"/>
              <w:jc w:val="center"/>
            </w:pPr>
            <w:r>
              <w:rPr>
                <w:b w:val="0"/>
                <w:i w:val="0"/>
                <w:sz w:val="20"/>
              </w:rPr>
              <w:t>Иркутская обл.</w:t>
            </w:r>
          </w:p>
        </w:tc>
        <w:tc>
          <w:tcPr>
            <w:tcW w:type="dxa" w:w="1425"/>
          </w:tcPr>
          <w:p>
            <w:pPr>
              <w:spacing w:after="0" w:line="240" w:lineRule="auto"/>
              <w:ind w:firstLine="0"/>
              <w:jc w:val="center"/>
            </w:pPr>
            <w:r>
              <w:rPr>
                <w:b w:val="0"/>
                <w:i w:val="0"/>
                <w:sz w:val="20"/>
              </w:rPr>
              <w:t>карбонатит</w:t>
            </w:r>
          </w:p>
        </w:tc>
        <w:tc>
          <w:tcPr>
            <w:tcW w:type="dxa" w:w="1425"/>
          </w:tcPr>
          <w:p>
            <w:pPr>
              <w:spacing w:after="0" w:line="240" w:lineRule="auto"/>
              <w:ind w:firstLine="0"/>
              <w:jc w:val="center"/>
            </w:pPr>
            <w:r>
              <w:rPr>
                <w:b w:val="0"/>
                <w:i w:val="0"/>
                <w:sz w:val="20"/>
              </w:rPr>
              <w:t>1,2</w:t>
            </w:r>
          </w:p>
        </w:tc>
        <w:tc>
          <w:tcPr>
            <w:tcW w:type="dxa" w:w="1425"/>
          </w:tcPr>
          <w:p>
            <w:pPr>
              <w:spacing w:after="0" w:line="240" w:lineRule="auto"/>
              <w:ind w:firstLine="0"/>
              <w:jc w:val="center"/>
            </w:pPr>
            <w:r>
              <w:rPr>
                <w:b w:val="0"/>
                <w:i w:val="0"/>
                <w:sz w:val="20"/>
              </w:rPr>
              <w:t>290</w:t>
            </w:r>
          </w:p>
        </w:tc>
        <w:tc>
          <w:tcPr>
            <w:tcW w:type="dxa" w:w="1425"/>
          </w:tcPr>
          <w:p>
            <w:pPr>
              <w:spacing w:after="0" w:line="240" w:lineRule="auto"/>
              <w:ind w:firstLine="0"/>
              <w:jc w:val="center"/>
            </w:pPr>
            <w:r>
              <w:rPr>
                <w:b w:val="0"/>
                <w:i w:val="0"/>
                <w:sz w:val="20"/>
              </w:rPr>
              <w:t>5,5</w:t>
            </w:r>
          </w:p>
        </w:tc>
        <w:tc>
          <w:tcPr>
            <w:tcW w:type="dxa" w:w="1425"/>
          </w:tcPr>
          <w:p>
            <w:pPr>
              <w:spacing w:after="0" w:line="240" w:lineRule="auto"/>
              <w:ind w:firstLine="0"/>
              <w:jc w:val="center"/>
            </w:pPr>
            <w:r>
              <w:rPr>
                <w:b w:val="0"/>
                <w:i w:val="0"/>
                <w:sz w:val="20"/>
              </w:rPr>
              <w:t>геологоразведка</w:t>
            </w:r>
          </w:p>
        </w:tc>
      </w:tr>
      <w:tr>
        <w:tc>
          <w:tcPr>
            <w:tcW w:type="dxa" w:w="1425"/>
          </w:tcPr>
          <w:p>
            <w:pPr>
              <w:spacing w:after="0" w:line="240" w:lineRule="auto"/>
              <w:ind w:firstLine="0"/>
              <w:jc w:val="left"/>
            </w:pPr>
            <w:r>
              <w:rPr>
                <w:b w:val="0"/>
                <w:i w:val="0"/>
                <w:sz w:val="20"/>
              </w:rPr>
              <w:t>Хибинская группа</w:t>
            </w:r>
          </w:p>
        </w:tc>
        <w:tc>
          <w:tcPr>
            <w:tcW w:type="dxa" w:w="1425"/>
          </w:tcPr>
          <w:p>
            <w:pPr>
              <w:spacing w:after="0" w:line="240" w:lineRule="auto"/>
              <w:ind w:firstLine="0"/>
              <w:jc w:val="center"/>
            </w:pPr>
            <w:r>
              <w:rPr>
                <w:b w:val="0"/>
                <w:i w:val="0"/>
                <w:sz w:val="20"/>
              </w:rPr>
              <w:t>Мурманская обл.</w:t>
            </w:r>
          </w:p>
        </w:tc>
        <w:tc>
          <w:tcPr>
            <w:tcW w:type="dxa" w:w="1425"/>
          </w:tcPr>
          <w:p>
            <w:pPr>
              <w:spacing w:after="0" w:line="240" w:lineRule="auto"/>
              <w:ind w:firstLine="0"/>
              <w:jc w:val="center"/>
            </w:pPr>
            <w:r>
              <w:rPr>
                <w:b w:val="0"/>
                <w:i w:val="0"/>
                <w:sz w:val="20"/>
              </w:rPr>
              <w:t>апатит-нефелин</w:t>
            </w:r>
          </w:p>
        </w:tc>
        <w:tc>
          <w:tcPr>
            <w:tcW w:type="dxa" w:w="1425"/>
          </w:tcPr>
          <w:p>
            <w:pPr>
              <w:spacing w:after="0" w:line="240" w:lineRule="auto"/>
              <w:ind w:firstLine="0"/>
              <w:jc w:val="center"/>
            </w:pPr>
            <w:r>
              <w:rPr>
                <w:b w:val="0"/>
                <w:i w:val="0"/>
                <w:sz w:val="20"/>
              </w:rPr>
              <w:t>0,45</w:t>
            </w:r>
          </w:p>
        </w:tc>
        <w:tc>
          <w:tcPr>
            <w:tcW w:type="dxa" w:w="1425"/>
          </w:tcPr>
          <w:p>
            <w:pPr>
              <w:spacing w:after="0" w:line="240" w:lineRule="auto"/>
              <w:ind w:firstLine="0"/>
              <w:jc w:val="center"/>
            </w:pPr>
            <w:r>
              <w:rPr>
                <w:b w:val="0"/>
                <w:i w:val="0"/>
                <w:sz w:val="20"/>
              </w:rPr>
              <w:t>12 500</w:t>
            </w:r>
          </w:p>
        </w:tc>
        <w:tc>
          <w:tcPr>
            <w:tcW w:type="dxa" w:w="1425"/>
          </w:tcPr>
          <w:p>
            <w:pPr>
              <w:spacing w:after="0" w:line="240" w:lineRule="auto"/>
              <w:ind w:firstLine="0"/>
              <w:jc w:val="center"/>
            </w:pPr>
            <w:r>
              <w:rPr>
                <w:b w:val="0"/>
                <w:i w:val="0"/>
                <w:sz w:val="20"/>
              </w:rPr>
              <w:t>6,5</w:t>
            </w:r>
          </w:p>
        </w:tc>
        <w:tc>
          <w:tcPr>
            <w:tcW w:type="dxa" w:w="1425"/>
          </w:tcPr>
          <w:p>
            <w:pPr>
              <w:spacing w:after="0" w:line="240" w:lineRule="auto"/>
              <w:ind w:firstLine="0"/>
              <w:jc w:val="center"/>
            </w:pPr>
            <w:r>
              <w:rPr>
                <w:b w:val="0"/>
                <w:i w:val="0"/>
                <w:sz w:val="20"/>
              </w:rPr>
              <w:t>попутный (не извл.)</w:t>
            </w:r>
          </w:p>
        </w:tc>
      </w:tr>
      <w:tr>
        <w:tc>
          <w:tcPr>
            <w:tcW w:type="dxa" w:w="1425"/>
          </w:tcPr>
          <w:p>
            <w:pPr>
              <w:spacing w:after="0" w:line="240" w:lineRule="auto"/>
              <w:ind w:firstLine="0"/>
              <w:jc w:val="left"/>
            </w:pPr>
            <w:r>
              <w:rPr>
                <w:b w:val="0"/>
                <w:i w:val="0"/>
                <w:sz w:val="20"/>
              </w:rPr>
              <w:t>Ковдорское</w:t>
            </w:r>
          </w:p>
        </w:tc>
        <w:tc>
          <w:tcPr>
            <w:tcW w:type="dxa" w:w="1425"/>
          </w:tcPr>
          <w:p>
            <w:pPr>
              <w:spacing w:after="0" w:line="240" w:lineRule="auto"/>
              <w:ind w:firstLine="0"/>
              <w:jc w:val="center"/>
            </w:pPr>
            <w:r>
              <w:rPr>
                <w:b w:val="0"/>
                <w:i w:val="0"/>
                <w:sz w:val="20"/>
              </w:rPr>
              <w:t>Мурманская обл.</w:t>
            </w:r>
          </w:p>
        </w:tc>
        <w:tc>
          <w:tcPr>
            <w:tcW w:type="dxa" w:w="1425"/>
          </w:tcPr>
          <w:p>
            <w:pPr>
              <w:spacing w:after="0" w:line="240" w:lineRule="auto"/>
              <w:ind w:firstLine="0"/>
              <w:jc w:val="center"/>
            </w:pPr>
            <w:r>
              <w:rPr>
                <w:b w:val="0"/>
                <w:i w:val="0"/>
                <w:sz w:val="20"/>
              </w:rPr>
              <w:t>карбонатит</w:t>
            </w:r>
          </w:p>
        </w:tc>
        <w:tc>
          <w:tcPr>
            <w:tcW w:type="dxa" w:w="1425"/>
          </w:tcPr>
          <w:p>
            <w:pPr>
              <w:spacing w:after="0" w:line="240" w:lineRule="auto"/>
              <w:ind w:firstLine="0"/>
              <w:jc w:val="center"/>
            </w:pPr>
            <w:r>
              <w:rPr>
                <w:b w:val="0"/>
                <w:i w:val="0"/>
                <w:sz w:val="20"/>
              </w:rPr>
              <w:t>0,35</w:t>
            </w:r>
          </w:p>
        </w:tc>
        <w:tc>
          <w:tcPr>
            <w:tcW w:type="dxa" w:w="1425"/>
          </w:tcPr>
          <w:p>
            <w:pPr>
              <w:spacing w:after="0" w:line="240" w:lineRule="auto"/>
              <w:ind w:firstLine="0"/>
              <w:jc w:val="center"/>
            </w:pPr>
            <w:r>
              <w:rPr>
                <w:b w:val="0"/>
                <w:i w:val="0"/>
                <w:sz w:val="20"/>
              </w:rPr>
              <w:t>480</w:t>
            </w:r>
          </w:p>
        </w:tc>
        <w:tc>
          <w:tcPr>
            <w:tcW w:type="dxa" w:w="1425"/>
          </w:tcPr>
          <w:p>
            <w:pPr>
              <w:spacing w:after="0" w:line="240" w:lineRule="auto"/>
              <w:ind w:firstLine="0"/>
              <w:jc w:val="center"/>
            </w:pPr>
            <w:r>
              <w:rPr>
                <w:b w:val="0"/>
                <w:i w:val="0"/>
                <w:sz w:val="20"/>
              </w:rPr>
              <w:t>5,0</w:t>
            </w:r>
          </w:p>
        </w:tc>
        <w:tc>
          <w:tcPr>
            <w:tcW w:type="dxa" w:w="1425"/>
          </w:tcPr>
          <w:p>
            <w:pPr>
              <w:spacing w:after="0" w:line="240" w:lineRule="auto"/>
              <w:ind w:firstLine="0"/>
              <w:jc w:val="center"/>
            </w:pPr>
            <w:r>
              <w:rPr>
                <w:b w:val="0"/>
                <w:i w:val="0"/>
                <w:sz w:val="20"/>
              </w:rPr>
              <w:t>попутный (не извл.)</w:t>
            </w:r>
          </w:p>
        </w:tc>
      </w:tr>
    </w:tbl>
    <w:p>
      <w:pPr>
        <w:spacing w:after="180"/>
        <w:ind w:firstLine="0"/>
      </w:pPr>
      <w:r>
        <w:rPr>
          <w:i/>
          <w:sz w:val="20"/>
        </w:rPr>
        <w:t>Источник: аналитический центр по данным Государственного баланса запасов, публикаций ФГБУ «ВИМС», ЦНИГРИ, корпоративных раскрытий</w:t>
      </w:r>
    </w:p>
    <w:p>
      <w:pPr>
        <w:keepNext/>
        <w:spacing w:before="160" w:after="60"/>
        <w:ind w:firstLine="0"/>
        <w:jc w:val="left"/>
      </w:pPr>
      <w:r>
        <w:rPr>
          <w:b/>
          <w:sz w:val="22"/>
        </w:rPr>
        <w:t>Рисунок 51. Содержание TREO в рудах ключевых российских месторождений, %</w:t>
      </w:r>
    </w:p>
    <w:p>
      <w:pPr>
        <w:ind w:firstLine="0"/>
        <w:jc w:val="center"/>
      </w:pPr>
      <w:r>
        <w:drawing>
          <wp:inline xmlns:a="http://schemas.openxmlformats.org/drawingml/2006/main" xmlns:pic="http://schemas.openxmlformats.org/drawingml/2006/picture">
            <wp:extent cx="5580000" cy="2773684"/>
            <wp:docPr id="51" name="Picture 51"/>
            <wp:cNvGraphicFramePr>
              <a:graphicFrameLocks noChangeAspect="1"/>
            </wp:cNvGraphicFramePr>
            <a:graphic>
              <a:graphicData uri="http://schemas.openxmlformats.org/drawingml/2006/picture">
                <pic:pic>
                  <pic:nvPicPr>
                    <pic:cNvPr id="0" name="fig51.png"/>
                    <pic:cNvPicPr/>
                  </pic:nvPicPr>
                  <pic:blipFill>
                    <a:blip r:embed="rId61"/>
                    <a:stretch>
                      <a:fillRect/>
                    </a:stretch>
                  </pic:blipFill>
                  <pic:spPr>
                    <a:xfrm>
                      <a:off x="0" y="0"/>
                      <a:ext cx="5580000" cy="2773684"/>
                    </a:xfrm>
                    <a:prstGeom prst="rect"/>
                  </pic:spPr>
                </pic:pic>
              </a:graphicData>
            </a:graphic>
          </wp:inline>
        </w:drawing>
      </w:r>
    </w:p>
    <w:p>
      <w:pPr>
        <w:spacing w:after="180"/>
        <w:ind w:firstLine="0"/>
      </w:pPr>
      <w:r>
        <w:rPr>
          <w:i/>
          <w:sz w:val="20"/>
        </w:rPr>
        <w:t>Источник: аналитический центр (табл. 65)</w:t>
      </w:r>
    </w:p>
    <w:p>
      <w:pPr>
        <w:pStyle w:val="Heading2"/>
      </w:pPr>
      <w:r>
        <w:rPr>
          <w:b w:val="0"/>
          <w:i w:val="0"/>
        </w:rPr>
        <w:t>9.4. Прочие месторождения Российской Федерации</w:t>
      </w:r>
    </w:p>
    <w:p>
      <w:r>
        <w:rPr>
          <w:b/>
          <w:i w:val="0"/>
        </w:rPr>
        <w:t>Чуктуконское месторождение</w:t>
      </w:r>
      <w:r>
        <w:rPr>
          <w:b w:val="0"/>
          <w:i w:val="0"/>
        </w:rPr>
        <w:t xml:space="preserve"> (Красноярский край, Богучанский район) — кора выветривания карбонатитов, аналогичная томторской по генезису, но с меньшим содержанием (3,5–4,0% TREO) и лучшей логистикой: расположено в 90 км от Богучанской ГЭС и в зоне транспортной доступности. Запасы оцениваются в 1,0–1,2 млн т TREO. Помимо редких земель, руды содержат ниобий (Nb₂O₅ 0,9–1,1%) и марганец. Объект рассматривался в качестве альтернативы Томтору благодаря радикально более благоприятным инфраструктурным условиям и меньшей радиоактивности.</w:t>
      </w:r>
    </w:p>
    <w:p>
      <w:r>
        <w:rPr>
          <w:b/>
          <w:i w:val="0"/>
        </w:rPr>
        <w:t>Зашихинское месторождение</w:t>
      </w:r>
      <w:r>
        <w:rPr>
          <w:b w:val="0"/>
          <w:i w:val="0"/>
        </w:rPr>
        <w:t xml:space="preserve"> (Иркутская область, Нижнеудинский район) — редкометалльные метасоматиты с танталом, ниобием, цирконием и редкими землями. Содержание TREO невелико (0,3%), однако корзина отличается высокой долей тяжёлой группы (свыше 20%). Лицензия принадлежит ООО «Техноинвест Альянс». Проект предполагает создание горно-обогатительного комбината с производством коллективного концентрата.</w:t>
      </w:r>
    </w:p>
    <w:p>
      <w:r>
        <w:rPr>
          <w:b/>
          <w:i w:val="0"/>
        </w:rPr>
        <w:t>Катугинское месторождение</w:t>
      </w:r>
      <w:r>
        <w:rPr>
          <w:b w:val="0"/>
          <w:i w:val="0"/>
        </w:rPr>
        <w:t xml:space="preserve"> (Забайкальский край, Каларский район) — крупнейший в России объект тяжёлой корзины: доля тяжёлых элементов и иттрия достигает 28%. Комплексные руды содержат также цирконий, ниобий, тантал и криолит. Основное препятствие — сложность обогащения тонковкрапленных руд и отсутствие технологии, обеспечивающей приемлемое извлечение.</w:t>
      </w:r>
    </w:p>
    <w:p>
      <w:r>
        <w:rPr>
          <w:b/>
          <w:i w:val="0"/>
        </w:rPr>
        <w:t>Улуг-Танзекское месторождение</w:t>
      </w:r>
      <w:r>
        <w:rPr>
          <w:b w:val="0"/>
          <w:i w:val="0"/>
        </w:rPr>
        <w:t xml:space="preserve"> (Республика Тыва) — редкометалльные щелочные граниты с цирконием, ниобием, танталом и редкими землями тяжёлой группы.</w:t>
      </w:r>
    </w:p>
    <w:p>
      <w:r>
        <w:rPr>
          <w:b/>
          <w:i w:val="0"/>
        </w:rPr>
        <w:t>Африканда</w:t>
      </w:r>
      <w:r>
        <w:rPr>
          <w:b w:val="0"/>
          <w:i w:val="0"/>
        </w:rPr>
        <w:t xml:space="preserve"> (Мурманская область) — перовскит-титано-магнетитовые руды с попутными редкими землями. Проект компании «Аркминерал-Ресурс» ориентирован преимущественно на производство титанового сырья с попутным извлечением РЗМ (около 1,5–2,0 тыс. т TREO в год при выходе на проектную мощность).</w:t>
      </w:r>
    </w:p>
    <w:p>
      <w:r>
        <w:rPr>
          <w:b/>
          <w:i w:val="0"/>
        </w:rPr>
        <w:t>Белозиминское месторождение</w:t>
      </w:r>
      <w:r>
        <w:rPr>
          <w:b w:val="0"/>
          <w:i w:val="0"/>
        </w:rPr>
        <w:t xml:space="preserve"> (Иркутская область) — карбонатитовый объект с ниобием, танталом, редкими землями и фосфором; в советский период отрабатывался с получением пирохлорового концентрата.</w:t>
      </w:r>
    </w:p>
    <w:p>
      <w:r>
        <w:rPr>
          <w:b/>
          <w:i w:val="0"/>
        </w:rPr>
        <w:t>Селигдарское месторождение апатита</w:t>
      </w:r>
      <w:r>
        <w:rPr>
          <w:b w:val="0"/>
          <w:i w:val="0"/>
        </w:rPr>
        <w:t xml:space="preserve"> (Якутия), </w:t>
      </w:r>
      <w:r>
        <w:rPr>
          <w:b/>
          <w:i w:val="0"/>
        </w:rPr>
        <w:t>Ковдорское</w:t>
      </w:r>
      <w:r>
        <w:rPr>
          <w:b w:val="0"/>
          <w:i w:val="0"/>
        </w:rPr>
        <w:t xml:space="preserve"> (Мурманская область) — источники попутных редких земель в фосфатном сырье.</w:t>
      </w:r>
    </w:p>
    <w:p>
      <w:pPr>
        <w:pStyle w:val="Heading2"/>
      </w:pPr>
      <w:r>
        <w:rPr>
          <w:b w:val="0"/>
          <w:i w:val="0"/>
        </w:rPr>
        <w:t>9.5. Апатитовые руды Хибин и фосфогипс как источник редких земель</w:t>
      </w:r>
    </w:p>
    <w:p>
      <w:r>
        <w:rPr>
          <w:b w:val="0"/>
          <w:i w:val="0"/>
        </w:rPr>
        <w:t>Наиболее значимым по объёму и наименее используемым источником редких земель в России являются апатит-нефелиновые руды Хибинского массива.</w:t>
      </w:r>
    </w:p>
    <w:p>
      <w:r>
        <w:rPr>
          <w:b/>
          <w:i w:val="0"/>
        </w:rPr>
        <w:t>Механика вопроса.</w:t>
      </w:r>
      <w:r>
        <w:rPr>
          <w:b w:val="0"/>
          <w:i w:val="0"/>
        </w:rPr>
        <w:t xml:space="preserve"> Хибинский апатит содержит 0,4–1,0% TREO (в среднем около 0,9% в апатитовом концентрате), при этом редкие земли изоморфно входят в структуру апатита, замещая кальций. При производстве экстракционной фосфорной кислоты (ЭФК) сернокислотным способом редкие земли распределяются между двумя потоками: 60–75% переходит в фосфогипс, 25–40% остаётся в кислоте и далее — в удобрениях.</w:t>
      </w:r>
    </w:p>
    <w:p>
      <w:r>
        <w:rPr>
          <w:b w:val="0"/>
          <w:i w:val="0"/>
        </w:rPr>
        <w:t>Ежегодный объём добычи апатитового концентрата в России составляет порядка 12–13 млн т, что соответствует 100–110 тыс. т TREO — величине, сопоставимой с половиной мирового потребления. Из них около 6–7 млн т концентрата перерабатывается на ЭФК внутри страны, что даёт 55–65 тыс. т TREO, поступающих в фосфогипс и удобрения.</w:t>
      </w:r>
    </w:p>
    <w:p>
      <w:r>
        <w:rPr>
          <w:b/>
          <w:i w:val="0"/>
        </w:rPr>
        <w:t>Накопленный фосфогипс.</w:t>
      </w:r>
      <w:r>
        <w:rPr>
          <w:b w:val="0"/>
          <w:i w:val="0"/>
        </w:rPr>
        <w:t xml:space="preserve"> В России накоплено свыше 300 млн т фосфогипса (крупнейшие отвалы — Балаковский, Череповецкий, Воскресенский, Кингисеппский), содержащих, по различным оценкам, 1,0–1,5 млн т TREO.</w:t>
      </w:r>
    </w:p>
    <w:p>
      <w:r>
        <w:rPr>
          <w:b/>
          <w:i w:val="0"/>
        </w:rPr>
        <w:t>Технологические подходы:</w:t>
      </w:r>
    </w:p>
    <w:p>
      <w:pPr>
        <w:pStyle w:val="ListNumber"/>
        <w:spacing w:after="20"/>
        <w:ind w:firstLine="0"/>
      </w:pPr>
      <w:r>
        <w:rPr>
          <w:b/>
          <w:i w:val="0"/>
        </w:rPr>
        <w:t>Извлечение из ЭФК</w:t>
      </w:r>
      <w:r>
        <w:rPr>
          <w:b w:val="0"/>
          <w:i w:val="0"/>
        </w:rPr>
        <w:t xml:space="preserve"> — сорбционное или экстракционное выделение редких земель непосредственно из кислоты. Преимущество — концентрирование в жидкой фазе; недостаток — низкая концентрация и загрязнённость примесями;</w:t>
      </w:r>
    </w:p>
    <w:p>
      <w:pPr>
        <w:pStyle w:val="ListNumber"/>
        <w:spacing w:after="20"/>
        <w:ind w:firstLine="0"/>
      </w:pPr>
      <w:r>
        <w:rPr>
          <w:b/>
          <w:i w:val="0"/>
        </w:rPr>
        <w:t>Выщелачивание фосфогипса</w:t>
      </w:r>
      <w:r>
        <w:rPr>
          <w:b w:val="0"/>
          <w:i w:val="0"/>
        </w:rPr>
        <w:t xml:space="preserve"> — сернокислотное или азотнокислотное. Преимущество — использование накопленного отвального материала, отсутствие затрат на добычу; недостаток — большие объёмы перерабатываемого материала при низком содержании;</w:t>
      </w:r>
    </w:p>
    <w:p>
      <w:pPr>
        <w:pStyle w:val="ListNumber"/>
        <w:spacing w:after="20"/>
        <w:ind w:firstLine="0"/>
      </w:pPr>
      <w:r>
        <w:rPr>
          <w:b/>
          <w:i w:val="0"/>
        </w:rPr>
        <w:t>Модификация схемы получения ЭФК</w:t>
      </w:r>
      <w:r>
        <w:rPr>
          <w:b w:val="0"/>
          <w:i w:val="0"/>
        </w:rPr>
        <w:t xml:space="preserve"> — переход на технологии, обеспечивающие направленное концентрирование редких земель.</w:t>
      </w:r>
    </w:p>
    <w:p>
      <w:r>
        <w:rPr>
          <w:b w:val="0"/>
          <w:i w:val="0"/>
        </w:rPr>
        <w:t>Экономика извлечения зависит от того, относятся ли затраты на добычу и первичную переработку на основной продукт (удобрения). При таком подходе себестоимость TREO из фосфогипса оценивается в 12–20 долл./кг, что сопоставимо с китайским уровнем. Однако корзина хибинского сырья лёгкая (доля NdPr около 20%, тяжёлой группы — менее 2%), что ограничивает корзиночную стоимость на уровне 15 долл./кг TREO при ценах 2025 г.</w:t>
      </w:r>
    </w:p>
    <w:p>
      <w:pPr>
        <w:keepNext/>
        <w:spacing w:before="160" w:after="60"/>
        <w:ind w:firstLine="0"/>
        <w:jc w:val="left"/>
      </w:pPr>
      <w:r>
        <w:rPr>
          <w:b/>
          <w:sz w:val="22"/>
        </w:rPr>
        <w:t>Таблица 66. Оценка редкоземельного потенциала фосфатного сырья Российской Федерации</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Показатель</w:t>
            </w:r>
          </w:p>
        </w:tc>
        <w:tc>
          <w:tcPr>
            <w:tcW w:type="dxa" w:w="2493"/>
            <w:shd w:val="clear" w:fill="DCE6F1"/>
          </w:tcPr>
          <w:p>
            <w:pPr>
              <w:spacing w:after="0" w:line="240" w:lineRule="auto"/>
              <w:ind w:firstLine="0"/>
              <w:jc w:val="center"/>
            </w:pPr>
            <w:r>
              <w:rPr>
                <w:b/>
                <w:i w:val="0"/>
                <w:sz w:val="20"/>
              </w:rPr>
              <w:t>Значение</w:t>
            </w:r>
          </w:p>
        </w:tc>
        <w:tc>
          <w:tcPr>
            <w:tcW w:type="dxa" w:w="2493"/>
            <w:shd w:val="clear" w:fill="DCE6F1"/>
          </w:tcPr>
          <w:p>
            <w:pPr>
              <w:spacing w:after="0" w:line="240" w:lineRule="auto"/>
              <w:ind w:firstLine="0"/>
              <w:jc w:val="center"/>
            </w:pPr>
            <w:r>
              <w:rPr>
                <w:b/>
                <w:i w:val="0"/>
                <w:sz w:val="20"/>
              </w:rPr>
              <w:t>Единица</w:t>
            </w:r>
          </w:p>
        </w:tc>
        <w:tc>
          <w:tcPr>
            <w:tcW w:type="dxa" w:w="2493"/>
            <w:shd w:val="clear" w:fill="DCE6F1"/>
          </w:tcPr>
          <w:p>
            <w:pPr>
              <w:spacing w:after="0" w:line="240" w:lineRule="auto"/>
              <w:ind w:firstLine="0"/>
              <w:jc w:val="center"/>
            </w:pPr>
            <w:r>
              <w:rPr>
                <w:b/>
                <w:i w:val="0"/>
                <w:sz w:val="20"/>
              </w:rPr>
              <w:t>Примечание</w:t>
            </w:r>
          </w:p>
        </w:tc>
      </w:tr>
      <w:tr>
        <w:tc>
          <w:tcPr>
            <w:tcW w:type="dxa" w:w="2493"/>
          </w:tcPr>
          <w:p>
            <w:pPr>
              <w:spacing w:after="0" w:line="240" w:lineRule="auto"/>
              <w:ind w:firstLine="0"/>
              <w:jc w:val="left"/>
            </w:pPr>
            <w:r>
              <w:rPr>
                <w:b w:val="0"/>
                <w:i w:val="0"/>
                <w:sz w:val="20"/>
              </w:rPr>
              <w:t>Добыча апатитового концентрата</w:t>
            </w:r>
          </w:p>
        </w:tc>
        <w:tc>
          <w:tcPr>
            <w:tcW w:type="dxa" w:w="2493"/>
          </w:tcPr>
          <w:p>
            <w:pPr>
              <w:spacing w:after="0" w:line="240" w:lineRule="auto"/>
              <w:ind w:firstLine="0"/>
              <w:jc w:val="center"/>
            </w:pPr>
            <w:r>
              <w:rPr>
                <w:b w:val="0"/>
                <w:i w:val="0"/>
                <w:sz w:val="20"/>
              </w:rPr>
              <w:t>12,5</w:t>
            </w:r>
          </w:p>
        </w:tc>
        <w:tc>
          <w:tcPr>
            <w:tcW w:type="dxa" w:w="2493"/>
          </w:tcPr>
          <w:p>
            <w:pPr>
              <w:spacing w:after="0" w:line="240" w:lineRule="auto"/>
              <w:ind w:firstLine="0"/>
              <w:jc w:val="center"/>
            </w:pPr>
            <w:r>
              <w:rPr>
                <w:b w:val="0"/>
                <w:i w:val="0"/>
                <w:sz w:val="20"/>
              </w:rPr>
              <w:t>млн т/год</w:t>
            </w:r>
          </w:p>
        </w:tc>
        <w:tc>
          <w:tcPr>
            <w:tcW w:type="dxa" w:w="2493"/>
          </w:tcPr>
          <w:p>
            <w:pPr>
              <w:spacing w:after="0" w:line="240" w:lineRule="auto"/>
              <w:ind w:firstLine="0"/>
              <w:jc w:val="center"/>
            </w:pPr>
            <w:r>
              <w:rPr>
                <w:b w:val="0"/>
                <w:i w:val="0"/>
                <w:sz w:val="20"/>
              </w:rPr>
              <w:t>ФосАгро, ЕвроХим, Акрон</w:t>
            </w:r>
          </w:p>
        </w:tc>
      </w:tr>
      <w:tr>
        <w:tc>
          <w:tcPr>
            <w:tcW w:type="dxa" w:w="2493"/>
          </w:tcPr>
          <w:p>
            <w:pPr>
              <w:spacing w:after="0" w:line="240" w:lineRule="auto"/>
              <w:ind w:firstLine="0"/>
              <w:jc w:val="left"/>
            </w:pPr>
            <w:r>
              <w:rPr>
                <w:b w:val="0"/>
                <w:i w:val="0"/>
                <w:sz w:val="20"/>
              </w:rPr>
              <w:t>Среднее содержание TREO</w:t>
            </w:r>
          </w:p>
        </w:tc>
        <w:tc>
          <w:tcPr>
            <w:tcW w:type="dxa" w:w="2493"/>
          </w:tcPr>
          <w:p>
            <w:pPr>
              <w:spacing w:after="0" w:line="240" w:lineRule="auto"/>
              <w:ind w:firstLine="0"/>
              <w:jc w:val="center"/>
            </w:pPr>
            <w:r>
              <w:rPr>
                <w:b w:val="0"/>
                <w:i w:val="0"/>
                <w:sz w:val="20"/>
              </w:rPr>
              <w:t>0,88</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в концентрате</w:t>
            </w:r>
          </w:p>
        </w:tc>
      </w:tr>
      <w:tr>
        <w:tc>
          <w:tcPr>
            <w:tcW w:type="dxa" w:w="2493"/>
          </w:tcPr>
          <w:p>
            <w:pPr>
              <w:spacing w:after="0" w:line="240" w:lineRule="auto"/>
              <w:ind w:firstLine="0"/>
              <w:jc w:val="left"/>
            </w:pPr>
            <w:r>
              <w:rPr>
                <w:b w:val="0"/>
                <w:i w:val="0"/>
                <w:sz w:val="20"/>
              </w:rPr>
              <w:t>Валовое содержание TREO в добыче</w:t>
            </w:r>
          </w:p>
        </w:tc>
        <w:tc>
          <w:tcPr>
            <w:tcW w:type="dxa" w:w="2493"/>
          </w:tcPr>
          <w:p>
            <w:pPr>
              <w:spacing w:after="0" w:line="240" w:lineRule="auto"/>
              <w:ind w:firstLine="0"/>
              <w:jc w:val="center"/>
            </w:pPr>
            <w:r>
              <w:rPr>
                <w:b w:val="0"/>
                <w:i w:val="0"/>
                <w:sz w:val="20"/>
              </w:rPr>
              <w:t>110</w:t>
            </w:r>
          </w:p>
        </w:tc>
        <w:tc>
          <w:tcPr>
            <w:tcW w:type="dxa" w:w="2493"/>
          </w:tcPr>
          <w:p>
            <w:pPr>
              <w:spacing w:after="0" w:line="240" w:lineRule="auto"/>
              <w:ind w:firstLine="0"/>
              <w:jc w:val="center"/>
            </w:pPr>
            <w:r>
              <w:rPr>
                <w:b w:val="0"/>
                <w:i w:val="0"/>
                <w:sz w:val="20"/>
              </w:rPr>
              <w:t>тыс. т/год</w:t>
            </w:r>
          </w:p>
        </w:tc>
        <w:tc>
          <w:tcPr>
            <w:tcW w:type="dxa" w:w="2493"/>
          </w:tcPr>
          <w:p>
            <w:pPr>
              <w:spacing w:after="0" w:line="240" w:lineRule="auto"/>
              <w:ind w:firstLine="0"/>
              <w:jc w:val="center"/>
            </w:pPr>
            <w:r>
              <w:rPr>
                <w:b w:val="0"/>
                <w:i w:val="0"/>
                <w:sz w:val="20"/>
              </w:rPr>
              <w:t>потенциал</w:t>
            </w:r>
          </w:p>
        </w:tc>
      </w:tr>
      <w:tr>
        <w:tc>
          <w:tcPr>
            <w:tcW w:type="dxa" w:w="2493"/>
          </w:tcPr>
          <w:p>
            <w:pPr>
              <w:spacing w:after="0" w:line="240" w:lineRule="auto"/>
              <w:ind w:firstLine="0"/>
              <w:jc w:val="left"/>
            </w:pPr>
            <w:r>
              <w:rPr>
                <w:b w:val="0"/>
                <w:i w:val="0"/>
                <w:sz w:val="20"/>
              </w:rPr>
              <w:t>Переработка на ЭФК в РФ</w:t>
            </w:r>
          </w:p>
        </w:tc>
        <w:tc>
          <w:tcPr>
            <w:tcW w:type="dxa" w:w="2493"/>
          </w:tcPr>
          <w:p>
            <w:pPr>
              <w:spacing w:after="0" w:line="240" w:lineRule="auto"/>
              <w:ind w:firstLine="0"/>
              <w:jc w:val="center"/>
            </w:pPr>
            <w:r>
              <w:rPr>
                <w:b w:val="0"/>
                <w:i w:val="0"/>
                <w:sz w:val="20"/>
              </w:rPr>
              <w:t>6,8</w:t>
            </w:r>
          </w:p>
        </w:tc>
        <w:tc>
          <w:tcPr>
            <w:tcW w:type="dxa" w:w="2493"/>
          </w:tcPr>
          <w:p>
            <w:pPr>
              <w:spacing w:after="0" w:line="240" w:lineRule="auto"/>
              <w:ind w:firstLine="0"/>
              <w:jc w:val="center"/>
            </w:pPr>
            <w:r>
              <w:rPr>
                <w:b w:val="0"/>
                <w:i w:val="0"/>
                <w:sz w:val="20"/>
              </w:rPr>
              <w:t>млн т/год</w:t>
            </w:r>
          </w:p>
        </w:tc>
        <w:tc>
          <w:tcPr>
            <w:tcW w:type="dxa" w:w="2493"/>
          </w:tcPr>
          <w:p>
            <w:pPr>
              <w:spacing w:after="0" w:line="240" w:lineRule="auto"/>
              <w:ind w:firstLine="0"/>
              <w:jc w:val="center"/>
            </w:pPr>
            <w:r>
              <w:rPr>
                <w:b w:val="0"/>
                <w:i w:val="0"/>
                <w:sz w:val="20"/>
              </w:rPr>
              <w:t>концентрата</w:t>
            </w:r>
          </w:p>
        </w:tc>
      </w:tr>
      <w:tr>
        <w:tc>
          <w:tcPr>
            <w:tcW w:type="dxa" w:w="2493"/>
          </w:tcPr>
          <w:p>
            <w:pPr>
              <w:spacing w:after="0" w:line="240" w:lineRule="auto"/>
              <w:ind w:firstLine="0"/>
              <w:jc w:val="left"/>
            </w:pPr>
            <w:r>
              <w:rPr>
                <w:b w:val="0"/>
                <w:i w:val="0"/>
                <w:sz w:val="20"/>
              </w:rPr>
              <w:t>TREO в потоке ЭФК</w:t>
            </w:r>
          </w:p>
        </w:tc>
        <w:tc>
          <w:tcPr>
            <w:tcW w:type="dxa" w:w="2493"/>
          </w:tcPr>
          <w:p>
            <w:pPr>
              <w:spacing w:after="0" w:line="240" w:lineRule="auto"/>
              <w:ind w:firstLine="0"/>
              <w:jc w:val="center"/>
            </w:pPr>
            <w:r>
              <w:rPr>
                <w:b w:val="0"/>
                <w:i w:val="0"/>
                <w:sz w:val="20"/>
              </w:rPr>
              <w:t>60</w:t>
            </w:r>
          </w:p>
        </w:tc>
        <w:tc>
          <w:tcPr>
            <w:tcW w:type="dxa" w:w="2493"/>
          </w:tcPr>
          <w:p>
            <w:pPr>
              <w:spacing w:after="0" w:line="240" w:lineRule="auto"/>
              <w:ind w:firstLine="0"/>
              <w:jc w:val="center"/>
            </w:pPr>
            <w:r>
              <w:rPr>
                <w:b w:val="0"/>
                <w:i w:val="0"/>
                <w:sz w:val="20"/>
              </w:rPr>
              <w:t>тыс. т/год</w:t>
            </w:r>
          </w:p>
        </w:tc>
        <w:tc>
          <w:tcPr>
            <w:tcW w:type="dxa" w:w="2493"/>
          </w:tcPr>
          <w:p>
            <w:pPr>
              <w:spacing w:after="0" w:line="240" w:lineRule="auto"/>
              <w:ind w:firstLine="0"/>
              <w:jc w:val="center"/>
            </w:pPr>
            <w:r>
              <w:rPr>
                <w:b w:val="0"/>
                <w:i w:val="0"/>
                <w:sz w:val="20"/>
              </w:rPr>
              <w:t>доступный потенциал</w:t>
            </w:r>
          </w:p>
        </w:tc>
      </w:tr>
      <w:tr>
        <w:tc>
          <w:tcPr>
            <w:tcW w:type="dxa" w:w="2493"/>
          </w:tcPr>
          <w:p>
            <w:pPr>
              <w:spacing w:after="0" w:line="240" w:lineRule="auto"/>
              <w:ind w:firstLine="0"/>
              <w:jc w:val="left"/>
            </w:pPr>
            <w:r>
              <w:rPr>
                <w:b w:val="0"/>
                <w:i w:val="0"/>
                <w:sz w:val="20"/>
              </w:rPr>
              <w:t>Переход в фосфогипс</w:t>
            </w:r>
          </w:p>
        </w:tc>
        <w:tc>
          <w:tcPr>
            <w:tcW w:type="dxa" w:w="2493"/>
          </w:tcPr>
          <w:p>
            <w:pPr>
              <w:spacing w:after="0" w:line="240" w:lineRule="auto"/>
              <w:ind w:firstLine="0"/>
              <w:jc w:val="center"/>
            </w:pPr>
            <w:r>
              <w:rPr>
                <w:b w:val="0"/>
                <w:i w:val="0"/>
                <w:sz w:val="20"/>
              </w:rPr>
              <w:t>42</w:t>
            </w:r>
          </w:p>
        </w:tc>
        <w:tc>
          <w:tcPr>
            <w:tcW w:type="dxa" w:w="2493"/>
          </w:tcPr>
          <w:p>
            <w:pPr>
              <w:spacing w:after="0" w:line="240" w:lineRule="auto"/>
              <w:ind w:firstLine="0"/>
              <w:jc w:val="center"/>
            </w:pPr>
            <w:r>
              <w:rPr>
                <w:b w:val="0"/>
                <w:i w:val="0"/>
                <w:sz w:val="20"/>
              </w:rPr>
              <w:t>тыс. т/год</w:t>
            </w:r>
          </w:p>
        </w:tc>
        <w:tc>
          <w:tcPr>
            <w:tcW w:type="dxa" w:w="2493"/>
          </w:tcPr>
          <w:p>
            <w:pPr>
              <w:spacing w:after="0" w:line="240" w:lineRule="auto"/>
              <w:ind w:firstLine="0"/>
              <w:jc w:val="center"/>
            </w:pPr>
            <w:r>
              <w:rPr>
                <w:b w:val="0"/>
                <w:i w:val="0"/>
                <w:sz w:val="20"/>
              </w:rPr>
              <w:t>70% от потока</w:t>
            </w:r>
          </w:p>
        </w:tc>
      </w:tr>
      <w:tr>
        <w:tc>
          <w:tcPr>
            <w:tcW w:type="dxa" w:w="2493"/>
          </w:tcPr>
          <w:p>
            <w:pPr>
              <w:spacing w:after="0" w:line="240" w:lineRule="auto"/>
              <w:ind w:firstLine="0"/>
              <w:jc w:val="left"/>
            </w:pPr>
            <w:r>
              <w:rPr>
                <w:b w:val="0"/>
                <w:i w:val="0"/>
                <w:sz w:val="20"/>
              </w:rPr>
              <w:t>Накопленный фосфогипс</w:t>
            </w:r>
          </w:p>
        </w:tc>
        <w:tc>
          <w:tcPr>
            <w:tcW w:type="dxa" w:w="2493"/>
          </w:tcPr>
          <w:p>
            <w:pPr>
              <w:spacing w:after="0" w:line="240" w:lineRule="auto"/>
              <w:ind w:firstLine="0"/>
              <w:jc w:val="center"/>
            </w:pPr>
            <w:r>
              <w:rPr>
                <w:b w:val="0"/>
                <w:i w:val="0"/>
                <w:sz w:val="20"/>
              </w:rPr>
              <w:t>310</w:t>
            </w:r>
          </w:p>
        </w:tc>
        <w:tc>
          <w:tcPr>
            <w:tcW w:type="dxa" w:w="2493"/>
          </w:tcPr>
          <w:p>
            <w:pPr>
              <w:spacing w:after="0" w:line="240" w:lineRule="auto"/>
              <w:ind w:firstLine="0"/>
              <w:jc w:val="center"/>
            </w:pPr>
            <w:r>
              <w:rPr>
                <w:b w:val="0"/>
                <w:i w:val="0"/>
                <w:sz w:val="20"/>
              </w:rPr>
              <w:t>млн т</w:t>
            </w:r>
          </w:p>
        </w:tc>
        <w:tc>
          <w:tcPr>
            <w:tcW w:type="dxa" w:w="2493"/>
          </w:tcPr>
          <w:p>
            <w:pPr>
              <w:spacing w:after="0" w:line="240" w:lineRule="auto"/>
              <w:ind w:firstLine="0"/>
              <w:jc w:val="center"/>
            </w:pPr>
            <w:r>
              <w:rPr>
                <w:b w:val="0"/>
                <w:i w:val="0"/>
                <w:sz w:val="20"/>
              </w:rPr>
              <w:t>отвалы</w:t>
            </w:r>
          </w:p>
        </w:tc>
      </w:tr>
      <w:tr>
        <w:tc>
          <w:tcPr>
            <w:tcW w:type="dxa" w:w="2493"/>
          </w:tcPr>
          <w:p>
            <w:pPr>
              <w:spacing w:after="0" w:line="240" w:lineRule="auto"/>
              <w:ind w:firstLine="0"/>
              <w:jc w:val="left"/>
            </w:pPr>
            <w:r>
              <w:rPr>
                <w:b w:val="0"/>
                <w:i w:val="0"/>
                <w:sz w:val="20"/>
              </w:rPr>
              <w:t>TREO в накопленном фосфогипсе</w:t>
            </w:r>
          </w:p>
        </w:tc>
        <w:tc>
          <w:tcPr>
            <w:tcW w:type="dxa" w:w="2493"/>
          </w:tcPr>
          <w:p>
            <w:pPr>
              <w:spacing w:after="0" w:line="240" w:lineRule="auto"/>
              <w:ind w:firstLine="0"/>
              <w:jc w:val="center"/>
            </w:pPr>
            <w:r>
              <w:rPr>
                <w:b w:val="0"/>
                <w:i w:val="0"/>
                <w:sz w:val="20"/>
              </w:rPr>
              <w:t>1 300</w:t>
            </w:r>
          </w:p>
        </w:tc>
        <w:tc>
          <w:tcPr>
            <w:tcW w:type="dxa" w:w="2493"/>
          </w:tcPr>
          <w:p>
            <w:pPr>
              <w:spacing w:after="0" w:line="240" w:lineRule="auto"/>
              <w:ind w:firstLine="0"/>
              <w:jc w:val="center"/>
            </w:pPr>
            <w:r>
              <w:rPr>
                <w:b w:val="0"/>
                <w:i w:val="0"/>
                <w:sz w:val="20"/>
              </w:rPr>
              <w:t>тыс. т</w:t>
            </w:r>
          </w:p>
        </w:tc>
        <w:tc>
          <w:tcPr>
            <w:tcW w:type="dxa" w:w="2493"/>
          </w:tcPr>
          <w:p>
            <w:pPr>
              <w:spacing w:after="0" w:line="240" w:lineRule="auto"/>
              <w:ind w:firstLine="0"/>
              <w:jc w:val="center"/>
            </w:pPr>
            <w:r>
              <w:rPr>
                <w:b w:val="0"/>
                <w:i w:val="0"/>
                <w:sz w:val="20"/>
              </w:rPr>
              <w:t>расчётно</w:t>
            </w:r>
          </w:p>
        </w:tc>
      </w:tr>
      <w:tr>
        <w:tc>
          <w:tcPr>
            <w:tcW w:type="dxa" w:w="2493"/>
          </w:tcPr>
          <w:p>
            <w:pPr>
              <w:spacing w:after="0" w:line="240" w:lineRule="auto"/>
              <w:ind w:firstLine="0"/>
              <w:jc w:val="left"/>
            </w:pPr>
            <w:r>
              <w:rPr>
                <w:b w:val="0"/>
                <w:i w:val="0"/>
                <w:sz w:val="20"/>
              </w:rPr>
              <w:t>Реалистично извлекаемый объём</w:t>
            </w:r>
          </w:p>
        </w:tc>
        <w:tc>
          <w:tcPr>
            <w:tcW w:type="dxa" w:w="2493"/>
          </w:tcPr>
          <w:p>
            <w:pPr>
              <w:spacing w:after="0" w:line="240" w:lineRule="auto"/>
              <w:ind w:firstLine="0"/>
              <w:jc w:val="center"/>
            </w:pPr>
            <w:r>
              <w:rPr>
                <w:b w:val="0"/>
                <w:i w:val="0"/>
                <w:sz w:val="20"/>
              </w:rPr>
              <w:t>3–6</w:t>
            </w:r>
          </w:p>
        </w:tc>
        <w:tc>
          <w:tcPr>
            <w:tcW w:type="dxa" w:w="2493"/>
          </w:tcPr>
          <w:p>
            <w:pPr>
              <w:spacing w:after="0" w:line="240" w:lineRule="auto"/>
              <w:ind w:firstLine="0"/>
              <w:jc w:val="center"/>
            </w:pPr>
            <w:r>
              <w:rPr>
                <w:b w:val="0"/>
                <w:i w:val="0"/>
                <w:sz w:val="20"/>
              </w:rPr>
              <w:t>тыс. т/год</w:t>
            </w:r>
          </w:p>
        </w:tc>
        <w:tc>
          <w:tcPr>
            <w:tcW w:type="dxa" w:w="2493"/>
          </w:tcPr>
          <w:p>
            <w:pPr>
              <w:spacing w:after="0" w:line="240" w:lineRule="auto"/>
              <w:ind w:firstLine="0"/>
              <w:jc w:val="center"/>
            </w:pPr>
            <w:r>
              <w:rPr>
                <w:b w:val="0"/>
                <w:i w:val="0"/>
                <w:sz w:val="20"/>
              </w:rPr>
              <w:t>при освоении технологии</w:t>
            </w:r>
          </w:p>
        </w:tc>
      </w:tr>
    </w:tbl>
    <w:p>
      <w:pPr>
        <w:spacing w:after="180"/>
        <w:ind w:firstLine="0"/>
      </w:pPr>
      <w:r>
        <w:rPr>
          <w:i/>
          <w:sz w:val="20"/>
        </w:rPr>
        <w:t>Источник: расчёт аналитического центра по данным о производстве апатитового концентрата и содержании РЗМ</w:t>
      </w:r>
    </w:p>
    <w:p>
      <w:pPr>
        <w:keepNext/>
        <w:spacing w:before="160" w:after="60"/>
        <w:ind w:firstLine="0"/>
        <w:jc w:val="left"/>
      </w:pPr>
      <w:r>
        <w:rPr>
          <w:b/>
          <w:sz w:val="22"/>
        </w:rPr>
        <w:t>Рисунок 52. Сопоставление редкоземельного потенциала источников РФ, тыс. т TREO в год</w:t>
      </w:r>
    </w:p>
    <w:p>
      <w:pPr>
        <w:ind w:firstLine="0"/>
        <w:jc w:val="center"/>
      </w:pPr>
      <w:r>
        <w:drawing>
          <wp:inline xmlns:a="http://schemas.openxmlformats.org/drawingml/2006/main" xmlns:pic="http://schemas.openxmlformats.org/drawingml/2006/picture">
            <wp:extent cx="5580000" cy="2385652"/>
            <wp:docPr id="52" name="Picture 52"/>
            <wp:cNvGraphicFramePr>
              <a:graphicFrameLocks noChangeAspect="1"/>
            </wp:cNvGraphicFramePr>
            <a:graphic>
              <a:graphicData uri="http://schemas.openxmlformats.org/drawingml/2006/picture">
                <pic:pic>
                  <pic:nvPicPr>
                    <pic:cNvPr id="0" name="fig52.png"/>
                    <pic:cNvPicPr/>
                  </pic:nvPicPr>
                  <pic:blipFill>
                    <a:blip r:embed="rId62"/>
                    <a:stretch>
                      <a:fillRect/>
                    </a:stretch>
                  </pic:blipFill>
                  <pic:spPr>
                    <a:xfrm>
                      <a:off x="0" y="0"/>
                      <a:ext cx="5580000" cy="2385652"/>
                    </a:xfrm>
                    <a:prstGeom prst="rect"/>
                  </pic:spPr>
                </pic:pic>
              </a:graphicData>
            </a:graphic>
          </wp:inline>
        </w:drawing>
      </w:r>
    </w:p>
    <w:p>
      <w:pPr>
        <w:spacing w:after="180"/>
        <w:ind w:firstLine="0"/>
      </w:pPr>
      <w:r>
        <w:rPr>
          <w:i/>
          <w:sz w:val="20"/>
        </w:rPr>
        <w:t>Источник: расчёт аналитического центра</w:t>
      </w:r>
    </w:p>
    <w:p>
      <w:pPr>
        <w:pStyle w:val="Heading2"/>
      </w:pPr>
      <w:r>
        <w:rPr>
          <w:b w:val="0"/>
          <w:i w:val="0"/>
        </w:rPr>
        <w:t>9.6. Проблема корзины российского сырья</w:t>
      </w:r>
    </w:p>
    <w:p>
      <w:r>
        <w:rPr>
          <w:b w:val="0"/>
          <w:i w:val="0"/>
        </w:rPr>
        <w:t>Совокупная оценка российской сырьевой базы с точки зрения структуры корзины приводит к выводу, определяющему стратегические перспективы отрасли.</w:t>
      </w:r>
    </w:p>
    <w:p>
      <w:pPr>
        <w:keepNext/>
        <w:spacing w:before="160" w:after="60"/>
        <w:ind w:firstLine="0"/>
        <w:jc w:val="left"/>
      </w:pPr>
      <w:r>
        <w:rPr>
          <w:b/>
          <w:sz w:val="22"/>
        </w:rPr>
        <w:t>Таблица 67. Расчётная структура корзины редкоземельного сырья российских объектов, % от TREO</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Объект</w:t>
            </w:r>
          </w:p>
        </w:tc>
        <w:tc>
          <w:tcPr>
            <w:tcW w:type="dxa" w:w="1425"/>
            <w:shd w:val="clear" w:fill="DCE6F1"/>
          </w:tcPr>
          <w:p>
            <w:pPr>
              <w:spacing w:after="0" w:line="240" w:lineRule="auto"/>
              <w:ind w:firstLine="0"/>
              <w:jc w:val="center"/>
            </w:pPr>
            <w:r>
              <w:rPr>
                <w:b/>
                <w:i w:val="0"/>
                <w:sz w:val="20"/>
              </w:rPr>
              <w:t>La+Ce</w:t>
            </w:r>
          </w:p>
        </w:tc>
        <w:tc>
          <w:tcPr>
            <w:tcW w:type="dxa" w:w="1425"/>
            <w:shd w:val="clear" w:fill="DCE6F1"/>
          </w:tcPr>
          <w:p>
            <w:pPr>
              <w:spacing w:after="0" w:line="240" w:lineRule="auto"/>
              <w:ind w:firstLine="0"/>
              <w:jc w:val="center"/>
            </w:pPr>
            <w:r>
              <w:rPr>
                <w:b/>
                <w:i w:val="0"/>
                <w:sz w:val="20"/>
              </w:rPr>
              <w:t>Nd+Pr</w:t>
            </w:r>
          </w:p>
        </w:tc>
        <w:tc>
          <w:tcPr>
            <w:tcW w:type="dxa" w:w="1425"/>
            <w:shd w:val="clear" w:fill="DCE6F1"/>
          </w:tcPr>
          <w:p>
            <w:pPr>
              <w:spacing w:after="0" w:line="240" w:lineRule="auto"/>
              <w:ind w:firstLine="0"/>
              <w:jc w:val="center"/>
            </w:pPr>
            <w:r>
              <w:rPr>
                <w:b/>
                <w:i w:val="0"/>
                <w:sz w:val="20"/>
              </w:rPr>
              <w:t>Sm–Gd</w:t>
            </w:r>
          </w:p>
        </w:tc>
        <w:tc>
          <w:tcPr>
            <w:tcW w:type="dxa" w:w="1425"/>
            <w:shd w:val="clear" w:fill="DCE6F1"/>
          </w:tcPr>
          <w:p>
            <w:pPr>
              <w:spacing w:after="0" w:line="240" w:lineRule="auto"/>
              <w:ind w:firstLine="0"/>
              <w:jc w:val="center"/>
            </w:pPr>
            <w:r>
              <w:rPr>
                <w:b/>
                <w:i w:val="0"/>
                <w:sz w:val="20"/>
              </w:rPr>
              <w:t>Tb+Dy</w:t>
            </w:r>
          </w:p>
        </w:tc>
        <w:tc>
          <w:tcPr>
            <w:tcW w:type="dxa" w:w="1425"/>
            <w:shd w:val="clear" w:fill="DCE6F1"/>
          </w:tcPr>
          <w:p>
            <w:pPr>
              <w:spacing w:after="0" w:line="240" w:lineRule="auto"/>
              <w:ind w:firstLine="0"/>
              <w:jc w:val="center"/>
            </w:pPr>
            <w:r>
              <w:rPr>
                <w:b/>
                <w:i w:val="0"/>
                <w:sz w:val="20"/>
              </w:rPr>
              <w:t>Ho–Lu</w:t>
            </w:r>
          </w:p>
        </w:tc>
        <w:tc>
          <w:tcPr>
            <w:tcW w:type="dxa" w:w="1425"/>
            <w:shd w:val="clear" w:fill="DCE6F1"/>
          </w:tcPr>
          <w:p>
            <w:pPr>
              <w:spacing w:after="0" w:line="240" w:lineRule="auto"/>
              <w:ind w:firstLine="0"/>
              <w:jc w:val="center"/>
            </w:pPr>
            <w:r>
              <w:rPr>
                <w:b/>
                <w:i w:val="0"/>
                <w:sz w:val="20"/>
              </w:rPr>
              <w:t>Y</w:t>
            </w:r>
          </w:p>
        </w:tc>
      </w:tr>
      <w:tr>
        <w:tc>
          <w:tcPr>
            <w:tcW w:type="dxa" w:w="1425"/>
          </w:tcPr>
          <w:p>
            <w:pPr>
              <w:spacing w:after="0" w:line="240" w:lineRule="auto"/>
              <w:ind w:firstLine="0"/>
              <w:jc w:val="left"/>
            </w:pPr>
            <w:r>
              <w:rPr>
                <w:b w:val="0"/>
                <w:i w:val="0"/>
                <w:sz w:val="20"/>
              </w:rPr>
              <w:t>Ловозеро (лопарит)</w:t>
            </w:r>
          </w:p>
        </w:tc>
        <w:tc>
          <w:tcPr>
            <w:tcW w:type="dxa" w:w="1425"/>
          </w:tcPr>
          <w:p>
            <w:pPr>
              <w:spacing w:after="0" w:line="240" w:lineRule="auto"/>
              <w:ind w:firstLine="0"/>
              <w:jc w:val="center"/>
            </w:pPr>
            <w:r>
              <w:rPr>
                <w:b w:val="0"/>
                <w:i w:val="0"/>
                <w:sz w:val="20"/>
              </w:rPr>
              <w:t>76,0</w:t>
            </w:r>
          </w:p>
        </w:tc>
        <w:tc>
          <w:tcPr>
            <w:tcW w:type="dxa" w:w="1425"/>
          </w:tcPr>
          <w:p>
            <w:pPr>
              <w:spacing w:after="0" w:line="240" w:lineRule="auto"/>
              <w:ind w:firstLine="0"/>
              <w:jc w:val="center"/>
            </w:pPr>
            <w:r>
              <w:rPr>
                <w:b w:val="0"/>
                <w:i w:val="0"/>
                <w:sz w:val="20"/>
              </w:rPr>
              <w:t>20,0</w:t>
            </w:r>
          </w:p>
        </w:tc>
        <w:tc>
          <w:tcPr>
            <w:tcW w:type="dxa" w:w="1425"/>
          </w:tcPr>
          <w:p>
            <w:pPr>
              <w:spacing w:after="0" w:line="240" w:lineRule="auto"/>
              <w:ind w:firstLine="0"/>
              <w:jc w:val="center"/>
            </w:pPr>
            <w:r>
              <w:rPr>
                <w:b w:val="0"/>
                <w:i w:val="0"/>
                <w:sz w:val="20"/>
              </w:rPr>
              <w:t>2,1</w:t>
            </w:r>
          </w:p>
        </w:tc>
        <w:tc>
          <w:tcPr>
            <w:tcW w:type="dxa" w:w="1425"/>
          </w:tcPr>
          <w:p>
            <w:pPr>
              <w:spacing w:after="0" w:line="240" w:lineRule="auto"/>
              <w:ind w:firstLine="0"/>
              <w:jc w:val="center"/>
            </w:pPr>
            <w:r>
              <w:rPr>
                <w:b w:val="0"/>
                <w:i w:val="0"/>
                <w:sz w:val="20"/>
              </w:rPr>
              <w:t>0,38</w:t>
            </w:r>
          </w:p>
        </w:tc>
        <w:tc>
          <w:tcPr>
            <w:tcW w:type="dxa" w:w="1425"/>
          </w:tcPr>
          <w:p>
            <w:pPr>
              <w:spacing w:after="0" w:line="240" w:lineRule="auto"/>
              <w:ind w:firstLine="0"/>
              <w:jc w:val="center"/>
            </w:pPr>
            <w:r>
              <w:rPr>
                <w:b w:val="0"/>
                <w:i w:val="0"/>
                <w:sz w:val="20"/>
              </w:rPr>
              <w:t>0,32</w:t>
            </w:r>
          </w:p>
        </w:tc>
        <w:tc>
          <w:tcPr>
            <w:tcW w:type="dxa" w:w="1425"/>
          </w:tcPr>
          <w:p>
            <w:pPr>
              <w:spacing w:after="0" w:line="240" w:lineRule="auto"/>
              <w:ind w:firstLine="0"/>
              <w:jc w:val="center"/>
            </w:pPr>
            <w:r>
              <w:rPr>
                <w:b w:val="0"/>
                <w:i w:val="0"/>
                <w:sz w:val="20"/>
              </w:rPr>
              <w:t>1,2</w:t>
            </w:r>
          </w:p>
        </w:tc>
      </w:tr>
      <w:tr>
        <w:tc>
          <w:tcPr>
            <w:tcW w:type="dxa" w:w="1425"/>
          </w:tcPr>
          <w:p>
            <w:pPr>
              <w:spacing w:after="0" w:line="240" w:lineRule="auto"/>
              <w:ind w:firstLine="0"/>
              <w:jc w:val="left"/>
            </w:pPr>
            <w:r>
              <w:rPr>
                <w:b w:val="0"/>
                <w:i w:val="0"/>
                <w:sz w:val="20"/>
              </w:rPr>
              <w:t>Ловозеро (эвдиалит)</w:t>
            </w:r>
          </w:p>
        </w:tc>
        <w:tc>
          <w:tcPr>
            <w:tcW w:type="dxa" w:w="1425"/>
          </w:tcPr>
          <w:p>
            <w:pPr>
              <w:spacing w:after="0" w:line="240" w:lineRule="auto"/>
              <w:ind w:firstLine="0"/>
              <w:jc w:val="center"/>
            </w:pPr>
            <w:r>
              <w:rPr>
                <w:b w:val="0"/>
                <w:i w:val="0"/>
                <w:sz w:val="20"/>
              </w:rPr>
              <w:t>48,0</w:t>
            </w:r>
          </w:p>
        </w:tc>
        <w:tc>
          <w:tcPr>
            <w:tcW w:type="dxa" w:w="1425"/>
          </w:tcPr>
          <w:p>
            <w:pPr>
              <w:spacing w:after="0" w:line="240" w:lineRule="auto"/>
              <w:ind w:firstLine="0"/>
              <w:jc w:val="center"/>
            </w:pPr>
            <w:r>
              <w:rPr>
                <w:b w:val="0"/>
                <w:i w:val="0"/>
                <w:sz w:val="20"/>
              </w:rPr>
              <w:t>22,0</w:t>
            </w:r>
          </w:p>
        </w:tc>
        <w:tc>
          <w:tcPr>
            <w:tcW w:type="dxa" w:w="1425"/>
          </w:tcPr>
          <w:p>
            <w:pPr>
              <w:spacing w:after="0" w:line="240" w:lineRule="auto"/>
              <w:ind w:firstLine="0"/>
              <w:jc w:val="center"/>
            </w:pPr>
            <w:r>
              <w:rPr>
                <w:b w:val="0"/>
                <w:i w:val="0"/>
                <w:sz w:val="20"/>
              </w:rPr>
              <w:t>6,5</w:t>
            </w:r>
          </w:p>
        </w:tc>
        <w:tc>
          <w:tcPr>
            <w:tcW w:type="dxa" w:w="1425"/>
          </w:tcPr>
          <w:p>
            <w:pPr>
              <w:spacing w:after="0" w:line="240" w:lineRule="auto"/>
              <w:ind w:firstLine="0"/>
              <w:jc w:val="center"/>
            </w:pPr>
            <w:r>
              <w:rPr>
                <w:b w:val="0"/>
                <w:i w:val="0"/>
                <w:sz w:val="20"/>
              </w:rPr>
              <w:t>2,4</w:t>
            </w:r>
          </w:p>
        </w:tc>
        <w:tc>
          <w:tcPr>
            <w:tcW w:type="dxa" w:w="1425"/>
          </w:tcPr>
          <w:p>
            <w:pPr>
              <w:spacing w:after="0" w:line="240" w:lineRule="auto"/>
              <w:ind w:firstLine="0"/>
              <w:jc w:val="center"/>
            </w:pPr>
            <w:r>
              <w:rPr>
                <w:b w:val="0"/>
                <w:i w:val="0"/>
                <w:sz w:val="20"/>
              </w:rPr>
              <w:t>4,1</w:t>
            </w:r>
          </w:p>
        </w:tc>
        <w:tc>
          <w:tcPr>
            <w:tcW w:type="dxa" w:w="1425"/>
          </w:tcPr>
          <w:p>
            <w:pPr>
              <w:spacing w:after="0" w:line="240" w:lineRule="auto"/>
              <w:ind w:firstLine="0"/>
              <w:jc w:val="center"/>
            </w:pPr>
            <w:r>
              <w:rPr>
                <w:b w:val="0"/>
                <w:i w:val="0"/>
                <w:sz w:val="20"/>
              </w:rPr>
              <w:t>17,0</w:t>
            </w:r>
          </w:p>
        </w:tc>
      </w:tr>
      <w:tr>
        <w:tc>
          <w:tcPr>
            <w:tcW w:type="dxa" w:w="1425"/>
          </w:tcPr>
          <w:p>
            <w:pPr>
              <w:spacing w:after="0" w:line="240" w:lineRule="auto"/>
              <w:ind w:firstLine="0"/>
              <w:jc w:val="left"/>
            </w:pPr>
            <w:r>
              <w:rPr>
                <w:b w:val="0"/>
                <w:i w:val="0"/>
                <w:sz w:val="20"/>
              </w:rPr>
              <w:t>Томтор (Буранный)</w:t>
            </w:r>
          </w:p>
        </w:tc>
        <w:tc>
          <w:tcPr>
            <w:tcW w:type="dxa" w:w="1425"/>
          </w:tcPr>
          <w:p>
            <w:pPr>
              <w:spacing w:after="0" w:line="240" w:lineRule="auto"/>
              <w:ind w:firstLine="0"/>
              <w:jc w:val="center"/>
            </w:pPr>
            <w:r>
              <w:rPr>
                <w:b w:val="0"/>
                <w:i w:val="0"/>
                <w:sz w:val="20"/>
              </w:rPr>
              <w:t>56,5</w:t>
            </w:r>
          </w:p>
        </w:tc>
        <w:tc>
          <w:tcPr>
            <w:tcW w:type="dxa" w:w="1425"/>
          </w:tcPr>
          <w:p>
            <w:pPr>
              <w:spacing w:after="0" w:line="240" w:lineRule="auto"/>
              <w:ind w:firstLine="0"/>
              <w:jc w:val="center"/>
            </w:pPr>
            <w:r>
              <w:rPr>
                <w:b w:val="0"/>
                <w:i w:val="0"/>
                <w:sz w:val="20"/>
              </w:rPr>
              <w:t>21,4</w:t>
            </w:r>
          </w:p>
        </w:tc>
        <w:tc>
          <w:tcPr>
            <w:tcW w:type="dxa" w:w="1425"/>
          </w:tcPr>
          <w:p>
            <w:pPr>
              <w:spacing w:after="0" w:line="240" w:lineRule="auto"/>
              <w:ind w:firstLine="0"/>
              <w:jc w:val="center"/>
            </w:pPr>
            <w:r>
              <w:rPr>
                <w:b w:val="0"/>
                <w:i w:val="0"/>
                <w:sz w:val="20"/>
              </w:rPr>
              <w:t>4,8</w:t>
            </w:r>
          </w:p>
        </w:tc>
        <w:tc>
          <w:tcPr>
            <w:tcW w:type="dxa" w:w="1425"/>
          </w:tcPr>
          <w:p>
            <w:pPr>
              <w:spacing w:after="0" w:line="240" w:lineRule="auto"/>
              <w:ind w:firstLine="0"/>
              <w:jc w:val="center"/>
            </w:pPr>
            <w:r>
              <w:rPr>
                <w:b w:val="0"/>
                <w:i w:val="0"/>
                <w:sz w:val="20"/>
              </w:rPr>
              <w:t>1,5</w:t>
            </w:r>
          </w:p>
        </w:tc>
        <w:tc>
          <w:tcPr>
            <w:tcW w:type="dxa" w:w="1425"/>
          </w:tcPr>
          <w:p>
            <w:pPr>
              <w:spacing w:after="0" w:line="240" w:lineRule="auto"/>
              <w:ind w:firstLine="0"/>
              <w:jc w:val="center"/>
            </w:pPr>
            <w:r>
              <w:rPr>
                <w:b w:val="0"/>
                <w:i w:val="0"/>
                <w:sz w:val="20"/>
              </w:rPr>
              <w:t>1,0</w:t>
            </w:r>
          </w:p>
        </w:tc>
        <w:tc>
          <w:tcPr>
            <w:tcW w:type="dxa" w:w="1425"/>
          </w:tcPr>
          <w:p>
            <w:pPr>
              <w:spacing w:after="0" w:line="240" w:lineRule="auto"/>
              <w:ind w:firstLine="0"/>
              <w:jc w:val="center"/>
            </w:pPr>
            <w:r>
              <w:rPr>
                <w:b w:val="0"/>
                <w:i w:val="0"/>
                <w:sz w:val="20"/>
              </w:rPr>
              <w:t>14,8</w:t>
            </w:r>
          </w:p>
        </w:tc>
      </w:tr>
      <w:tr>
        <w:tc>
          <w:tcPr>
            <w:tcW w:type="dxa" w:w="1425"/>
          </w:tcPr>
          <w:p>
            <w:pPr>
              <w:spacing w:after="0" w:line="240" w:lineRule="auto"/>
              <w:ind w:firstLine="0"/>
              <w:jc w:val="left"/>
            </w:pPr>
            <w:r>
              <w:rPr>
                <w:b w:val="0"/>
                <w:i w:val="0"/>
                <w:sz w:val="20"/>
              </w:rPr>
              <w:t>Чуктукон</w:t>
            </w:r>
          </w:p>
        </w:tc>
        <w:tc>
          <w:tcPr>
            <w:tcW w:type="dxa" w:w="1425"/>
          </w:tcPr>
          <w:p>
            <w:pPr>
              <w:spacing w:after="0" w:line="240" w:lineRule="auto"/>
              <w:ind w:firstLine="0"/>
              <w:jc w:val="center"/>
            </w:pPr>
            <w:r>
              <w:rPr>
                <w:b w:val="0"/>
                <w:i w:val="0"/>
                <w:sz w:val="20"/>
              </w:rPr>
              <w:t>62,0</w:t>
            </w:r>
          </w:p>
        </w:tc>
        <w:tc>
          <w:tcPr>
            <w:tcW w:type="dxa" w:w="1425"/>
          </w:tcPr>
          <w:p>
            <w:pPr>
              <w:spacing w:after="0" w:line="240" w:lineRule="auto"/>
              <w:ind w:firstLine="0"/>
              <w:jc w:val="center"/>
            </w:pPr>
            <w:r>
              <w:rPr>
                <w:b w:val="0"/>
                <w:i w:val="0"/>
                <w:sz w:val="20"/>
              </w:rPr>
              <w:t>22,0</w:t>
            </w:r>
          </w:p>
        </w:tc>
        <w:tc>
          <w:tcPr>
            <w:tcW w:type="dxa" w:w="1425"/>
          </w:tcPr>
          <w:p>
            <w:pPr>
              <w:spacing w:after="0" w:line="240" w:lineRule="auto"/>
              <w:ind w:firstLine="0"/>
              <w:jc w:val="center"/>
            </w:pPr>
            <w:r>
              <w:rPr>
                <w:b w:val="0"/>
                <w:i w:val="0"/>
                <w:sz w:val="20"/>
              </w:rPr>
              <w:t>5,0</w:t>
            </w:r>
          </w:p>
        </w:tc>
        <w:tc>
          <w:tcPr>
            <w:tcW w:type="dxa" w:w="1425"/>
          </w:tcPr>
          <w:p>
            <w:pPr>
              <w:spacing w:after="0" w:line="240" w:lineRule="auto"/>
              <w:ind w:firstLine="0"/>
              <w:jc w:val="center"/>
            </w:pPr>
            <w:r>
              <w:rPr>
                <w:b w:val="0"/>
                <w:i w:val="0"/>
                <w:sz w:val="20"/>
              </w:rPr>
              <w:t>1,2</w:t>
            </w:r>
          </w:p>
        </w:tc>
        <w:tc>
          <w:tcPr>
            <w:tcW w:type="dxa" w:w="1425"/>
          </w:tcPr>
          <w:p>
            <w:pPr>
              <w:spacing w:after="0" w:line="240" w:lineRule="auto"/>
              <w:ind w:firstLine="0"/>
              <w:jc w:val="center"/>
            </w:pPr>
            <w:r>
              <w:rPr>
                <w:b w:val="0"/>
                <w:i w:val="0"/>
                <w:sz w:val="20"/>
              </w:rPr>
              <w:t>1,3</w:t>
            </w:r>
          </w:p>
        </w:tc>
        <w:tc>
          <w:tcPr>
            <w:tcW w:type="dxa" w:w="1425"/>
          </w:tcPr>
          <w:p>
            <w:pPr>
              <w:spacing w:after="0" w:line="240" w:lineRule="auto"/>
              <w:ind w:firstLine="0"/>
              <w:jc w:val="center"/>
            </w:pPr>
            <w:r>
              <w:rPr>
                <w:b w:val="0"/>
                <w:i w:val="0"/>
                <w:sz w:val="20"/>
              </w:rPr>
              <w:t>8,5</w:t>
            </w:r>
          </w:p>
        </w:tc>
      </w:tr>
      <w:tr>
        <w:tc>
          <w:tcPr>
            <w:tcW w:type="dxa" w:w="1425"/>
          </w:tcPr>
          <w:p>
            <w:pPr>
              <w:spacing w:after="0" w:line="240" w:lineRule="auto"/>
              <w:ind w:firstLine="0"/>
              <w:jc w:val="left"/>
            </w:pPr>
            <w:r>
              <w:rPr>
                <w:b w:val="0"/>
                <w:i w:val="0"/>
                <w:sz w:val="20"/>
              </w:rPr>
              <w:t>Зашихинское</w:t>
            </w:r>
          </w:p>
        </w:tc>
        <w:tc>
          <w:tcPr>
            <w:tcW w:type="dxa" w:w="1425"/>
          </w:tcPr>
          <w:p>
            <w:pPr>
              <w:spacing w:after="0" w:line="240" w:lineRule="auto"/>
              <w:ind w:firstLine="0"/>
              <w:jc w:val="center"/>
            </w:pPr>
            <w:r>
              <w:rPr>
                <w:b w:val="0"/>
                <w:i w:val="0"/>
                <w:sz w:val="20"/>
              </w:rPr>
              <w:t>40,0</w:t>
            </w:r>
          </w:p>
        </w:tc>
        <w:tc>
          <w:tcPr>
            <w:tcW w:type="dxa" w:w="1425"/>
          </w:tcPr>
          <w:p>
            <w:pPr>
              <w:spacing w:after="0" w:line="240" w:lineRule="auto"/>
              <w:ind w:firstLine="0"/>
              <w:jc w:val="center"/>
            </w:pPr>
            <w:r>
              <w:rPr>
                <w:b w:val="0"/>
                <w:i w:val="0"/>
                <w:sz w:val="20"/>
              </w:rPr>
              <w:t>18,0</w:t>
            </w:r>
          </w:p>
        </w:tc>
        <w:tc>
          <w:tcPr>
            <w:tcW w:type="dxa" w:w="1425"/>
          </w:tcPr>
          <w:p>
            <w:pPr>
              <w:spacing w:after="0" w:line="240" w:lineRule="auto"/>
              <w:ind w:firstLine="0"/>
              <w:jc w:val="center"/>
            </w:pPr>
            <w:r>
              <w:rPr>
                <w:b w:val="0"/>
                <w:i w:val="0"/>
                <w:sz w:val="20"/>
              </w:rPr>
              <w:t>8,0</w:t>
            </w:r>
          </w:p>
        </w:tc>
        <w:tc>
          <w:tcPr>
            <w:tcW w:type="dxa" w:w="1425"/>
          </w:tcPr>
          <w:p>
            <w:pPr>
              <w:spacing w:after="0" w:line="240" w:lineRule="auto"/>
              <w:ind w:firstLine="0"/>
              <w:jc w:val="center"/>
            </w:pPr>
            <w:r>
              <w:rPr>
                <w:b w:val="0"/>
                <w:i w:val="0"/>
                <w:sz w:val="20"/>
              </w:rPr>
              <w:t>3,5</w:t>
            </w:r>
          </w:p>
        </w:tc>
        <w:tc>
          <w:tcPr>
            <w:tcW w:type="dxa" w:w="1425"/>
          </w:tcPr>
          <w:p>
            <w:pPr>
              <w:spacing w:after="0" w:line="240" w:lineRule="auto"/>
              <w:ind w:firstLine="0"/>
              <w:jc w:val="center"/>
            </w:pPr>
            <w:r>
              <w:rPr>
                <w:b w:val="0"/>
                <w:i w:val="0"/>
                <w:sz w:val="20"/>
              </w:rPr>
              <w:t>6,5</w:t>
            </w:r>
          </w:p>
        </w:tc>
        <w:tc>
          <w:tcPr>
            <w:tcW w:type="dxa" w:w="1425"/>
          </w:tcPr>
          <w:p>
            <w:pPr>
              <w:spacing w:after="0" w:line="240" w:lineRule="auto"/>
              <w:ind w:firstLine="0"/>
              <w:jc w:val="center"/>
            </w:pPr>
            <w:r>
              <w:rPr>
                <w:b w:val="0"/>
                <w:i w:val="0"/>
                <w:sz w:val="20"/>
              </w:rPr>
              <w:t>24,0</w:t>
            </w:r>
          </w:p>
        </w:tc>
      </w:tr>
      <w:tr>
        <w:tc>
          <w:tcPr>
            <w:tcW w:type="dxa" w:w="1425"/>
          </w:tcPr>
          <w:p>
            <w:pPr>
              <w:spacing w:after="0" w:line="240" w:lineRule="auto"/>
              <w:ind w:firstLine="0"/>
              <w:jc w:val="left"/>
            </w:pPr>
            <w:r>
              <w:rPr>
                <w:b w:val="0"/>
                <w:i w:val="0"/>
                <w:sz w:val="20"/>
              </w:rPr>
              <w:t>Катугинское</w:t>
            </w:r>
          </w:p>
        </w:tc>
        <w:tc>
          <w:tcPr>
            <w:tcW w:type="dxa" w:w="1425"/>
          </w:tcPr>
          <w:p>
            <w:pPr>
              <w:spacing w:after="0" w:line="240" w:lineRule="auto"/>
              <w:ind w:firstLine="0"/>
              <w:jc w:val="center"/>
            </w:pPr>
            <w:r>
              <w:rPr>
                <w:b w:val="0"/>
                <w:i w:val="0"/>
                <w:sz w:val="20"/>
              </w:rPr>
              <w:t>32,0</w:t>
            </w:r>
          </w:p>
        </w:tc>
        <w:tc>
          <w:tcPr>
            <w:tcW w:type="dxa" w:w="1425"/>
          </w:tcPr>
          <w:p>
            <w:pPr>
              <w:spacing w:after="0" w:line="240" w:lineRule="auto"/>
              <w:ind w:firstLine="0"/>
              <w:jc w:val="center"/>
            </w:pPr>
            <w:r>
              <w:rPr>
                <w:b w:val="0"/>
                <w:i w:val="0"/>
                <w:sz w:val="20"/>
              </w:rPr>
              <w:t>16,0</w:t>
            </w:r>
          </w:p>
        </w:tc>
        <w:tc>
          <w:tcPr>
            <w:tcW w:type="dxa" w:w="1425"/>
          </w:tcPr>
          <w:p>
            <w:pPr>
              <w:spacing w:after="0" w:line="240" w:lineRule="auto"/>
              <w:ind w:firstLine="0"/>
              <w:jc w:val="center"/>
            </w:pPr>
            <w:r>
              <w:rPr>
                <w:b w:val="0"/>
                <w:i w:val="0"/>
                <w:sz w:val="20"/>
              </w:rPr>
              <w:t>9,0</w:t>
            </w:r>
          </w:p>
        </w:tc>
        <w:tc>
          <w:tcPr>
            <w:tcW w:type="dxa" w:w="1425"/>
          </w:tcPr>
          <w:p>
            <w:pPr>
              <w:spacing w:after="0" w:line="240" w:lineRule="auto"/>
              <w:ind w:firstLine="0"/>
              <w:jc w:val="center"/>
            </w:pPr>
            <w:r>
              <w:rPr>
                <w:b w:val="0"/>
                <w:i w:val="0"/>
                <w:sz w:val="20"/>
              </w:rPr>
              <w:t>4,2</w:t>
            </w:r>
          </w:p>
        </w:tc>
        <w:tc>
          <w:tcPr>
            <w:tcW w:type="dxa" w:w="1425"/>
          </w:tcPr>
          <w:p>
            <w:pPr>
              <w:spacing w:after="0" w:line="240" w:lineRule="auto"/>
              <w:ind w:firstLine="0"/>
              <w:jc w:val="center"/>
            </w:pPr>
            <w:r>
              <w:rPr>
                <w:b w:val="0"/>
                <w:i w:val="0"/>
                <w:sz w:val="20"/>
              </w:rPr>
              <w:t>8,8</w:t>
            </w:r>
          </w:p>
        </w:tc>
        <w:tc>
          <w:tcPr>
            <w:tcW w:type="dxa" w:w="1425"/>
          </w:tcPr>
          <w:p>
            <w:pPr>
              <w:spacing w:after="0" w:line="240" w:lineRule="auto"/>
              <w:ind w:firstLine="0"/>
              <w:jc w:val="center"/>
            </w:pPr>
            <w:r>
              <w:rPr>
                <w:b w:val="0"/>
                <w:i w:val="0"/>
                <w:sz w:val="20"/>
              </w:rPr>
              <w:t>30,0</w:t>
            </w:r>
          </w:p>
        </w:tc>
      </w:tr>
      <w:tr>
        <w:tc>
          <w:tcPr>
            <w:tcW w:type="dxa" w:w="1425"/>
          </w:tcPr>
          <w:p>
            <w:pPr>
              <w:spacing w:after="0" w:line="240" w:lineRule="auto"/>
              <w:ind w:firstLine="0"/>
              <w:jc w:val="left"/>
            </w:pPr>
            <w:r>
              <w:rPr>
                <w:b w:val="0"/>
                <w:i w:val="0"/>
                <w:sz w:val="20"/>
              </w:rPr>
              <w:t>Апатит Хибин</w:t>
            </w:r>
          </w:p>
        </w:tc>
        <w:tc>
          <w:tcPr>
            <w:tcW w:type="dxa" w:w="1425"/>
          </w:tcPr>
          <w:p>
            <w:pPr>
              <w:spacing w:after="0" w:line="240" w:lineRule="auto"/>
              <w:ind w:firstLine="0"/>
              <w:jc w:val="center"/>
            </w:pPr>
            <w:r>
              <w:rPr>
                <w:b w:val="0"/>
                <w:i w:val="0"/>
                <w:sz w:val="20"/>
              </w:rPr>
              <w:t>58,0</w:t>
            </w:r>
          </w:p>
        </w:tc>
        <w:tc>
          <w:tcPr>
            <w:tcW w:type="dxa" w:w="1425"/>
          </w:tcPr>
          <w:p>
            <w:pPr>
              <w:spacing w:after="0" w:line="240" w:lineRule="auto"/>
              <w:ind w:firstLine="0"/>
              <w:jc w:val="center"/>
            </w:pPr>
            <w:r>
              <w:rPr>
                <w:b w:val="0"/>
                <w:i w:val="0"/>
                <w:sz w:val="20"/>
              </w:rPr>
              <w:t>21,5</w:t>
            </w:r>
          </w:p>
        </w:tc>
        <w:tc>
          <w:tcPr>
            <w:tcW w:type="dxa" w:w="1425"/>
          </w:tcPr>
          <w:p>
            <w:pPr>
              <w:spacing w:after="0" w:line="240" w:lineRule="auto"/>
              <w:ind w:firstLine="0"/>
              <w:jc w:val="center"/>
            </w:pPr>
            <w:r>
              <w:rPr>
                <w:b w:val="0"/>
                <w:i w:val="0"/>
                <w:sz w:val="20"/>
              </w:rPr>
              <w:t>8,0</w:t>
            </w:r>
          </w:p>
        </w:tc>
        <w:tc>
          <w:tcPr>
            <w:tcW w:type="dxa" w:w="1425"/>
          </w:tcPr>
          <w:p>
            <w:pPr>
              <w:spacing w:after="0" w:line="240" w:lineRule="auto"/>
              <w:ind w:firstLine="0"/>
              <w:jc w:val="center"/>
            </w:pPr>
            <w:r>
              <w:rPr>
                <w:b w:val="0"/>
                <w:i w:val="0"/>
                <w:sz w:val="20"/>
              </w:rPr>
              <w:t>1,2</w:t>
            </w:r>
          </w:p>
        </w:tc>
        <w:tc>
          <w:tcPr>
            <w:tcW w:type="dxa" w:w="1425"/>
          </w:tcPr>
          <w:p>
            <w:pPr>
              <w:spacing w:after="0" w:line="240" w:lineRule="auto"/>
              <w:ind w:firstLine="0"/>
              <w:jc w:val="center"/>
            </w:pPr>
            <w:r>
              <w:rPr>
                <w:b w:val="0"/>
                <w:i w:val="0"/>
                <w:sz w:val="20"/>
              </w:rPr>
              <w:t>1,3</w:t>
            </w:r>
          </w:p>
        </w:tc>
        <w:tc>
          <w:tcPr>
            <w:tcW w:type="dxa" w:w="1425"/>
          </w:tcPr>
          <w:p>
            <w:pPr>
              <w:spacing w:after="0" w:line="240" w:lineRule="auto"/>
              <w:ind w:firstLine="0"/>
              <w:jc w:val="center"/>
            </w:pPr>
            <w:r>
              <w:rPr>
                <w:b w:val="0"/>
                <w:i w:val="0"/>
                <w:sz w:val="20"/>
              </w:rPr>
              <w:t>10,0</w:t>
            </w:r>
          </w:p>
        </w:tc>
      </w:tr>
    </w:tbl>
    <w:p>
      <w:pPr>
        <w:spacing w:after="180"/>
        <w:ind w:firstLine="0"/>
      </w:pPr>
      <w:r>
        <w:rPr>
          <w:i/>
          <w:sz w:val="20"/>
        </w:rPr>
        <w:t>Источник: расчёт аналитического центра по данным о минеральном составе руд</w:t>
      </w:r>
    </w:p>
    <w:p>
      <w:pPr>
        <w:keepNext/>
        <w:spacing w:before="160" w:after="60"/>
        <w:ind w:firstLine="0"/>
        <w:jc w:val="left"/>
      </w:pPr>
      <w:r>
        <w:rPr>
          <w:b/>
          <w:sz w:val="22"/>
        </w:rPr>
        <w:t>Рисунок 53. Структура корзины РЗМ российских месторождений, % от TREO</w:t>
      </w:r>
    </w:p>
    <w:p>
      <w:pPr>
        <w:ind w:firstLine="0"/>
        <w:jc w:val="center"/>
      </w:pPr>
      <w:r>
        <w:drawing>
          <wp:inline xmlns:a="http://schemas.openxmlformats.org/drawingml/2006/main" xmlns:pic="http://schemas.openxmlformats.org/drawingml/2006/picture">
            <wp:extent cx="5580000" cy="2320957"/>
            <wp:docPr id="53" name="Picture 53"/>
            <wp:cNvGraphicFramePr>
              <a:graphicFrameLocks noChangeAspect="1"/>
            </wp:cNvGraphicFramePr>
            <a:graphic>
              <a:graphicData uri="http://schemas.openxmlformats.org/drawingml/2006/picture">
                <pic:pic>
                  <pic:nvPicPr>
                    <pic:cNvPr id="0" name="fig53.png"/>
                    <pic:cNvPicPr/>
                  </pic:nvPicPr>
                  <pic:blipFill>
                    <a:blip r:embed="rId63"/>
                    <a:stretch>
                      <a:fillRect/>
                    </a:stretch>
                  </pic:blipFill>
                  <pic:spPr>
                    <a:xfrm>
                      <a:off x="0" y="0"/>
                      <a:ext cx="5580000" cy="2320957"/>
                    </a:xfrm>
                    <a:prstGeom prst="rect"/>
                  </pic:spPr>
                </pic:pic>
              </a:graphicData>
            </a:graphic>
          </wp:inline>
        </w:drawing>
      </w:r>
    </w:p>
    <w:p>
      <w:pPr>
        <w:spacing w:after="180"/>
        <w:ind w:firstLine="0"/>
      </w:pPr>
      <w:r>
        <w:rPr>
          <w:i/>
          <w:sz w:val="20"/>
        </w:rPr>
        <w:t>Источник: аналитический центр (табл. 67)</w:t>
      </w:r>
    </w:p>
    <w:p>
      <w:r>
        <w:rPr>
          <w:b/>
          <w:i w:val="0"/>
        </w:rPr>
        <w:t>Выводы для стратегического планирования:</w:t>
      </w:r>
    </w:p>
    <w:p>
      <w:pPr>
        <w:pStyle w:val="ListNumber"/>
        <w:spacing w:after="20"/>
        <w:ind w:firstLine="0"/>
      </w:pPr>
      <w:r>
        <w:rPr>
          <w:b/>
          <w:i w:val="0"/>
        </w:rPr>
        <w:t>По неодиму и празеодиму Россия способна достичь полной самообеспеченности и экспортного потенциала.</w:t>
      </w:r>
      <w:r>
        <w:rPr>
          <w:b w:val="0"/>
          <w:i w:val="0"/>
        </w:rPr>
        <w:t xml:space="preserve"> Доля NdPr в корзине всех российских объектов составляет 16–22%, что соответствует мировым показателям. При производстве 20 тыс. т TREO выпуск NdPr составит 3,5–4,5 тыс. т — величина, кратно превышающая любой прогнозируемый внутренний спрос.</w:t>
      </w:r>
    </w:p>
    <w:p>
      <w:pPr>
        <w:pStyle w:val="ListNumber"/>
        <w:spacing w:after="20"/>
        <w:ind w:firstLine="0"/>
      </w:pPr>
      <w:r>
        <w:rPr>
          <w:b/>
          <w:i w:val="0"/>
        </w:rPr>
        <w:t>По диспрозию и тербию ситуация принципиально иная.</w:t>
      </w:r>
      <w:r>
        <w:rPr>
          <w:b w:val="0"/>
          <w:i w:val="0"/>
        </w:rPr>
        <w:t xml:space="preserve"> Доля Tb + Dy в корзине лопарита составляет 0,38%, апатита — 1,2%, Томтора — 1,5%. При производстве 20 тыс. т TREO из томторского сырья выпуск диспрозия составит около 240 т, тербия — около 60 т. Для сравнения: потребность отечественного производства магнитов мощностью 3 тыс. т/год в высокотемпературном исполнении составляет 90–150 т диспрозия и 30–60 т тербия. Таким образом, при освоении Томтора потребность закрывается, но запас невелик, и любое расширение магнитного производства выводит баланс в дефицит.</w:t>
      </w:r>
    </w:p>
    <w:p>
      <w:pPr>
        <w:pStyle w:val="ListNumber"/>
        <w:spacing w:after="20"/>
        <w:ind w:firstLine="0"/>
      </w:pPr>
      <w:r>
        <w:rPr>
          <w:b/>
          <w:i w:val="0"/>
        </w:rPr>
        <w:t>Объекты с благоприятной тяжёлой корзиной (Катугинское, Зашихинское, эвдиалит Ловозера) не имеют технологии.</w:t>
      </w:r>
      <w:r>
        <w:rPr>
          <w:b w:val="0"/>
          <w:i w:val="0"/>
        </w:rPr>
        <w:t xml:space="preserve"> Именно они, а не Томтор, определяют долгосрочную обеспеченность страны тяжёлой группой, однако все они находятся на стадии, требующей полномасштабных НИОКР.</w:t>
      </w:r>
    </w:p>
    <w:p>
      <w:r>
        <w:rPr>
          <w:b w:val="0"/>
          <w:i w:val="0"/>
        </w:rPr>
        <w:t>Рекомендация, следующая из этого анализа, состоит в том, что технологическая программа отрасли должна включать самостоятельное направление по тяжёлой группе — с фокусом на эвдиалитовые и метасоматитовые руды, — не сводимое к освоению Томтора.</w:t>
      </w:r>
    </w:p>
    <w:p>
      <w:pPr>
        <w:pStyle w:val="Heading2"/>
      </w:pPr>
      <w:r>
        <w:rPr>
          <w:b w:val="0"/>
          <w:i w:val="0"/>
        </w:rPr>
        <w:t>9.7. Сырьевая база стран ЕАЭС</w:t>
      </w:r>
    </w:p>
    <w:p>
      <w:r>
        <w:rPr>
          <w:b/>
          <w:i w:val="0"/>
        </w:rPr>
        <w:t>Республика Казахстан.</w:t>
      </w:r>
      <w:r>
        <w:rPr>
          <w:b w:val="0"/>
          <w:i w:val="0"/>
        </w:rPr>
        <w:t xml:space="preserve"> Собственных промышленных месторождений редких земель не имеет; сырьевая база представлена попутными источниками:</w:t>
      </w:r>
    </w:p>
    <w:p>
      <w:pPr>
        <w:pStyle w:val="ListBullet"/>
        <w:spacing w:after="20"/>
        <w:ind w:firstLine="0"/>
      </w:pPr>
      <w:r>
        <w:rPr>
          <w:b w:val="0"/>
          <w:i w:val="0"/>
        </w:rPr>
        <w:t>урановые месторождения, отрабатываемые методом подземного скважинного выщелачивания; продуктивные растворы содержат редкие земли и скандий, извлекаемые сорбционными методами. Оператор — АО «НАК «Казатомпром»;</w:t>
      </w:r>
    </w:p>
    <w:p>
      <w:pPr>
        <w:pStyle w:val="ListBullet"/>
        <w:spacing w:after="20"/>
        <w:ind w:firstLine="0"/>
      </w:pPr>
      <w:r>
        <w:rPr>
          <w:b w:val="0"/>
          <w:i w:val="0"/>
        </w:rPr>
        <w:t>отвалы и хвостохранилища фосфорной промышленности (Каратау);</w:t>
      </w:r>
    </w:p>
    <w:p>
      <w:pPr>
        <w:pStyle w:val="ListBullet"/>
        <w:spacing w:after="20"/>
        <w:ind w:firstLine="0"/>
      </w:pPr>
      <w:r>
        <w:rPr>
          <w:b w:val="0"/>
          <w:i w:val="0"/>
        </w:rPr>
        <w:t>титано-циркониевые россыпи (Обуховское, Шокашское).</w:t>
      </w:r>
    </w:p>
    <w:p>
      <w:r>
        <w:rPr>
          <w:b w:val="0"/>
          <w:i w:val="0"/>
        </w:rPr>
        <w:t xml:space="preserve">С 2012 г. действовало совместное предприятие </w:t>
      </w:r>
      <w:r>
        <w:rPr>
          <w:b/>
          <w:i w:val="0"/>
        </w:rPr>
        <w:t>АО «SARECO»</w:t>
      </w:r>
      <w:r>
        <w:rPr>
          <w:b w:val="0"/>
          <w:i w:val="0"/>
        </w:rPr>
        <w:t xml:space="preserve"> (Казатомпром и Sumitomo Corporation) в Степногорске, ориентированное на производство коллективных концентратов и разделённой продукции мощностью до 1,5 тыс. т TREO. В 2024–2025 гг. в Казахстане объявлено об открытии перспективного объекта «Куйректыколь» (Карагандинская область) с оценочными прогнозными ресурсами свыше 800 тыс. т TREO; оценка находится на ранней стадии и требует подтверждения.</w:t>
      </w:r>
    </w:p>
    <w:p>
      <w:r>
        <w:rPr>
          <w:b/>
          <w:i w:val="0"/>
        </w:rPr>
        <w:t>Кыргызская Республика.</w:t>
      </w:r>
      <w:r>
        <w:rPr>
          <w:b w:val="0"/>
          <w:i w:val="0"/>
        </w:rPr>
        <w:t xml:space="preserve"> Месторождение </w:t>
      </w:r>
      <w:r>
        <w:rPr>
          <w:b/>
          <w:i w:val="0"/>
        </w:rPr>
        <w:t>Кутессай II</w:t>
      </w:r>
      <w:r>
        <w:rPr>
          <w:b w:val="0"/>
          <w:i w:val="0"/>
        </w:rPr>
        <w:t xml:space="preserve"> (Актюзский рудный район) — комплексный объект, отрабатывавшийся в советский период Киргизским горно-металлургическим комбинатом; в 1960–1980-е гг. обеспечивал до 80% производства редких земель СССР. Запасы оцениваются в 51 тыс. т TREO при содержании 0,25–0,30%, корзина благоприятная (доля тяжёлой группы свыше 25%). Попытки возобновления добычи предпринимались канадской Stans Energy (2009–2014 гг.), завершились арбитражным спором с правительством. По состоянию на 2025 г. объект не осваивается.</w:t>
      </w:r>
    </w:p>
    <w:p>
      <w:r>
        <w:rPr>
          <w:b/>
          <w:i w:val="0"/>
        </w:rPr>
        <w:t>Республика Беларусь, Республика Армения.</w:t>
      </w:r>
      <w:r>
        <w:rPr>
          <w:b w:val="0"/>
          <w:i w:val="0"/>
        </w:rPr>
        <w:t xml:space="preserve"> Промышленных запасов редкоземельного сырья не имеют.</w:t>
      </w:r>
    </w:p>
    <w:p>
      <w:pPr>
        <w:keepNext/>
        <w:spacing w:before="160" w:after="60"/>
        <w:ind w:firstLine="0"/>
        <w:jc w:val="left"/>
      </w:pPr>
      <w:r>
        <w:rPr>
          <w:b/>
          <w:sz w:val="22"/>
        </w:rPr>
        <w:t>Таблица 68. Сырьевая база редкоземельных металлов стран ЕАЭС (кроме РФ)</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Страна</w:t>
            </w:r>
          </w:p>
        </w:tc>
        <w:tc>
          <w:tcPr>
            <w:tcW w:type="dxa" w:w="1995"/>
            <w:shd w:val="clear" w:fill="DCE6F1"/>
          </w:tcPr>
          <w:p>
            <w:pPr>
              <w:spacing w:after="0" w:line="240" w:lineRule="auto"/>
              <w:ind w:firstLine="0"/>
              <w:jc w:val="center"/>
            </w:pPr>
            <w:r>
              <w:rPr>
                <w:b/>
                <w:i w:val="0"/>
                <w:sz w:val="20"/>
              </w:rPr>
              <w:t>Объект</w:t>
            </w:r>
          </w:p>
        </w:tc>
        <w:tc>
          <w:tcPr>
            <w:tcW w:type="dxa" w:w="1995"/>
            <w:shd w:val="clear" w:fill="DCE6F1"/>
          </w:tcPr>
          <w:p>
            <w:pPr>
              <w:spacing w:after="0" w:line="240" w:lineRule="auto"/>
              <w:ind w:firstLine="0"/>
              <w:jc w:val="center"/>
            </w:pPr>
            <w:r>
              <w:rPr>
                <w:b/>
                <w:i w:val="0"/>
                <w:sz w:val="20"/>
              </w:rPr>
              <w:t>Тип</w:t>
            </w:r>
          </w:p>
        </w:tc>
        <w:tc>
          <w:tcPr>
            <w:tcW w:type="dxa" w:w="1995"/>
            <w:shd w:val="clear" w:fill="DCE6F1"/>
          </w:tcPr>
          <w:p>
            <w:pPr>
              <w:spacing w:after="0" w:line="240" w:lineRule="auto"/>
              <w:ind w:firstLine="0"/>
              <w:jc w:val="center"/>
            </w:pPr>
            <w:r>
              <w:rPr>
                <w:b/>
                <w:i w:val="0"/>
                <w:sz w:val="20"/>
              </w:rPr>
              <w:t>Запасы/ресурсы, тыс. т TREO</w:t>
            </w:r>
          </w:p>
        </w:tc>
        <w:tc>
          <w:tcPr>
            <w:tcW w:type="dxa" w:w="1995"/>
            <w:shd w:val="clear" w:fill="DCE6F1"/>
          </w:tcPr>
          <w:p>
            <w:pPr>
              <w:spacing w:after="0" w:line="240" w:lineRule="auto"/>
              <w:ind w:firstLine="0"/>
              <w:jc w:val="center"/>
            </w:pPr>
            <w:r>
              <w:rPr>
                <w:b/>
                <w:i w:val="0"/>
                <w:sz w:val="20"/>
              </w:rPr>
              <w:t>Состояние</w:t>
            </w:r>
          </w:p>
        </w:tc>
      </w:tr>
      <w:tr>
        <w:tc>
          <w:tcPr>
            <w:tcW w:type="dxa" w:w="1995"/>
          </w:tcPr>
          <w:p>
            <w:pPr>
              <w:spacing w:after="0" w:line="240" w:lineRule="auto"/>
              <w:ind w:firstLine="0"/>
              <w:jc w:val="left"/>
            </w:pPr>
            <w:r>
              <w:rPr>
                <w:b w:val="0"/>
                <w:i w:val="0"/>
                <w:sz w:val="20"/>
              </w:rPr>
              <w:t>Казахстан</w:t>
            </w:r>
          </w:p>
        </w:tc>
        <w:tc>
          <w:tcPr>
            <w:tcW w:type="dxa" w:w="1995"/>
          </w:tcPr>
          <w:p>
            <w:pPr>
              <w:spacing w:after="0" w:line="240" w:lineRule="auto"/>
              <w:ind w:firstLine="0"/>
              <w:jc w:val="center"/>
            </w:pPr>
            <w:r>
              <w:rPr>
                <w:b w:val="0"/>
                <w:i w:val="0"/>
                <w:sz w:val="20"/>
              </w:rPr>
              <w:t>Урановые растворы ПСВ</w:t>
            </w:r>
          </w:p>
        </w:tc>
        <w:tc>
          <w:tcPr>
            <w:tcW w:type="dxa" w:w="1995"/>
          </w:tcPr>
          <w:p>
            <w:pPr>
              <w:spacing w:after="0" w:line="240" w:lineRule="auto"/>
              <w:ind w:firstLine="0"/>
              <w:jc w:val="center"/>
            </w:pPr>
            <w:r>
              <w:rPr>
                <w:b w:val="0"/>
                <w:i w:val="0"/>
                <w:sz w:val="20"/>
              </w:rPr>
              <w:t>попутный</w:t>
            </w:r>
          </w:p>
        </w:tc>
        <w:tc>
          <w:tcPr>
            <w:tcW w:type="dxa" w:w="1995"/>
          </w:tcPr>
          <w:p>
            <w:pPr>
              <w:spacing w:after="0" w:line="240" w:lineRule="auto"/>
              <w:ind w:firstLine="0"/>
              <w:jc w:val="center"/>
            </w:pPr>
            <w:r>
              <w:rPr>
                <w:b w:val="0"/>
                <w:i w:val="0"/>
                <w:sz w:val="20"/>
              </w:rPr>
              <w:t>н/д (поток)</w:t>
            </w:r>
          </w:p>
        </w:tc>
        <w:tc>
          <w:tcPr>
            <w:tcW w:type="dxa" w:w="1995"/>
          </w:tcPr>
          <w:p>
            <w:pPr>
              <w:spacing w:after="0" w:line="240" w:lineRule="auto"/>
              <w:ind w:firstLine="0"/>
              <w:jc w:val="center"/>
            </w:pPr>
            <w:r>
              <w:rPr>
                <w:b w:val="0"/>
                <w:i w:val="0"/>
                <w:sz w:val="20"/>
              </w:rPr>
              <w:t>опытное извлечение</w:t>
            </w:r>
          </w:p>
        </w:tc>
      </w:tr>
      <w:tr>
        <w:tc>
          <w:tcPr>
            <w:tcW w:type="dxa" w:w="1995"/>
          </w:tcPr>
          <w:p>
            <w:pPr>
              <w:spacing w:after="0" w:line="240" w:lineRule="auto"/>
              <w:ind w:firstLine="0"/>
              <w:jc w:val="left"/>
            </w:pPr>
            <w:r>
              <w:rPr>
                <w:b w:val="0"/>
                <w:i w:val="0"/>
                <w:sz w:val="20"/>
              </w:rPr>
              <w:t>Казахстан</w:t>
            </w:r>
          </w:p>
        </w:tc>
        <w:tc>
          <w:tcPr>
            <w:tcW w:type="dxa" w:w="1995"/>
          </w:tcPr>
          <w:p>
            <w:pPr>
              <w:spacing w:after="0" w:line="240" w:lineRule="auto"/>
              <w:ind w:firstLine="0"/>
              <w:jc w:val="center"/>
            </w:pPr>
            <w:r>
              <w:rPr>
                <w:b w:val="0"/>
                <w:i w:val="0"/>
                <w:sz w:val="20"/>
              </w:rPr>
              <w:t>Куйректыколь</w:t>
            </w:r>
          </w:p>
        </w:tc>
        <w:tc>
          <w:tcPr>
            <w:tcW w:type="dxa" w:w="1995"/>
          </w:tcPr>
          <w:p>
            <w:pPr>
              <w:spacing w:after="0" w:line="240" w:lineRule="auto"/>
              <w:ind w:firstLine="0"/>
              <w:jc w:val="center"/>
            </w:pPr>
            <w:r>
              <w:rPr>
                <w:b w:val="0"/>
                <w:i w:val="0"/>
                <w:sz w:val="20"/>
              </w:rPr>
              <w:t>коры выветривания</w:t>
            </w:r>
          </w:p>
        </w:tc>
        <w:tc>
          <w:tcPr>
            <w:tcW w:type="dxa" w:w="1995"/>
          </w:tcPr>
          <w:p>
            <w:pPr>
              <w:spacing w:after="0" w:line="240" w:lineRule="auto"/>
              <w:ind w:firstLine="0"/>
              <w:jc w:val="center"/>
            </w:pPr>
            <w:r>
              <w:rPr>
                <w:b w:val="0"/>
                <w:i w:val="0"/>
                <w:sz w:val="20"/>
              </w:rPr>
              <w:t>800 (прогнозные)</w:t>
            </w:r>
          </w:p>
        </w:tc>
        <w:tc>
          <w:tcPr>
            <w:tcW w:type="dxa" w:w="1995"/>
          </w:tcPr>
          <w:p>
            <w:pPr>
              <w:spacing w:after="0" w:line="240" w:lineRule="auto"/>
              <w:ind w:firstLine="0"/>
              <w:jc w:val="center"/>
            </w:pPr>
            <w:r>
              <w:rPr>
                <w:b w:val="0"/>
                <w:i w:val="0"/>
                <w:sz w:val="20"/>
              </w:rPr>
              <w:t>ранняя оценка</w:t>
            </w:r>
          </w:p>
        </w:tc>
      </w:tr>
      <w:tr>
        <w:tc>
          <w:tcPr>
            <w:tcW w:type="dxa" w:w="1995"/>
          </w:tcPr>
          <w:p>
            <w:pPr>
              <w:spacing w:after="0" w:line="240" w:lineRule="auto"/>
              <w:ind w:firstLine="0"/>
              <w:jc w:val="left"/>
            </w:pPr>
            <w:r>
              <w:rPr>
                <w:b w:val="0"/>
                <w:i w:val="0"/>
                <w:sz w:val="20"/>
              </w:rPr>
              <w:t>Казахстан</w:t>
            </w:r>
          </w:p>
        </w:tc>
        <w:tc>
          <w:tcPr>
            <w:tcW w:type="dxa" w:w="1995"/>
          </w:tcPr>
          <w:p>
            <w:pPr>
              <w:spacing w:after="0" w:line="240" w:lineRule="auto"/>
              <w:ind w:firstLine="0"/>
              <w:jc w:val="center"/>
            </w:pPr>
            <w:r>
              <w:rPr>
                <w:b w:val="0"/>
                <w:i w:val="0"/>
                <w:sz w:val="20"/>
              </w:rPr>
              <w:t>Отвалы Каратау</w:t>
            </w:r>
          </w:p>
        </w:tc>
        <w:tc>
          <w:tcPr>
            <w:tcW w:type="dxa" w:w="1995"/>
          </w:tcPr>
          <w:p>
            <w:pPr>
              <w:spacing w:after="0" w:line="240" w:lineRule="auto"/>
              <w:ind w:firstLine="0"/>
              <w:jc w:val="center"/>
            </w:pPr>
            <w:r>
              <w:rPr>
                <w:b w:val="0"/>
                <w:i w:val="0"/>
                <w:sz w:val="20"/>
              </w:rPr>
              <w:t>техногенный</w:t>
            </w:r>
          </w:p>
        </w:tc>
        <w:tc>
          <w:tcPr>
            <w:tcW w:type="dxa" w:w="1995"/>
          </w:tcPr>
          <w:p>
            <w:pPr>
              <w:spacing w:after="0" w:line="240" w:lineRule="auto"/>
              <w:ind w:firstLine="0"/>
              <w:jc w:val="center"/>
            </w:pPr>
            <w:r>
              <w:rPr>
                <w:b w:val="0"/>
                <w:i w:val="0"/>
                <w:sz w:val="20"/>
              </w:rPr>
              <w:t>120</w:t>
            </w:r>
          </w:p>
        </w:tc>
        <w:tc>
          <w:tcPr>
            <w:tcW w:type="dxa" w:w="1995"/>
          </w:tcPr>
          <w:p>
            <w:pPr>
              <w:spacing w:after="0" w:line="240" w:lineRule="auto"/>
              <w:ind w:firstLine="0"/>
              <w:jc w:val="center"/>
            </w:pPr>
            <w:r>
              <w:rPr>
                <w:b w:val="0"/>
                <w:i w:val="0"/>
                <w:sz w:val="20"/>
              </w:rPr>
              <w:t>не осваивается</w:t>
            </w:r>
          </w:p>
        </w:tc>
      </w:tr>
      <w:tr>
        <w:tc>
          <w:tcPr>
            <w:tcW w:type="dxa" w:w="1995"/>
          </w:tcPr>
          <w:p>
            <w:pPr>
              <w:spacing w:after="0" w:line="240" w:lineRule="auto"/>
              <w:ind w:firstLine="0"/>
              <w:jc w:val="left"/>
            </w:pPr>
            <w:r>
              <w:rPr>
                <w:b w:val="0"/>
                <w:i w:val="0"/>
                <w:sz w:val="20"/>
              </w:rPr>
              <w:t>Казахстан</w:t>
            </w:r>
          </w:p>
        </w:tc>
        <w:tc>
          <w:tcPr>
            <w:tcW w:type="dxa" w:w="1995"/>
          </w:tcPr>
          <w:p>
            <w:pPr>
              <w:spacing w:after="0" w:line="240" w:lineRule="auto"/>
              <w:ind w:firstLine="0"/>
              <w:jc w:val="center"/>
            </w:pPr>
            <w:r>
              <w:rPr>
                <w:b w:val="0"/>
                <w:i w:val="0"/>
                <w:sz w:val="20"/>
              </w:rPr>
              <w:t>Обуховское</w:t>
            </w:r>
          </w:p>
        </w:tc>
        <w:tc>
          <w:tcPr>
            <w:tcW w:type="dxa" w:w="1995"/>
          </w:tcPr>
          <w:p>
            <w:pPr>
              <w:spacing w:after="0" w:line="240" w:lineRule="auto"/>
              <w:ind w:firstLine="0"/>
              <w:jc w:val="center"/>
            </w:pPr>
            <w:r>
              <w:rPr>
                <w:b w:val="0"/>
                <w:i w:val="0"/>
                <w:sz w:val="20"/>
              </w:rPr>
              <w:t>россыпь</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попутный</w:t>
            </w:r>
          </w:p>
        </w:tc>
      </w:tr>
      <w:tr>
        <w:tc>
          <w:tcPr>
            <w:tcW w:type="dxa" w:w="1995"/>
          </w:tcPr>
          <w:p>
            <w:pPr>
              <w:spacing w:after="0" w:line="240" w:lineRule="auto"/>
              <w:ind w:firstLine="0"/>
              <w:jc w:val="left"/>
            </w:pPr>
            <w:r>
              <w:rPr>
                <w:b w:val="0"/>
                <w:i w:val="0"/>
                <w:sz w:val="20"/>
              </w:rPr>
              <w:t>Кыргызстан</w:t>
            </w:r>
          </w:p>
        </w:tc>
        <w:tc>
          <w:tcPr>
            <w:tcW w:type="dxa" w:w="1995"/>
          </w:tcPr>
          <w:p>
            <w:pPr>
              <w:spacing w:after="0" w:line="240" w:lineRule="auto"/>
              <w:ind w:firstLine="0"/>
              <w:jc w:val="center"/>
            </w:pPr>
            <w:r>
              <w:rPr>
                <w:b w:val="0"/>
                <w:i w:val="0"/>
                <w:sz w:val="20"/>
              </w:rPr>
              <w:t>Кутессай II</w:t>
            </w:r>
          </w:p>
        </w:tc>
        <w:tc>
          <w:tcPr>
            <w:tcW w:type="dxa" w:w="1995"/>
          </w:tcPr>
          <w:p>
            <w:pPr>
              <w:spacing w:after="0" w:line="240" w:lineRule="auto"/>
              <w:ind w:firstLine="0"/>
              <w:jc w:val="center"/>
            </w:pPr>
            <w:r>
              <w:rPr>
                <w:b w:val="0"/>
                <w:i w:val="0"/>
                <w:sz w:val="20"/>
              </w:rPr>
              <w:t>метасоматиты</w:t>
            </w:r>
          </w:p>
        </w:tc>
        <w:tc>
          <w:tcPr>
            <w:tcW w:type="dxa" w:w="1995"/>
          </w:tcPr>
          <w:p>
            <w:pPr>
              <w:spacing w:after="0" w:line="240" w:lineRule="auto"/>
              <w:ind w:firstLine="0"/>
              <w:jc w:val="center"/>
            </w:pPr>
            <w:r>
              <w:rPr>
                <w:b w:val="0"/>
                <w:i w:val="0"/>
                <w:sz w:val="20"/>
              </w:rPr>
              <w:t>51</w:t>
            </w:r>
          </w:p>
        </w:tc>
        <w:tc>
          <w:tcPr>
            <w:tcW w:type="dxa" w:w="1995"/>
          </w:tcPr>
          <w:p>
            <w:pPr>
              <w:spacing w:after="0" w:line="240" w:lineRule="auto"/>
              <w:ind w:firstLine="0"/>
              <w:jc w:val="center"/>
            </w:pPr>
            <w:r>
              <w:rPr>
                <w:b w:val="0"/>
                <w:i w:val="0"/>
                <w:sz w:val="20"/>
              </w:rPr>
              <w:t>не осваивается</w:t>
            </w:r>
          </w:p>
        </w:tc>
      </w:tr>
      <w:tr>
        <w:tc>
          <w:tcPr>
            <w:tcW w:type="dxa" w:w="1995"/>
          </w:tcPr>
          <w:p>
            <w:pPr>
              <w:spacing w:after="0" w:line="240" w:lineRule="auto"/>
              <w:ind w:firstLine="0"/>
              <w:jc w:val="left"/>
            </w:pPr>
            <w:r>
              <w:rPr>
                <w:b w:val="0"/>
                <w:i w:val="0"/>
                <w:sz w:val="20"/>
              </w:rPr>
              <w:t>Кыргызстан</w:t>
            </w:r>
          </w:p>
        </w:tc>
        <w:tc>
          <w:tcPr>
            <w:tcW w:type="dxa" w:w="1995"/>
          </w:tcPr>
          <w:p>
            <w:pPr>
              <w:spacing w:after="0" w:line="240" w:lineRule="auto"/>
              <w:ind w:firstLine="0"/>
              <w:jc w:val="center"/>
            </w:pPr>
            <w:r>
              <w:rPr>
                <w:b w:val="0"/>
                <w:i w:val="0"/>
                <w:sz w:val="20"/>
              </w:rPr>
              <w:t>Актюз (отвалы)</w:t>
            </w:r>
          </w:p>
        </w:tc>
        <w:tc>
          <w:tcPr>
            <w:tcW w:type="dxa" w:w="1995"/>
          </w:tcPr>
          <w:p>
            <w:pPr>
              <w:spacing w:after="0" w:line="240" w:lineRule="auto"/>
              <w:ind w:firstLine="0"/>
              <w:jc w:val="center"/>
            </w:pPr>
            <w:r>
              <w:rPr>
                <w:b w:val="0"/>
                <w:i w:val="0"/>
                <w:sz w:val="20"/>
              </w:rPr>
              <w:t>техногенный</w:t>
            </w:r>
          </w:p>
        </w:tc>
        <w:tc>
          <w:tcPr>
            <w:tcW w:type="dxa" w:w="1995"/>
          </w:tcPr>
          <w:p>
            <w:pPr>
              <w:spacing w:after="0" w:line="240" w:lineRule="auto"/>
              <w:ind w:firstLine="0"/>
              <w:jc w:val="center"/>
            </w:pPr>
            <w:r>
              <w:rPr>
                <w:b w:val="0"/>
                <w:i w:val="0"/>
                <w:sz w:val="20"/>
              </w:rPr>
              <w:t>15</w:t>
            </w:r>
          </w:p>
        </w:tc>
        <w:tc>
          <w:tcPr>
            <w:tcW w:type="dxa" w:w="1995"/>
          </w:tcPr>
          <w:p>
            <w:pPr>
              <w:spacing w:after="0" w:line="240" w:lineRule="auto"/>
              <w:ind w:firstLine="0"/>
              <w:jc w:val="center"/>
            </w:pPr>
            <w:r>
              <w:rPr>
                <w:b w:val="0"/>
                <w:i w:val="0"/>
                <w:sz w:val="20"/>
              </w:rPr>
              <w:t>не осваивается</w:t>
            </w:r>
          </w:p>
        </w:tc>
      </w:tr>
      <w:tr>
        <w:tc>
          <w:tcPr>
            <w:tcW w:type="dxa" w:w="1995"/>
          </w:tcPr>
          <w:p>
            <w:pPr>
              <w:spacing w:after="0" w:line="240" w:lineRule="auto"/>
              <w:ind w:firstLine="0"/>
              <w:jc w:val="left"/>
            </w:pPr>
            <w:r>
              <w:rPr>
                <w:b w:val="0"/>
                <w:i w:val="0"/>
                <w:sz w:val="20"/>
              </w:rPr>
              <w:t>Узбекистан*</w:t>
            </w:r>
          </w:p>
        </w:tc>
        <w:tc>
          <w:tcPr>
            <w:tcW w:type="dxa" w:w="1995"/>
          </w:tcPr>
          <w:p>
            <w:pPr>
              <w:spacing w:after="0" w:line="240" w:lineRule="auto"/>
              <w:ind w:firstLine="0"/>
              <w:jc w:val="center"/>
            </w:pPr>
            <w:r>
              <w:rPr>
                <w:b w:val="0"/>
                <w:i w:val="0"/>
                <w:sz w:val="20"/>
              </w:rPr>
              <w:t>Отвалы НГМК</w:t>
            </w:r>
          </w:p>
        </w:tc>
        <w:tc>
          <w:tcPr>
            <w:tcW w:type="dxa" w:w="1995"/>
          </w:tcPr>
          <w:p>
            <w:pPr>
              <w:spacing w:after="0" w:line="240" w:lineRule="auto"/>
              <w:ind w:firstLine="0"/>
              <w:jc w:val="center"/>
            </w:pPr>
            <w:r>
              <w:rPr>
                <w:b w:val="0"/>
                <w:i w:val="0"/>
                <w:sz w:val="20"/>
              </w:rPr>
              <w:t>техногенный</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опытное извлечение</w:t>
            </w:r>
          </w:p>
        </w:tc>
      </w:tr>
    </w:tbl>
    <w:p>
      <w:pPr>
        <w:spacing w:after="180"/>
        <w:ind w:firstLine="0"/>
      </w:pPr>
      <w:r>
        <w:rPr>
          <w:i/>
          <w:sz w:val="20"/>
        </w:rPr>
        <w:t>Источник: аналитический центр по данным национальных геологических служб и корпоративных раскрытий</w:t>
      </w:r>
    </w:p>
    <w:p>
      <w:r>
        <w:rPr>
          <w:b w:val="0"/>
          <w:i w:val="0"/>
        </w:rPr>
        <w:t>Примечание к таблице 68: Республика Узбекистан не является членом ЕАЭС (имеет статус наблюдателя), включена в таблицу для полноты картины регионального потенциала.</w:t>
      </w:r>
    </w:p>
    <w:p>
      <w:pPr>
        <w:keepNext/>
        <w:spacing w:before="160" w:after="60"/>
        <w:ind w:firstLine="0"/>
        <w:jc w:val="left"/>
      </w:pPr>
      <w:r>
        <w:rPr>
          <w:b/>
          <w:sz w:val="22"/>
        </w:rPr>
        <w:t>Рисунок 54. Запасы редкоземельного сырья стран ЕАЭС и сопредельных государств, тыс. т TREO</w:t>
      </w:r>
    </w:p>
    <w:p>
      <w:pPr>
        <w:ind w:firstLine="0"/>
        <w:jc w:val="center"/>
      </w:pPr>
      <w:r>
        <w:drawing>
          <wp:inline xmlns:a="http://schemas.openxmlformats.org/drawingml/2006/main" xmlns:pic="http://schemas.openxmlformats.org/drawingml/2006/picture">
            <wp:extent cx="5580000" cy="2749565"/>
            <wp:docPr id="54" name="Picture 54"/>
            <wp:cNvGraphicFramePr>
              <a:graphicFrameLocks noChangeAspect="1"/>
            </wp:cNvGraphicFramePr>
            <a:graphic>
              <a:graphicData uri="http://schemas.openxmlformats.org/drawingml/2006/picture">
                <pic:pic>
                  <pic:nvPicPr>
                    <pic:cNvPr id="0" name="fig54.png"/>
                    <pic:cNvPicPr/>
                  </pic:nvPicPr>
                  <pic:blipFill>
                    <a:blip r:embed="rId64"/>
                    <a:stretch>
                      <a:fillRect/>
                    </a:stretch>
                  </pic:blipFill>
                  <pic:spPr>
                    <a:xfrm>
                      <a:off x="0" y="0"/>
                      <a:ext cx="5580000" cy="2749565"/>
                    </a:xfrm>
                    <a:prstGeom prst="rect"/>
                  </pic:spPr>
                </pic:pic>
              </a:graphicData>
            </a:graphic>
          </wp:inline>
        </w:drawing>
      </w:r>
    </w:p>
    <w:p>
      <w:pPr>
        <w:spacing w:after="180"/>
        <w:ind w:firstLine="0"/>
      </w:pPr>
      <w:r>
        <w:rPr>
          <w:i/>
          <w:sz w:val="20"/>
        </w:rPr>
        <w:t>Источник: аналитический центр (табл. 62, 68)</w:t>
      </w:r>
    </w:p>
    <w:p>
      <w:r>
        <w:br w:type="page"/>
      </w:r>
    </w:p>
    <w:p>
      <w:pPr>
        <w:pStyle w:val="Heading1"/>
      </w:pPr>
      <w:r>
        <w:rPr>
          <w:b w:val="0"/>
          <w:i w:val="0"/>
        </w:rPr>
        <w:t>10. Добыча и производство редкоземельной продукции в Российской Федерации</w:t>
      </w:r>
    </w:p>
    <w:p>
      <w:pPr>
        <w:pStyle w:val="Heading2"/>
      </w:pPr>
      <w:r>
        <w:rPr>
          <w:b w:val="0"/>
          <w:i w:val="0"/>
        </w:rPr>
        <w:t>10.1. Историческая ретроспектива</w:t>
      </w:r>
    </w:p>
    <w:p>
      <w:r>
        <w:rPr>
          <w:b w:val="0"/>
          <w:i w:val="0"/>
        </w:rPr>
        <w:t>Редкоземельная промышленность СССР была создана в 1950–1960-е гг. как элемент оборонного и атомного комплекса и к концу 1980-х гг. представляла собой систему полного цикла с годовым производством порядка 8–10 тыс. т TREO, что соответствовало третьему месту в мире после США и Китая.</w:t>
      </w:r>
    </w:p>
    <w:p>
      <w:r>
        <w:rPr>
          <w:b w:val="0"/>
          <w:i w:val="0"/>
        </w:rPr>
        <w:t>Структура советской отрасли включала:</w:t>
      </w:r>
    </w:p>
    <w:p>
      <w:pPr>
        <w:pStyle w:val="ListBullet"/>
        <w:spacing w:after="20"/>
        <w:ind w:firstLine="0"/>
      </w:pPr>
      <w:r>
        <w:rPr>
          <w:b/>
          <w:i w:val="0"/>
        </w:rPr>
        <w:t>сырьевое звено:</w:t>
      </w:r>
      <w:r>
        <w:rPr>
          <w:b w:val="0"/>
          <w:i w:val="0"/>
        </w:rPr>
        <w:t xml:space="preserve"> Ловозёрский ГОК (лопаритовый концентрат), Киргизский горно-металлургический комбинат (Кутессай II), Прикаспийский ГМК (попутное извлечение из урановых руд), Вольногорский ГМК (Украинская ССР, монацит из россыпей);</w:t>
      </w:r>
    </w:p>
    <w:p>
      <w:pPr>
        <w:pStyle w:val="ListBullet"/>
        <w:spacing w:after="20"/>
        <w:ind w:firstLine="0"/>
      </w:pPr>
      <w:r>
        <w:rPr>
          <w:b/>
          <w:i w:val="0"/>
        </w:rPr>
        <w:t>химико-металлургическое звено:</w:t>
      </w:r>
      <w:r>
        <w:rPr>
          <w:b w:val="0"/>
          <w:i w:val="0"/>
        </w:rPr>
        <w:t xml:space="preserve"> Соликамский магниевый завод (вскрытие лопарита), Силламяэский химико-металлургический завод (Эстонская ССР) — разделение и производство индивидуальных оксидов, Иртышский химико-металлургический завод (Казахская ССР), Приднепровский химический завод (Украинская ССР);</w:t>
      </w:r>
    </w:p>
    <w:p>
      <w:pPr>
        <w:pStyle w:val="ListBullet"/>
        <w:spacing w:after="20"/>
        <w:ind w:firstLine="0"/>
      </w:pPr>
      <w:r>
        <w:rPr>
          <w:b/>
          <w:i w:val="0"/>
        </w:rPr>
        <w:t>потребляющее звено:</w:t>
      </w:r>
      <w:r>
        <w:rPr>
          <w:b w:val="0"/>
          <w:i w:val="0"/>
        </w:rPr>
        <w:t xml:space="preserve"> предприятия электронной, оптической, металлургической и оборонной промышленности.</w:t>
      </w:r>
    </w:p>
    <w:p>
      <w:r>
        <w:rPr>
          <w:b w:val="0"/>
          <w:i w:val="0"/>
        </w:rPr>
        <w:t>Распад СССР привёл к разрыву этой системы по государственным границам: сырьё осталось преимущественно в России, а ключевые разделительные мощности — в Эстонии, Казахстане и на Украине. Одновременно произошло обвальное сокращение внутреннего спроса вследствие сжатия оборонного заказа и электронной промышленности.</w:t>
      </w:r>
    </w:p>
    <w:p>
      <w:r>
        <w:rPr>
          <w:b w:val="0"/>
          <w:i w:val="0"/>
        </w:rPr>
        <w:t>К началу 2000-х гг. от отрасли сохранилось единственное действующее звено: Ловозёрский ГОК — Соликамский магниевый завод, производивший коллективный карбонат редких земель, экспортируемый в Эстонию (Силламяэ, впоследствии Neo Performance Materials) для разделения. Эта конфигурация — добыча и первичная переработка в России, разделение и добавленная стоимость за рубежом — сохранялась без принципиальных изменений на протяжении двух десятилетий.</w:t>
      </w:r>
    </w:p>
    <w:p>
      <w:pPr>
        <w:keepNext/>
        <w:spacing w:before="160" w:after="60"/>
        <w:ind w:firstLine="0"/>
        <w:jc w:val="left"/>
      </w:pPr>
      <w:r>
        <w:rPr>
          <w:b/>
          <w:sz w:val="22"/>
        </w:rPr>
        <w:t>Таблица 69. Сопоставление структуры редкоземельной отрасли СССР (конец 1980-х гг.) и Российской Федерации (2025 г.)</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Передел</w:t>
            </w:r>
          </w:p>
        </w:tc>
        <w:tc>
          <w:tcPr>
            <w:tcW w:type="dxa" w:w="3324"/>
            <w:shd w:val="clear" w:fill="DCE6F1"/>
          </w:tcPr>
          <w:p>
            <w:pPr>
              <w:spacing w:after="0" w:line="240" w:lineRule="auto"/>
              <w:ind w:firstLine="0"/>
              <w:jc w:val="center"/>
            </w:pPr>
            <w:r>
              <w:rPr>
                <w:b/>
                <w:i w:val="0"/>
                <w:sz w:val="20"/>
              </w:rPr>
              <w:t>СССР, конец 1980-х гг.</w:t>
            </w:r>
          </w:p>
        </w:tc>
        <w:tc>
          <w:tcPr>
            <w:tcW w:type="dxa" w:w="3324"/>
            <w:shd w:val="clear" w:fill="DCE6F1"/>
          </w:tcPr>
          <w:p>
            <w:pPr>
              <w:spacing w:after="0" w:line="240" w:lineRule="auto"/>
              <w:ind w:firstLine="0"/>
              <w:jc w:val="center"/>
            </w:pPr>
            <w:r>
              <w:rPr>
                <w:b/>
                <w:i w:val="0"/>
                <w:sz w:val="20"/>
              </w:rPr>
              <w:t>Российская Федерация, 2025 г.</w:t>
            </w:r>
          </w:p>
        </w:tc>
      </w:tr>
      <w:tr>
        <w:tc>
          <w:tcPr>
            <w:tcW w:type="dxa" w:w="3324"/>
          </w:tcPr>
          <w:p>
            <w:pPr>
              <w:spacing w:after="0" w:line="240" w:lineRule="auto"/>
              <w:ind w:firstLine="0"/>
              <w:jc w:val="left"/>
            </w:pPr>
            <w:r>
              <w:rPr>
                <w:b w:val="0"/>
                <w:i w:val="0"/>
                <w:sz w:val="20"/>
              </w:rPr>
              <w:t>Добыча</w:t>
            </w:r>
          </w:p>
        </w:tc>
        <w:tc>
          <w:tcPr>
            <w:tcW w:type="dxa" w:w="3324"/>
          </w:tcPr>
          <w:p>
            <w:pPr>
              <w:spacing w:after="0" w:line="240" w:lineRule="auto"/>
              <w:ind w:firstLine="0"/>
              <w:jc w:val="center"/>
            </w:pPr>
            <w:r>
              <w:rPr>
                <w:b w:val="0"/>
                <w:i w:val="0"/>
                <w:sz w:val="20"/>
              </w:rPr>
              <w:t>4 предприятия, ~10 тыс. т TREO</w:t>
            </w:r>
          </w:p>
        </w:tc>
        <w:tc>
          <w:tcPr>
            <w:tcW w:type="dxa" w:w="3324"/>
          </w:tcPr>
          <w:p>
            <w:pPr>
              <w:spacing w:after="0" w:line="240" w:lineRule="auto"/>
              <w:ind w:firstLine="0"/>
              <w:jc w:val="center"/>
            </w:pPr>
            <w:r>
              <w:rPr>
                <w:b w:val="0"/>
                <w:i w:val="0"/>
                <w:sz w:val="20"/>
              </w:rPr>
              <w:t>1 предприятие, ~2,5 тыс. т TREO</w:t>
            </w:r>
          </w:p>
        </w:tc>
      </w:tr>
      <w:tr>
        <w:tc>
          <w:tcPr>
            <w:tcW w:type="dxa" w:w="3324"/>
          </w:tcPr>
          <w:p>
            <w:pPr>
              <w:spacing w:after="0" w:line="240" w:lineRule="auto"/>
              <w:ind w:firstLine="0"/>
              <w:jc w:val="left"/>
            </w:pPr>
            <w:r>
              <w:rPr>
                <w:b w:val="0"/>
                <w:i w:val="0"/>
                <w:sz w:val="20"/>
              </w:rPr>
              <w:t>Вскрытие концентратов</w:t>
            </w:r>
          </w:p>
        </w:tc>
        <w:tc>
          <w:tcPr>
            <w:tcW w:type="dxa" w:w="3324"/>
          </w:tcPr>
          <w:p>
            <w:pPr>
              <w:spacing w:after="0" w:line="240" w:lineRule="auto"/>
              <w:ind w:firstLine="0"/>
              <w:jc w:val="center"/>
            </w:pPr>
            <w:r>
              <w:rPr>
                <w:b w:val="0"/>
                <w:i w:val="0"/>
                <w:sz w:val="20"/>
              </w:rPr>
              <w:t>4 предприятия</w:t>
            </w:r>
          </w:p>
        </w:tc>
        <w:tc>
          <w:tcPr>
            <w:tcW w:type="dxa" w:w="3324"/>
          </w:tcPr>
          <w:p>
            <w:pPr>
              <w:spacing w:after="0" w:line="240" w:lineRule="auto"/>
              <w:ind w:firstLine="0"/>
              <w:jc w:val="center"/>
            </w:pPr>
            <w:r>
              <w:rPr>
                <w:b w:val="0"/>
                <w:i w:val="0"/>
                <w:sz w:val="20"/>
              </w:rPr>
              <w:t>1 предприятие (СМЗ)</w:t>
            </w:r>
          </w:p>
        </w:tc>
      </w:tr>
      <w:tr>
        <w:tc>
          <w:tcPr>
            <w:tcW w:type="dxa" w:w="3324"/>
          </w:tcPr>
          <w:p>
            <w:pPr>
              <w:spacing w:after="0" w:line="240" w:lineRule="auto"/>
              <w:ind w:firstLine="0"/>
              <w:jc w:val="left"/>
            </w:pPr>
            <w:r>
              <w:rPr>
                <w:b w:val="0"/>
                <w:i w:val="0"/>
                <w:sz w:val="20"/>
              </w:rPr>
              <w:t>Разделение</w:t>
            </w:r>
          </w:p>
        </w:tc>
        <w:tc>
          <w:tcPr>
            <w:tcW w:type="dxa" w:w="3324"/>
          </w:tcPr>
          <w:p>
            <w:pPr>
              <w:spacing w:after="0" w:line="240" w:lineRule="auto"/>
              <w:ind w:firstLine="0"/>
              <w:jc w:val="center"/>
            </w:pPr>
            <w:r>
              <w:rPr>
                <w:b w:val="0"/>
                <w:i w:val="0"/>
                <w:sz w:val="20"/>
              </w:rPr>
              <w:t>3 предприятия, полная номенклатура</w:t>
            </w:r>
          </w:p>
        </w:tc>
        <w:tc>
          <w:tcPr>
            <w:tcW w:type="dxa" w:w="3324"/>
          </w:tcPr>
          <w:p>
            <w:pPr>
              <w:spacing w:after="0" w:line="240" w:lineRule="auto"/>
              <w:ind w:firstLine="0"/>
              <w:jc w:val="center"/>
            </w:pPr>
            <w:r>
              <w:rPr>
                <w:b w:val="0"/>
                <w:i w:val="0"/>
                <w:sz w:val="20"/>
              </w:rPr>
              <w:t>2 предприятия, ограниченная номенклатура</w:t>
            </w:r>
          </w:p>
        </w:tc>
      </w:tr>
      <w:tr>
        <w:tc>
          <w:tcPr>
            <w:tcW w:type="dxa" w:w="3324"/>
          </w:tcPr>
          <w:p>
            <w:pPr>
              <w:spacing w:after="0" w:line="240" w:lineRule="auto"/>
              <w:ind w:firstLine="0"/>
              <w:jc w:val="left"/>
            </w:pPr>
            <w:r>
              <w:rPr>
                <w:b w:val="0"/>
                <w:i w:val="0"/>
                <w:sz w:val="20"/>
              </w:rPr>
              <w:t>Производство металлов</w:t>
            </w:r>
          </w:p>
        </w:tc>
        <w:tc>
          <w:tcPr>
            <w:tcW w:type="dxa" w:w="3324"/>
          </w:tcPr>
          <w:p>
            <w:pPr>
              <w:spacing w:after="0" w:line="240" w:lineRule="auto"/>
              <w:ind w:firstLine="0"/>
              <w:jc w:val="center"/>
            </w:pPr>
            <w:r>
              <w:rPr>
                <w:b w:val="0"/>
                <w:i w:val="0"/>
                <w:sz w:val="20"/>
              </w:rPr>
              <w:t>3 предприятия</w:t>
            </w:r>
          </w:p>
        </w:tc>
        <w:tc>
          <w:tcPr>
            <w:tcW w:type="dxa" w:w="3324"/>
          </w:tcPr>
          <w:p>
            <w:pPr>
              <w:spacing w:after="0" w:line="240" w:lineRule="auto"/>
              <w:ind w:firstLine="0"/>
              <w:jc w:val="center"/>
            </w:pPr>
            <w:r>
              <w:rPr>
                <w:b w:val="0"/>
                <w:i w:val="0"/>
                <w:sz w:val="20"/>
              </w:rPr>
              <w:t>1 предприятие (ограниченно)</w:t>
            </w:r>
          </w:p>
        </w:tc>
      </w:tr>
      <w:tr>
        <w:tc>
          <w:tcPr>
            <w:tcW w:type="dxa" w:w="3324"/>
          </w:tcPr>
          <w:p>
            <w:pPr>
              <w:spacing w:after="0" w:line="240" w:lineRule="auto"/>
              <w:ind w:firstLine="0"/>
              <w:jc w:val="left"/>
            </w:pPr>
            <w:r>
              <w:rPr>
                <w:b w:val="0"/>
                <w:i w:val="0"/>
                <w:sz w:val="20"/>
              </w:rPr>
              <w:t>Производство магнитов</w:t>
            </w:r>
          </w:p>
        </w:tc>
        <w:tc>
          <w:tcPr>
            <w:tcW w:type="dxa" w:w="3324"/>
          </w:tcPr>
          <w:p>
            <w:pPr>
              <w:spacing w:after="0" w:line="240" w:lineRule="auto"/>
              <w:ind w:firstLine="0"/>
              <w:jc w:val="center"/>
            </w:pPr>
            <w:r>
              <w:rPr>
                <w:b w:val="0"/>
                <w:i w:val="0"/>
                <w:sz w:val="20"/>
              </w:rPr>
              <w:t>4 предприятия, ~1,5 тыс. т</w:t>
            </w:r>
          </w:p>
        </w:tc>
        <w:tc>
          <w:tcPr>
            <w:tcW w:type="dxa" w:w="3324"/>
          </w:tcPr>
          <w:p>
            <w:pPr>
              <w:spacing w:after="0" w:line="240" w:lineRule="auto"/>
              <w:ind w:firstLine="0"/>
              <w:jc w:val="center"/>
            </w:pPr>
            <w:r>
              <w:rPr>
                <w:b w:val="0"/>
                <w:i w:val="0"/>
                <w:sz w:val="20"/>
              </w:rPr>
              <w:t>опытные производства</w:t>
            </w:r>
          </w:p>
        </w:tc>
      </w:tr>
      <w:tr>
        <w:tc>
          <w:tcPr>
            <w:tcW w:type="dxa" w:w="3324"/>
          </w:tcPr>
          <w:p>
            <w:pPr>
              <w:spacing w:after="0" w:line="240" w:lineRule="auto"/>
              <w:ind w:firstLine="0"/>
              <w:jc w:val="left"/>
            </w:pPr>
            <w:r>
              <w:rPr>
                <w:b w:val="0"/>
                <w:i w:val="0"/>
                <w:sz w:val="20"/>
              </w:rPr>
              <w:t>Потребление</w:t>
            </w:r>
          </w:p>
        </w:tc>
        <w:tc>
          <w:tcPr>
            <w:tcW w:type="dxa" w:w="3324"/>
          </w:tcPr>
          <w:p>
            <w:pPr>
              <w:spacing w:after="0" w:line="240" w:lineRule="auto"/>
              <w:ind w:firstLine="0"/>
              <w:jc w:val="center"/>
            </w:pPr>
            <w:r>
              <w:rPr>
                <w:b w:val="0"/>
                <w:i w:val="0"/>
                <w:sz w:val="20"/>
              </w:rPr>
              <w:t>~8 тыс. т TREO</w:t>
            </w:r>
          </w:p>
        </w:tc>
        <w:tc>
          <w:tcPr>
            <w:tcW w:type="dxa" w:w="3324"/>
          </w:tcPr>
          <w:p>
            <w:pPr>
              <w:spacing w:after="0" w:line="240" w:lineRule="auto"/>
              <w:ind w:firstLine="0"/>
              <w:jc w:val="center"/>
            </w:pPr>
            <w:r>
              <w:rPr>
                <w:b w:val="0"/>
                <w:i w:val="0"/>
                <w:sz w:val="20"/>
              </w:rPr>
              <w:t>~1,1 тыс. т TREO</w:t>
            </w:r>
          </w:p>
        </w:tc>
      </w:tr>
    </w:tbl>
    <w:p>
      <w:pPr>
        <w:spacing w:after="180"/>
        <w:ind w:firstLine="0"/>
      </w:pPr>
      <w:r>
        <w:rPr>
          <w:i/>
          <w:sz w:val="20"/>
        </w:rPr>
        <w:t>Источник: аналитический центр по данным отраслевых публикаций</w:t>
      </w:r>
    </w:p>
    <w:p>
      <w:pPr>
        <w:pStyle w:val="Heading2"/>
      </w:pPr>
      <w:r>
        <w:rPr>
          <w:b w:val="0"/>
          <w:i w:val="0"/>
        </w:rPr>
        <w:t>10.2. Динамика производства редкоземельной продукции в 2002–2025 гг.</w:t>
      </w:r>
    </w:p>
    <w:p>
      <w:r>
        <w:rPr>
          <w:b w:val="0"/>
          <w:i w:val="0"/>
        </w:rPr>
        <w:t>Производство редкоземельной продукции в Российской Федерации на протяжении рассматриваемого периода характеризовалось стабильностью на низком уровне при полном отсутствии структурных изменений вплоть до 2023–2025 гг.</w:t>
      </w:r>
    </w:p>
    <w:p>
      <w:pPr>
        <w:keepNext/>
        <w:spacing w:before="160" w:after="60"/>
        <w:ind w:firstLine="0"/>
        <w:jc w:val="left"/>
      </w:pPr>
      <w:r>
        <w:rPr>
          <w:b/>
          <w:sz w:val="22"/>
        </w:rPr>
        <w:t>Таблица 70. Производство редкоземельной продукции в Российской Федерации, 2002–2025 гг., т TREO</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Год</w:t>
            </w:r>
          </w:p>
        </w:tc>
        <w:tc>
          <w:tcPr>
            <w:tcW w:type="dxa" w:w="1995"/>
            <w:shd w:val="clear" w:fill="DCE6F1"/>
          </w:tcPr>
          <w:p>
            <w:pPr>
              <w:spacing w:after="0" w:line="240" w:lineRule="auto"/>
              <w:ind w:firstLine="0"/>
              <w:jc w:val="center"/>
            </w:pPr>
            <w:r>
              <w:rPr>
                <w:b/>
                <w:i w:val="0"/>
                <w:sz w:val="20"/>
              </w:rPr>
              <w:t>Лопаритовый концентрат (в TREO)</w:t>
            </w:r>
          </w:p>
        </w:tc>
        <w:tc>
          <w:tcPr>
            <w:tcW w:type="dxa" w:w="1995"/>
            <w:shd w:val="clear" w:fill="DCE6F1"/>
          </w:tcPr>
          <w:p>
            <w:pPr>
              <w:spacing w:after="0" w:line="240" w:lineRule="auto"/>
              <w:ind w:firstLine="0"/>
              <w:jc w:val="center"/>
            </w:pPr>
            <w:r>
              <w:rPr>
                <w:b/>
                <w:i w:val="0"/>
                <w:sz w:val="20"/>
              </w:rPr>
              <w:t>Коллективный карбонат (СМЗ)</w:t>
            </w:r>
          </w:p>
        </w:tc>
        <w:tc>
          <w:tcPr>
            <w:tcW w:type="dxa" w:w="1995"/>
            <w:shd w:val="clear" w:fill="DCE6F1"/>
          </w:tcPr>
          <w:p>
            <w:pPr>
              <w:spacing w:after="0" w:line="240" w:lineRule="auto"/>
              <w:ind w:firstLine="0"/>
              <w:jc w:val="center"/>
            </w:pPr>
            <w:r>
              <w:rPr>
                <w:b/>
                <w:i w:val="0"/>
                <w:sz w:val="20"/>
              </w:rPr>
              <w:t>Разделённая продукция</w:t>
            </w:r>
          </w:p>
        </w:tc>
        <w:tc>
          <w:tcPr>
            <w:tcW w:type="dxa" w:w="1995"/>
            <w:shd w:val="clear" w:fill="DCE6F1"/>
          </w:tcPr>
          <w:p>
            <w:pPr>
              <w:spacing w:after="0" w:line="240" w:lineRule="auto"/>
              <w:ind w:firstLine="0"/>
              <w:jc w:val="center"/>
            </w:pPr>
            <w:r>
              <w:rPr>
                <w:b/>
                <w:i w:val="0"/>
                <w:sz w:val="20"/>
              </w:rPr>
              <w:t>Всего товарной продукции</w:t>
            </w:r>
          </w:p>
        </w:tc>
      </w:tr>
      <w:tr>
        <w:tc>
          <w:tcPr>
            <w:tcW w:type="dxa" w:w="1995"/>
          </w:tcPr>
          <w:p>
            <w:pPr>
              <w:spacing w:after="0" w:line="240" w:lineRule="auto"/>
              <w:ind w:firstLine="0"/>
              <w:jc w:val="left"/>
            </w:pPr>
            <w:r>
              <w:rPr>
                <w:b w:val="0"/>
                <w:i w:val="0"/>
                <w:sz w:val="20"/>
              </w:rPr>
              <w:t>2002</w:t>
            </w:r>
          </w:p>
        </w:tc>
        <w:tc>
          <w:tcPr>
            <w:tcW w:type="dxa" w:w="1995"/>
          </w:tcPr>
          <w:p>
            <w:pPr>
              <w:spacing w:after="0" w:line="240" w:lineRule="auto"/>
              <w:ind w:firstLine="0"/>
              <w:jc w:val="center"/>
            </w:pPr>
            <w:r>
              <w:rPr>
                <w:b w:val="0"/>
                <w:i w:val="0"/>
                <w:sz w:val="20"/>
              </w:rPr>
              <w:t>2 620</w:t>
            </w:r>
          </w:p>
        </w:tc>
        <w:tc>
          <w:tcPr>
            <w:tcW w:type="dxa" w:w="1995"/>
          </w:tcPr>
          <w:p>
            <w:pPr>
              <w:spacing w:after="0" w:line="240" w:lineRule="auto"/>
              <w:ind w:firstLine="0"/>
              <w:jc w:val="center"/>
            </w:pPr>
            <w:r>
              <w:rPr>
                <w:b w:val="0"/>
                <w:i w:val="0"/>
                <w:sz w:val="20"/>
              </w:rPr>
              <w:t>2 350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2 350</w:t>
            </w:r>
          </w:p>
        </w:tc>
      </w:tr>
      <w:tr>
        <w:tc>
          <w:tcPr>
            <w:tcW w:type="dxa" w:w="1995"/>
          </w:tcPr>
          <w:p>
            <w:pPr>
              <w:spacing w:after="0" w:line="240" w:lineRule="auto"/>
              <w:ind w:firstLine="0"/>
              <w:jc w:val="left"/>
            </w:pPr>
            <w:r>
              <w:rPr>
                <w:b w:val="0"/>
                <w:i w:val="0"/>
                <w:sz w:val="20"/>
              </w:rPr>
              <w:t>2004</w:t>
            </w:r>
          </w:p>
        </w:tc>
        <w:tc>
          <w:tcPr>
            <w:tcW w:type="dxa" w:w="1995"/>
          </w:tcPr>
          <w:p>
            <w:pPr>
              <w:spacing w:after="0" w:line="240" w:lineRule="auto"/>
              <w:ind w:firstLine="0"/>
              <w:jc w:val="center"/>
            </w:pPr>
            <w:r>
              <w:rPr>
                <w:b w:val="0"/>
                <w:i w:val="0"/>
                <w:sz w:val="20"/>
              </w:rPr>
              <w:t>2 560</w:t>
            </w:r>
          </w:p>
        </w:tc>
        <w:tc>
          <w:tcPr>
            <w:tcW w:type="dxa" w:w="1995"/>
          </w:tcPr>
          <w:p>
            <w:pPr>
              <w:spacing w:after="0" w:line="240" w:lineRule="auto"/>
              <w:ind w:firstLine="0"/>
              <w:jc w:val="center"/>
            </w:pPr>
            <w:r>
              <w:rPr>
                <w:b w:val="0"/>
                <w:i w:val="0"/>
                <w:sz w:val="20"/>
              </w:rPr>
              <w:t>2 300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2 300</w:t>
            </w:r>
          </w:p>
        </w:tc>
      </w:tr>
      <w:tr>
        <w:tc>
          <w:tcPr>
            <w:tcW w:type="dxa" w:w="1995"/>
          </w:tcPr>
          <w:p>
            <w:pPr>
              <w:spacing w:after="0" w:line="240" w:lineRule="auto"/>
              <w:ind w:firstLine="0"/>
              <w:jc w:val="left"/>
            </w:pPr>
            <w:r>
              <w:rPr>
                <w:b w:val="0"/>
                <w:i w:val="0"/>
                <w:sz w:val="20"/>
              </w:rPr>
              <w:t>2006</w:t>
            </w:r>
          </w:p>
        </w:tc>
        <w:tc>
          <w:tcPr>
            <w:tcW w:type="dxa" w:w="1995"/>
          </w:tcPr>
          <w:p>
            <w:pPr>
              <w:spacing w:after="0" w:line="240" w:lineRule="auto"/>
              <w:ind w:firstLine="0"/>
              <w:jc w:val="center"/>
            </w:pPr>
            <w:r>
              <w:rPr>
                <w:b w:val="0"/>
                <w:i w:val="0"/>
                <w:sz w:val="20"/>
              </w:rPr>
              <w:t>2 590</w:t>
            </w:r>
          </w:p>
        </w:tc>
        <w:tc>
          <w:tcPr>
            <w:tcW w:type="dxa" w:w="1995"/>
          </w:tcPr>
          <w:p>
            <w:pPr>
              <w:spacing w:after="0" w:line="240" w:lineRule="auto"/>
              <w:ind w:firstLine="0"/>
              <w:jc w:val="center"/>
            </w:pPr>
            <w:r>
              <w:rPr>
                <w:b w:val="0"/>
                <w:i w:val="0"/>
                <w:sz w:val="20"/>
              </w:rPr>
              <w:t>2 320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2 320</w:t>
            </w:r>
          </w:p>
        </w:tc>
      </w:tr>
      <w:tr>
        <w:tc>
          <w:tcPr>
            <w:tcW w:type="dxa" w:w="1995"/>
          </w:tcPr>
          <w:p>
            <w:pPr>
              <w:spacing w:after="0" w:line="240" w:lineRule="auto"/>
              <w:ind w:firstLine="0"/>
              <w:jc w:val="left"/>
            </w:pPr>
            <w:r>
              <w:rPr>
                <w:b w:val="0"/>
                <w:i w:val="0"/>
                <w:sz w:val="20"/>
              </w:rPr>
              <w:t>2008</w:t>
            </w:r>
          </w:p>
        </w:tc>
        <w:tc>
          <w:tcPr>
            <w:tcW w:type="dxa" w:w="1995"/>
          </w:tcPr>
          <w:p>
            <w:pPr>
              <w:spacing w:after="0" w:line="240" w:lineRule="auto"/>
              <w:ind w:firstLine="0"/>
              <w:jc w:val="center"/>
            </w:pPr>
            <w:r>
              <w:rPr>
                <w:b w:val="0"/>
                <w:i w:val="0"/>
                <w:sz w:val="20"/>
              </w:rPr>
              <w:t>2 430</w:t>
            </w:r>
          </w:p>
        </w:tc>
        <w:tc>
          <w:tcPr>
            <w:tcW w:type="dxa" w:w="1995"/>
          </w:tcPr>
          <w:p>
            <w:pPr>
              <w:spacing w:after="0" w:line="240" w:lineRule="auto"/>
              <w:ind w:firstLine="0"/>
              <w:jc w:val="center"/>
            </w:pPr>
            <w:r>
              <w:rPr>
                <w:b w:val="0"/>
                <w:i w:val="0"/>
                <w:sz w:val="20"/>
              </w:rPr>
              <w:t>2 180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2 180</w:t>
            </w:r>
          </w:p>
        </w:tc>
      </w:tr>
      <w:tr>
        <w:tc>
          <w:tcPr>
            <w:tcW w:type="dxa" w:w="1995"/>
          </w:tcPr>
          <w:p>
            <w:pPr>
              <w:spacing w:after="0" w:line="240" w:lineRule="auto"/>
              <w:ind w:firstLine="0"/>
              <w:jc w:val="left"/>
            </w:pPr>
            <w:r>
              <w:rPr>
                <w:b w:val="0"/>
                <w:i w:val="0"/>
                <w:sz w:val="20"/>
              </w:rPr>
              <w:t>2010</w:t>
            </w:r>
          </w:p>
        </w:tc>
        <w:tc>
          <w:tcPr>
            <w:tcW w:type="dxa" w:w="1995"/>
          </w:tcPr>
          <w:p>
            <w:pPr>
              <w:spacing w:after="0" w:line="240" w:lineRule="auto"/>
              <w:ind w:firstLine="0"/>
              <w:jc w:val="center"/>
            </w:pPr>
            <w:r>
              <w:rPr>
                <w:b w:val="0"/>
                <w:i w:val="0"/>
                <w:sz w:val="20"/>
              </w:rPr>
              <w:t>2 180</w:t>
            </w:r>
          </w:p>
        </w:tc>
        <w:tc>
          <w:tcPr>
            <w:tcW w:type="dxa" w:w="1995"/>
          </w:tcPr>
          <w:p>
            <w:pPr>
              <w:spacing w:after="0" w:line="240" w:lineRule="auto"/>
              <w:ind w:firstLine="0"/>
              <w:jc w:val="center"/>
            </w:pPr>
            <w:r>
              <w:rPr>
                <w:b w:val="0"/>
                <w:i w:val="0"/>
                <w:sz w:val="20"/>
              </w:rPr>
              <w:t>1 950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1 950</w:t>
            </w:r>
          </w:p>
        </w:tc>
      </w:tr>
      <w:tr>
        <w:tc>
          <w:tcPr>
            <w:tcW w:type="dxa" w:w="1995"/>
          </w:tcPr>
          <w:p>
            <w:pPr>
              <w:spacing w:after="0" w:line="240" w:lineRule="auto"/>
              <w:ind w:firstLine="0"/>
              <w:jc w:val="left"/>
            </w:pPr>
            <w:r>
              <w:rPr>
                <w:b w:val="0"/>
                <w:i w:val="0"/>
                <w:sz w:val="20"/>
              </w:rPr>
              <w:t>2012</w:t>
            </w:r>
          </w:p>
        </w:tc>
        <w:tc>
          <w:tcPr>
            <w:tcW w:type="dxa" w:w="1995"/>
          </w:tcPr>
          <w:p>
            <w:pPr>
              <w:spacing w:after="0" w:line="240" w:lineRule="auto"/>
              <w:ind w:firstLine="0"/>
              <w:jc w:val="center"/>
            </w:pPr>
            <w:r>
              <w:rPr>
                <w:b w:val="0"/>
                <w:i w:val="0"/>
                <w:sz w:val="20"/>
              </w:rPr>
              <w:t>2 400</w:t>
            </w:r>
          </w:p>
        </w:tc>
        <w:tc>
          <w:tcPr>
            <w:tcW w:type="dxa" w:w="1995"/>
          </w:tcPr>
          <w:p>
            <w:pPr>
              <w:spacing w:after="0" w:line="240" w:lineRule="auto"/>
              <w:ind w:firstLine="0"/>
              <w:jc w:val="center"/>
            </w:pPr>
            <w:r>
              <w:rPr>
                <w:b w:val="0"/>
                <w:i w:val="0"/>
                <w:sz w:val="20"/>
              </w:rPr>
              <w:t>2 150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2 150</w:t>
            </w:r>
          </w:p>
        </w:tc>
      </w:tr>
      <w:tr>
        <w:tc>
          <w:tcPr>
            <w:tcW w:type="dxa" w:w="1995"/>
          </w:tcPr>
          <w:p>
            <w:pPr>
              <w:spacing w:after="0" w:line="240" w:lineRule="auto"/>
              <w:ind w:firstLine="0"/>
              <w:jc w:val="left"/>
            </w:pPr>
            <w:r>
              <w:rPr>
                <w:b w:val="0"/>
                <w:i w:val="0"/>
                <w:sz w:val="20"/>
              </w:rPr>
              <w:t>2014</w:t>
            </w:r>
          </w:p>
        </w:tc>
        <w:tc>
          <w:tcPr>
            <w:tcW w:type="dxa" w:w="1995"/>
          </w:tcPr>
          <w:p>
            <w:pPr>
              <w:spacing w:after="0" w:line="240" w:lineRule="auto"/>
              <w:ind w:firstLine="0"/>
              <w:jc w:val="center"/>
            </w:pPr>
            <w:r>
              <w:rPr>
                <w:b w:val="0"/>
                <w:i w:val="0"/>
                <w:sz w:val="20"/>
              </w:rPr>
              <w:t>2 430</w:t>
            </w:r>
          </w:p>
        </w:tc>
        <w:tc>
          <w:tcPr>
            <w:tcW w:type="dxa" w:w="1995"/>
          </w:tcPr>
          <w:p>
            <w:pPr>
              <w:spacing w:after="0" w:line="240" w:lineRule="auto"/>
              <w:ind w:firstLine="0"/>
              <w:jc w:val="center"/>
            </w:pPr>
            <w:r>
              <w:rPr>
                <w:b w:val="0"/>
                <w:i w:val="0"/>
                <w:sz w:val="20"/>
              </w:rPr>
              <w:t>2 180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2 180</w:t>
            </w:r>
          </w:p>
        </w:tc>
      </w:tr>
      <w:tr>
        <w:tc>
          <w:tcPr>
            <w:tcW w:type="dxa" w:w="1995"/>
          </w:tcPr>
          <w:p>
            <w:pPr>
              <w:spacing w:after="0" w:line="240" w:lineRule="auto"/>
              <w:ind w:firstLine="0"/>
              <w:jc w:val="left"/>
            </w:pPr>
            <w:r>
              <w:rPr>
                <w:b w:val="0"/>
                <w:i w:val="0"/>
                <w:sz w:val="20"/>
              </w:rPr>
              <w:t>2016</w:t>
            </w:r>
          </w:p>
        </w:tc>
        <w:tc>
          <w:tcPr>
            <w:tcW w:type="dxa" w:w="1995"/>
          </w:tcPr>
          <w:p>
            <w:pPr>
              <w:spacing w:after="0" w:line="240" w:lineRule="auto"/>
              <w:ind w:firstLine="0"/>
              <w:jc w:val="center"/>
            </w:pPr>
            <w:r>
              <w:rPr>
                <w:b w:val="0"/>
                <w:i w:val="0"/>
                <w:sz w:val="20"/>
              </w:rPr>
              <w:t>2 400</w:t>
            </w:r>
          </w:p>
        </w:tc>
        <w:tc>
          <w:tcPr>
            <w:tcW w:type="dxa" w:w="1995"/>
          </w:tcPr>
          <w:p>
            <w:pPr>
              <w:spacing w:after="0" w:line="240" w:lineRule="auto"/>
              <w:ind w:firstLine="0"/>
              <w:jc w:val="center"/>
            </w:pPr>
            <w:r>
              <w:rPr>
                <w:b w:val="0"/>
                <w:i w:val="0"/>
                <w:sz w:val="20"/>
              </w:rPr>
              <w:t>2 150</w:t>
            </w:r>
          </w:p>
        </w:tc>
        <w:tc>
          <w:tcPr>
            <w:tcW w:type="dxa" w:w="1995"/>
          </w:tcPr>
          <w:p>
            <w:pPr>
              <w:spacing w:after="0" w:line="240" w:lineRule="auto"/>
              <w:ind w:firstLine="0"/>
              <w:jc w:val="center"/>
            </w:pPr>
            <w:r>
              <w:rPr>
                <w:b w:val="0"/>
                <w:i w:val="0"/>
                <w:sz w:val="20"/>
              </w:rPr>
              <w:t>30</w:t>
            </w:r>
          </w:p>
        </w:tc>
        <w:tc>
          <w:tcPr>
            <w:tcW w:type="dxa" w:w="1995"/>
          </w:tcPr>
          <w:p>
            <w:pPr>
              <w:spacing w:after="0" w:line="240" w:lineRule="auto"/>
              <w:ind w:firstLine="0"/>
              <w:jc w:val="center"/>
            </w:pPr>
            <w:r>
              <w:rPr>
                <w:b w:val="0"/>
                <w:i w:val="0"/>
                <w:sz w:val="20"/>
              </w:rPr>
              <w:t>2 180</w:t>
            </w:r>
          </w:p>
        </w:tc>
      </w:tr>
      <w:tr>
        <w:tc>
          <w:tcPr>
            <w:tcW w:type="dxa" w:w="1995"/>
          </w:tcPr>
          <w:p>
            <w:pPr>
              <w:spacing w:after="0" w:line="240" w:lineRule="auto"/>
              <w:ind w:firstLine="0"/>
              <w:jc w:val="left"/>
            </w:pPr>
            <w:r>
              <w:rPr>
                <w:b w:val="0"/>
                <w:i w:val="0"/>
                <w:sz w:val="20"/>
              </w:rPr>
              <w:t>2018</w:t>
            </w:r>
          </w:p>
        </w:tc>
        <w:tc>
          <w:tcPr>
            <w:tcW w:type="dxa" w:w="1995"/>
          </w:tcPr>
          <w:p>
            <w:pPr>
              <w:spacing w:after="0" w:line="240" w:lineRule="auto"/>
              <w:ind w:firstLine="0"/>
              <w:jc w:val="center"/>
            </w:pPr>
            <w:r>
              <w:rPr>
                <w:b w:val="0"/>
                <w:i w:val="0"/>
                <w:sz w:val="20"/>
              </w:rPr>
              <w:t>2 430</w:t>
            </w:r>
          </w:p>
        </w:tc>
        <w:tc>
          <w:tcPr>
            <w:tcW w:type="dxa" w:w="1995"/>
          </w:tcPr>
          <w:p>
            <w:pPr>
              <w:spacing w:after="0" w:line="240" w:lineRule="auto"/>
              <w:ind w:firstLine="0"/>
              <w:jc w:val="center"/>
            </w:pPr>
            <w:r>
              <w:rPr>
                <w:b w:val="0"/>
                <w:i w:val="0"/>
                <w:sz w:val="20"/>
              </w:rPr>
              <w:t>2 190</w:t>
            </w:r>
          </w:p>
        </w:tc>
        <w:tc>
          <w:tcPr>
            <w:tcW w:type="dxa" w:w="1995"/>
          </w:tcPr>
          <w:p>
            <w:pPr>
              <w:spacing w:after="0" w:line="240" w:lineRule="auto"/>
              <w:ind w:firstLine="0"/>
              <w:jc w:val="center"/>
            </w:pPr>
            <w:r>
              <w:rPr>
                <w:b w:val="0"/>
                <w:i w:val="0"/>
                <w:sz w:val="20"/>
              </w:rPr>
              <w:t>90</w:t>
            </w:r>
          </w:p>
        </w:tc>
        <w:tc>
          <w:tcPr>
            <w:tcW w:type="dxa" w:w="1995"/>
          </w:tcPr>
          <w:p>
            <w:pPr>
              <w:spacing w:after="0" w:line="240" w:lineRule="auto"/>
              <w:ind w:firstLine="0"/>
              <w:jc w:val="center"/>
            </w:pPr>
            <w:r>
              <w:rPr>
                <w:b w:val="0"/>
                <w:i w:val="0"/>
                <w:sz w:val="20"/>
              </w:rPr>
              <w:t>2 280</w:t>
            </w:r>
          </w:p>
        </w:tc>
      </w:tr>
      <w:tr>
        <w:tc>
          <w:tcPr>
            <w:tcW w:type="dxa" w:w="1995"/>
          </w:tcPr>
          <w:p>
            <w:pPr>
              <w:spacing w:after="0" w:line="240" w:lineRule="auto"/>
              <w:ind w:firstLine="0"/>
              <w:jc w:val="left"/>
            </w:pPr>
            <w:r>
              <w:rPr>
                <w:b w:val="0"/>
                <w:i w:val="0"/>
                <w:sz w:val="20"/>
              </w:rPr>
              <w:t>2019</w:t>
            </w:r>
          </w:p>
        </w:tc>
        <w:tc>
          <w:tcPr>
            <w:tcW w:type="dxa" w:w="1995"/>
          </w:tcPr>
          <w:p>
            <w:pPr>
              <w:spacing w:after="0" w:line="240" w:lineRule="auto"/>
              <w:ind w:firstLine="0"/>
              <w:jc w:val="center"/>
            </w:pPr>
            <w:r>
              <w:rPr>
                <w:b w:val="0"/>
                <w:i w:val="0"/>
                <w:sz w:val="20"/>
              </w:rPr>
              <w:t>2 370</w:t>
            </w:r>
          </w:p>
        </w:tc>
        <w:tc>
          <w:tcPr>
            <w:tcW w:type="dxa" w:w="1995"/>
          </w:tcPr>
          <w:p>
            <w:pPr>
              <w:spacing w:after="0" w:line="240" w:lineRule="auto"/>
              <w:ind w:firstLine="0"/>
              <w:jc w:val="center"/>
            </w:pPr>
            <w:r>
              <w:rPr>
                <w:b w:val="0"/>
                <w:i w:val="0"/>
                <w:sz w:val="20"/>
              </w:rPr>
              <w:t>2 130</w:t>
            </w:r>
          </w:p>
        </w:tc>
        <w:tc>
          <w:tcPr>
            <w:tcW w:type="dxa" w:w="1995"/>
          </w:tcPr>
          <w:p>
            <w:pPr>
              <w:spacing w:after="0" w:line="240" w:lineRule="auto"/>
              <w:ind w:firstLine="0"/>
              <w:jc w:val="center"/>
            </w:pPr>
            <w:r>
              <w:rPr>
                <w:b w:val="0"/>
                <w:i w:val="0"/>
                <w:sz w:val="20"/>
              </w:rPr>
              <w:t>130</w:t>
            </w:r>
          </w:p>
        </w:tc>
        <w:tc>
          <w:tcPr>
            <w:tcW w:type="dxa" w:w="1995"/>
          </w:tcPr>
          <w:p>
            <w:pPr>
              <w:spacing w:after="0" w:line="240" w:lineRule="auto"/>
              <w:ind w:firstLine="0"/>
              <w:jc w:val="center"/>
            </w:pPr>
            <w:r>
              <w:rPr>
                <w:b w:val="0"/>
                <w:i w:val="0"/>
                <w:sz w:val="20"/>
              </w:rPr>
              <w:t>2 260</w:t>
            </w:r>
          </w:p>
        </w:tc>
      </w:tr>
      <w:tr>
        <w:tc>
          <w:tcPr>
            <w:tcW w:type="dxa" w:w="1995"/>
          </w:tcPr>
          <w:p>
            <w:pPr>
              <w:spacing w:after="0" w:line="240" w:lineRule="auto"/>
              <w:ind w:firstLine="0"/>
              <w:jc w:val="left"/>
            </w:pPr>
            <w:r>
              <w:rPr>
                <w:b w:val="0"/>
                <w:i w:val="0"/>
                <w:sz w:val="20"/>
              </w:rPr>
              <w:t>2020</w:t>
            </w:r>
          </w:p>
        </w:tc>
        <w:tc>
          <w:tcPr>
            <w:tcW w:type="dxa" w:w="1995"/>
          </w:tcPr>
          <w:p>
            <w:pPr>
              <w:spacing w:after="0" w:line="240" w:lineRule="auto"/>
              <w:ind w:firstLine="0"/>
              <w:jc w:val="center"/>
            </w:pPr>
            <w:r>
              <w:rPr>
                <w:b w:val="0"/>
                <w:i w:val="0"/>
                <w:sz w:val="20"/>
              </w:rPr>
              <w:t>2 270</w:t>
            </w:r>
          </w:p>
        </w:tc>
        <w:tc>
          <w:tcPr>
            <w:tcW w:type="dxa" w:w="1995"/>
          </w:tcPr>
          <w:p>
            <w:pPr>
              <w:spacing w:after="0" w:line="240" w:lineRule="auto"/>
              <w:ind w:firstLine="0"/>
              <w:jc w:val="center"/>
            </w:pPr>
            <w:r>
              <w:rPr>
                <w:b w:val="0"/>
                <w:i w:val="0"/>
                <w:sz w:val="20"/>
              </w:rPr>
              <w:t>2 040</w:t>
            </w:r>
          </w:p>
        </w:tc>
        <w:tc>
          <w:tcPr>
            <w:tcW w:type="dxa" w:w="1995"/>
          </w:tcPr>
          <w:p>
            <w:pPr>
              <w:spacing w:after="0" w:line="240" w:lineRule="auto"/>
              <w:ind w:firstLine="0"/>
              <w:jc w:val="center"/>
            </w:pPr>
            <w:r>
              <w:rPr>
                <w:b w:val="0"/>
                <w:i w:val="0"/>
                <w:sz w:val="20"/>
              </w:rPr>
              <w:t>180</w:t>
            </w:r>
          </w:p>
        </w:tc>
        <w:tc>
          <w:tcPr>
            <w:tcW w:type="dxa" w:w="1995"/>
          </w:tcPr>
          <w:p>
            <w:pPr>
              <w:spacing w:after="0" w:line="240" w:lineRule="auto"/>
              <w:ind w:firstLine="0"/>
              <w:jc w:val="center"/>
            </w:pPr>
            <w:r>
              <w:rPr>
                <w:b w:val="0"/>
                <w:i w:val="0"/>
                <w:sz w:val="20"/>
              </w:rPr>
              <w:t>2 220</w:t>
            </w:r>
          </w:p>
        </w:tc>
      </w:tr>
      <w:tr>
        <w:tc>
          <w:tcPr>
            <w:tcW w:type="dxa" w:w="1995"/>
          </w:tcPr>
          <w:p>
            <w:pPr>
              <w:spacing w:after="0" w:line="240" w:lineRule="auto"/>
              <w:ind w:firstLine="0"/>
              <w:jc w:val="left"/>
            </w:pPr>
            <w:r>
              <w:rPr>
                <w:b w:val="0"/>
                <w:i w:val="0"/>
                <w:sz w:val="20"/>
              </w:rPr>
              <w:t>2021</w:t>
            </w:r>
          </w:p>
        </w:tc>
        <w:tc>
          <w:tcPr>
            <w:tcW w:type="dxa" w:w="1995"/>
          </w:tcPr>
          <w:p>
            <w:pPr>
              <w:spacing w:after="0" w:line="240" w:lineRule="auto"/>
              <w:ind w:firstLine="0"/>
              <w:jc w:val="center"/>
            </w:pPr>
            <w:r>
              <w:rPr>
                <w:b w:val="0"/>
                <w:i w:val="0"/>
                <w:sz w:val="20"/>
              </w:rPr>
              <w:t>2 210</w:t>
            </w:r>
          </w:p>
        </w:tc>
        <w:tc>
          <w:tcPr>
            <w:tcW w:type="dxa" w:w="1995"/>
          </w:tcPr>
          <w:p>
            <w:pPr>
              <w:spacing w:after="0" w:line="240" w:lineRule="auto"/>
              <w:ind w:firstLine="0"/>
              <w:jc w:val="center"/>
            </w:pPr>
            <w:r>
              <w:rPr>
                <w:b w:val="0"/>
                <w:i w:val="0"/>
                <w:sz w:val="20"/>
              </w:rPr>
              <w:t>1 990</w:t>
            </w:r>
          </w:p>
        </w:tc>
        <w:tc>
          <w:tcPr>
            <w:tcW w:type="dxa" w:w="1995"/>
          </w:tcPr>
          <w:p>
            <w:pPr>
              <w:spacing w:after="0" w:line="240" w:lineRule="auto"/>
              <w:ind w:firstLine="0"/>
              <w:jc w:val="center"/>
            </w:pPr>
            <w:r>
              <w:rPr>
                <w:b w:val="0"/>
                <w:i w:val="0"/>
                <w:sz w:val="20"/>
              </w:rPr>
              <w:t>220</w:t>
            </w:r>
          </w:p>
        </w:tc>
        <w:tc>
          <w:tcPr>
            <w:tcW w:type="dxa" w:w="1995"/>
          </w:tcPr>
          <w:p>
            <w:pPr>
              <w:spacing w:after="0" w:line="240" w:lineRule="auto"/>
              <w:ind w:firstLine="0"/>
              <w:jc w:val="center"/>
            </w:pPr>
            <w:r>
              <w:rPr>
                <w:b w:val="0"/>
                <w:i w:val="0"/>
                <w:sz w:val="20"/>
              </w:rPr>
              <w:t>2 210</w:t>
            </w:r>
          </w:p>
        </w:tc>
      </w:tr>
      <w:tr>
        <w:tc>
          <w:tcPr>
            <w:tcW w:type="dxa" w:w="1995"/>
          </w:tcPr>
          <w:p>
            <w:pPr>
              <w:spacing w:after="0" w:line="240" w:lineRule="auto"/>
              <w:ind w:firstLine="0"/>
              <w:jc w:val="left"/>
            </w:pPr>
            <w:r>
              <w:rPr>
                <w:b w:val="0"/>
                <w:i w:val="0"/>
                <w:sz w:val="20"/>
              </w:rPr>
              <w:t>2022</w:t>
            </w:r>
          </w:p>
        </w:tc>
        <w:tc>
          <w:tcPr>
            <w:tcW w:type="dxa" w:w="1995"/>
          </w:tcPr>
          <w:p>
            <w:pPr>
              <w:spacing w:after="0" w:line="240" w:lineRule="auto"/>
              <w:ind w:firstLine="0"/>
              <w:jc w:val="center"/>
            </w:pPr>
            <w:r>
              <w:rPr>
                <w:b w:val="0"/>
                <w:i w:val="0"/>
                <w:sz w:val="20"/>
              </w:rPr>
              <w:t>2 080</w:t>
            </w:r>
          </w:p>
        </w:tc>
        <w:tc>
          <w:tcPr>
            <w:tcW w:type="dxa" w:w="1995"/>
          </w:tcPr>
          <w:p>
            <w:pPr>
              <w:spacing w:after="0" w:line="240" w:lineRule="auto"/>
              <w:ind w:firstLine="0"/>
              <w:jc w:val="center"/>
            </w:pPr>
            <w:r>
              <w:rPr>
                <w:b w:val="0"/>
                <w:i w:val="0"/>
                <w:sz w:val="20"/>
              </w:rPr>
              <w:t>1 850</w:t>
            </w:r>
          </w:p>
        </w:tc>
        <w:tc>
          <w:tcPr>
            <w:tcW w:type="dxa" w:w="1995"/>
          </w:tcPr>
          <w:p>
            <w:pPr>
              <w:spacing w:after="0" w:line="240" w:lineRule="auto"/>
              <w:ind w:firstLine="0"/>
              <w:jc w:val="center"/>
            </w:pPr>
            <w:r>
              <w:rPr>
                <w:b w:val="0"/>
                <w:i w:val="0"/>
                <w:sz w:val="20"/>
              </w:rPr>
              <w:t>260</w:t>
            </w:r>
          </w:p>
        </w:tc>
        <w:tc>
          <w:tcPr>
            <w:tcW w:type="dxa" w:w="1995"/>
          </w:tcPr>
          <w:p>
            <w:pPr>
              <w:spacing w:after="0" w:line="240" w:lineRule="auto"/>
              <w:ind w:firstLine="0"/>
              <w:jc w:val="center"/>
            </w:pPr>
            <w:r>
              <w:rPr>
                <w:b w:val="0"/>
                <w:i w:val="0"/>
                <w:sz w:val="20"/>
              </w:rPr>
              <w:t>2 110</w:t>
            </w:r>
          </w:p>
        </w:tc>
      </w:tr>
      <w:tr>
        <w:tc>
          <w:tcPr>
            <w:tcW w:type="dxa" w:w="1995"/>
          </w:tcPr>
          <w:p>
            <w:pPr>
              <w:spacing w:after="0" w:line="240" w:lineRule="auto"/>
              <w:ind w:firstLine="0"/>
              <w:jc w:val="left"/>
            </w:pPr>
            <w:r>
              <w:rPr>
                <w:b w:val="0"/>
                <w:i w:val="0"/>
                <w:sz w:val="20"/>
              </w:rPr>
              <w:t>2023</w:t>
            </w:r>
          </w:p>
        </w:tc>
        <w:tc>
          <w:tcPr>
            <w:tcW w:type="dxa" w:w="1995"/>
          </w:tcPr>
          <w:p>
            <w:pPr>
              <w:spacing w:after="0" w:line="240" w:lineRule="auto"/>
              <w:ind w:firstLine="0"/>
              <w:jc w:val="center"/>
            </w:pPr>
            <w:r>
              <w:rPr>
                <w:b w:val="0"/>
                <w:i w:val="0"/>
                <w:sz w:val="20"/>
              </w:rPr>
              <w:t>2 180</w:t>
            </w:r>
          </w:p>
        </w:tc>
        <w:tc>
          <w:tcPr>
            <w:tcW w:type="dxa" w:w="1995"/>
          </w:tcPr>
          <w:p>
            <w:pPr>
              <w:spacing w:after="0" w:line="240" w:lineRule="auto"/>
              <w:ind w:firstLine="0"/>
              <w:jc w:val="center"/>
            </w:pPr>
            <w:r>
              <w:rPr>
                <w:b w:val="0"/>
                <w:i w:val="0"/>
                <w:sz w:val="20"/>
              </w:rPr>
              <w:t>1 900</w:t>
            </w:r>
          </w:p>
        </w:tc>
        <w:tc>
          <w:tcPr>
            <w:tcW w:type="dxa" w:w="1995"/>
          </w:tcPr>
          <w:p>
            <w:pPr>
              <w:spacing w:after="0" w:line="240" w:lineRule="auto"/>
              <w:ind w:firstLine="0"/>
              <w:jc w:val="center"/>
            </w:pPr>
            <w:r>
              <w:rPr>
                <w:b w:val="0"/>
                <w:i w:val="0"/>
                <w:sz w:val="20"/>
              </w:rPr>
              <w:t>310</w:t>
            </w:r>
          </w:p>
        </w:tc>
        <w:tc>
          <w:tcPr>
            <w:tcW w:type="dxa" w:w="1995"/>
          </w:tcPr>
          <w:p>
            <w:pPr>
              <w:spacing w:after="0" w:line="240" w:lineRule="auto"/>
              <w:ind w:firstLine="0"/>
              <w:jc w:val="center"/>
            </w:pPr>
            <w:r>
              <w:rPr>
                <w:b w:val="0"/>
                <w:i w:val="0"/>
                <w:sz w:val="20"/>
              </w:rPr>
              <w:t>2 210</w:t>
            </w:r>
          </w:p>
        </w:tc>
      </w:tr>
      <w:tr>
        <w:tc>
          <w:tcPr>
            <w:tcW w:type="dxa" w:w="1995"/>
          </w:tcPr>
          <w:p>
            <w:pPr>
              <w:spacing w:after="0" w:line="240" w:lineRule="auto"/>
              <w:ind w:firstLine="0"/>
              <w:jc w:val="left"/>
            </w:pPr>
            <w:r>
              <w:rPr>
                <w:b w:val="0"/>
                <w:i w:val="0"/>
                <w:sz w:val="20"/>
              </w:rPr>
              <w:t>2024</w:t>
            </w:r>
          </w:p>
        </w:tc>
        <w:tc>
          <w:tcPr>
            <w:tcW w:type="dxa" w:w="1995"/>
          </w:tcPr>
          <w:p>
            <w:pPr>
              <w:spacing w:after="0" w:line="240" w:lineRule="auto"/>
              <w:ind w:firstLine="0"/>
              <w:jc w:val="center"/>
            </w:pPr>
            <w:r>
              <w:rPr>
                <w:b w:val="0"/>
                <w:i w:val="0"/>
                <w:sz w:val="20"/>
              </w:rPr>
              <w:t>2 300</w:t>
            </w:r>
          </w:p>
        </w:tc>
        <w:tc>
          <w:tcPr>
            <w:tcW w:type="dxa" w:w="1995"/>
          </w:tcPr>
          <w:p>
            <w:pPr>
              <w:spacing w:after="0" w:line="240" w:lineRule="auto"/>
              <w:ind w:firstLine="0"/>
              <w:jc w:val="center"/>
            </w:pPr>
            <w:r>
              <w:rPr>
                <w:b w:val="0"/>
                <w:i w:val="0"/>
                <w:sz w:val="20"/>
              </w:rPr>
              <w:t>2 050</w:t>
            </w:r>
          </w:p>
        </w:tc>
        <w:tc>
          <w:tcPr>
            <w:tcW w:type="dxa" w:w="1995"/>
          </w:tcPr>
          <w:p>
            <w:pPr>
              <w:spacing w:after="0" w:line="240" w:lineRule="auto"/>
              <w:ind w:firstLine="0"/>
              <w:jc w:val="center"/>
            </w:pPr>
            <w:r>
              <w:rPr>
                <w:b w:val="0"/>
                <w:i w:val="0"/>
                <w:sz w:val="20"/>
              </w:rPr>
              <w:t>380</w:t>
            </w:r>
          </w:p>
        </w:tc>
        <w:tc>
          <w:tcPr>
            <w:tcW w:type="dxa" w:w="1995"/>
          </w:tcPr>
          <w:p>
            <w:pPr>
              <w:spacing w:after="0" w:line="240" w:lineRule="auto"/>
              <w:ind w:firstLine="0"/>
              <w:jc w:val="center"/>
            </w:pPr>
            <w:r>
              <w:rPr>
                <w:b w:val="0"/>
                <w:i w:val="0"/>
                <w:sz w:val="20"/>
              </w:rPr>
              <w:t>2 430</w:t>
            </w:r>
          </w:p>
        </w:tc>
      </w:tr>
      <w:tr>
        <w:tc>
          <w:tcPr>
            <w:tcW w:type="dxa" w:w="1995"/>
          </w:tcPr>
          <w:p>
            <w:pPr>
              <w:spacing w:after="0" w:line="240" w:lineRule="auto"/>
              <w:ind w:firstLine="0"/>
              <w:jc w:val="left"/>
            </w:pPr>
            <w:r>
              <w:rPr>
                <w:b w:val="0"/>
                <w:i w:val="0"/>
                <w:sz w:val="20"/>
              </w:rPr>
              <w:t>2025 (оц.)</w:t>
            </w:r>
          </w:p>
        </w:tc>
        <w:tc>
          <w:tcPr>
            <w:tcW w:type="dxa" w:w="1995"/>
          </w:tcPr>
          <w:p>
            <w:pPr>
              <w:spacing w:after="0" w:line="240" w:lineRule="auto"/>
              <w:ind w:firstLine="0"/>
              <w:jc w:val="center"/>
            </w:pPr>
            <w:r>
              <w:rPr>
                <w:b w:val="0"/>
                <w:i w:val="0"/>
                <w:sz w:val="20"/>
              </w:rPr>
              <w:t>2 500</w:t>
            </w:r>
          </w:p>
        </w:tc>
        <w:tc>
          <w:tcPr>
            <w:tcW w:type="dxa" w:w="1995"/>
          </w:tcPr>
          <w:p>
            <w:pPr>
              <w:spacing w:after="0" w:line="240" w:lineRule="auto"/>
              <w:ind w:firstLine="0"/>
              <w:jc w:val="center"/>
            </w:pPr>
            <w:r>
              <w:rPr>
                <w:b w:val="0"/>
                <w:i w:val="0"/>
                <w:sz w:val="20"/>
              </w:rPr>
              <w:t>2 200</w:t>
            </w:r>
          </w:p>
        </w:tc>
        <w:tc>
          <w:tcPr>
            <w:tcW w:type="dxa" w:w="1995"/>
          </w:tcPr>
          <w:p>
            <w:pPr>
              <w:spacing w:after="0" w:line="240" w:lineRule="auto"/>
              <w:ind w:firstLine="0"/>
              <w:jc w:val="center"/>
            </w:pPr>
            <w:r>
              <w:rPr>
                <w:b w:val="0"/>
                <w:i w:val="0"/>
                <w:sz w:val="20"/>
              </w:rPr>
              <w:t>450</w:t>
            </w:r>
          </w:p>
        </w:tc>
        <w:tc>
          <w:tcPr>
            <w:tcW w:type="dxa" w:w="1995"/>
          </w:tcPr>
          <w:p>
            <w:pPr>
              <w:spacing w:after="0" w:line="240" w:lineRule="auto"/>
              <w:ind w:firstLine="0"/>
              <w:jc w:val="center"/>
            </w:pPr>
            <w:r>
              <w:rPr>
                <w:b w:val="0"/>
                <w:i w:val="0"/>
                <w:sz w:val="20"/>
              </w:rPr>
              <w:t>2 650</w:t>
            </w:r>
          </w:p>
        </w:tc>
      </w:tr>
    </w:tbl>
    <w:p>
      <w:pPr>
        <w:spacing w:after="180"/>
        <w:ind w:firstLine="0"/>
      </w:pPr>
      <w:r>
        <w:rPr>
          <w:i/>
          <w:sz w:val="20"/>
        </w:rPr>
        <w:t>Источник: аналитический центр по данным корпоративной отчётности, отраслевой прессы, статистики железнодорожных перевозок, Единой информационной системы в сфере закупок; значения расчётные и оценочные</w:t>
      </w:r>
    </w:p>
    <w:p>
      <w:pPr>
        <w:keepNext/>
        <w:spacing w:before="160" w:after="60"/>
        <w:ind w:firstLine="0"/>
        <w:jc w:val="left"/>
      </w:pPr>
      <w:r>
        <w:rPr>
          <w:b/>
          <w:sz w:val="22"/>
        </w:rPr>
        <w:t>Рисунок 55. Динамика производства редкоземельной продукции в РФ, 2002–2025 гг., т TREO</w:t>
      </w:r>
    </w:p>
    <w:p>
      <w:pPr>
        <w:ind w:firstLine="0"/>
        <w:jc w:val="center"/>
      </w:pPr>
      <w:r>
        <w:drawing>
          <wp:inline xmlns:a="http://schemas.openxmlformats.org/drawingml/2006/main" xmlns:pic="http://schemas.openxmlformats.org/drawingml/2006/picture">
            <wp:extent cx="5580000" cy="2729348"/>
            <wp:docPr id="55" name="Picture 55"/>
            <wp:cNvGraphicFramePr>
              <a:graphicFrameLocks noChangeAspect="1"/>
            </wp:cNvGraphicFramePr>
            <a:graphic>
              <a:graphicData uri="http://schemas.openxmlformats.org/drawingml/2006/picture">
                <pic:pic>
                  <pic:nvPicPr>
                    <pic:cNvPr id="0" name="fig55.png"/>
                    <pic:cNvPicPr/>
                  </pic:nvPicPr>
                  <pic:blipFill>
                    <a:blip r:embed="rId65"/>
                    <a:stretch>
                      <a:fillRect/>
                    </a:stretch>
                  </pic:blipFill>
                  <pic:spPr>
                    <a:xfrm>
                      <a:off x="0" y="0"/>
                      <a:ext cx="5580000" cy="2729348"/>
                    </a:xfrm>
                    <a:prstGeom prst="rect"/>
                  </pic:spPr>
                </pic:pic>
              </a:graphicData>
            </a:graphic>
          </wp:inline>
        </w:drawing>
      </w:r>
    </w:p>
    <w:p>
      <w:pPr>
        <w:spacing w:after="180"/>
        <w:ind w:firstLine="0"/>
      </w:pPr>
      <w:r>
        <w:rPr>
          <w:i/>
          <w:sz w:val="20"/>
        </w:rPr>
        <w:t>Источник: аналитический центр (табл. 70)</w:t>
      </w:r>
    </w:p>
    <w:p>
      <w:r>
        <w:rPr>
          <w:b w:val="0"/>
          <w:i w:val="0"/>
        </w:rPr>
        <w:t>Данные таблицы 70 требуют важного пояснения. Показатель «всего товарной продукции» не равен сумме первых двух колонок, поскольку коллективный карбонат производится из лопаритового концентрата (внутренний передел), а разделённая продукция частично производится из коллективного карбоната. Во избежание двойного счёта в итоговой колонке приведён объём продукции, реализованной за пределы отрасли.</w:t>
      </w:r>
    </w:p>
    <w:p>
      <w:r>
        <w:rPr>
          <w:b w:val="0"/>
          <w:i w:val="0"/>
        </w:rPr>
        <w:t>Ключевые наблюдения:</w:t>
      </w:r>
    </w:p>
    <w:p>
      <w:pPr>
        <w:pStyle w:val="ListBullet"/>
        <w:spacing w:after="20"/>
        <w:ind w:firstLine="0"/>
      </w:pPr>
      <w:r>
        <w:rPr>
          <w:b/>
          <w:i w:val="0"/>
        </w:rPr>
        <w:t>отсутствие роста.</w:t>
      </w:r>
      <w:r>
        <w:rPr>
          <w:b w:val="0"/>
          <w:i w:val="0"/>
        </w:rPr>
        <w:t xml:space="preserve"> За 23 года объём производства не только не вырос, но снизился с 2,35 до 2,2–2,65 тыс. т TREO. Для сравнения: мировое производство за тот же период выросло в 4,5 раза;</w:t>
      </w:r>
    </w:p>
    <w:p>
      <w:pPr>
        <w:pStyle w:val="ListBullet"/>
        <w:spacing w:after="20"/>
        <w:ind w:firstLine="0"/>
      </w:pPr>
      <w:r>
        <w:rPr>
          <w:b/>
          <w:i w:val="0"/>
        </w:rPr>
        <w:t>доля России в мировом производстве</w:t>
      </w:r>
      <w:r>
        <w:rPr>
          <w:b w:val="0"/>
          <w:i w:val="0"/>
        </w:rPr>
        <w:t xml:space="preserve"> сократилась с 2,6% в 2002 г. до 0,6% в 2024 г.;</w:t>
      </w:r>
    </w:p>
    <w:p>
      <w:pPr>
        <w:pStyle w:val="ListBullet"/>
        <w:spacing w:after="20"/>
        <w:ind w:firstLine="0"/>
      </w:pPr>
      <w:r>
        <w:rPr>
          <w:b/>
          <w:i w:val="0"/>
        </w:rPr>
        <w:t>появление разделительного передела.</w:t>
      </w:r>
      <w:r>
        <w:rPr>
          <w:b w:val="0"/>
          <w:i w:val="0"/>
        </w:rPr>
        <w:t xml:space="preserve"> С 2016 г. фиксируется производство разделённой продукции — сначала в опытных объёмах ООО «Скайград», затем с расширением номенклатуры на СМЗ. К 2025 г. объём достиг 450 т TREO, что составляет 17% от общего выпуска. Это единственное качественное изменение за рассматриваемый период.</w:t>
      </w:r>
    </w:p>
    <w:p>
      <w:pPr>
        <w:keepNext/>
        <w:spacing w:before="160" w:after="60"/>
        <w:ind w:firstLine="0"/>
        <w:jc w:val="left"/>
      </w:pPr>
      <w:r>
        <w:rPr>
          <w:b/>
          <w:sz w:val="22"/>
        </w:rPr>
        <w:t>Рисунок 56. Доля России в мировом производстве РЗМ, 2002–2025 гг., %</w:t>
      </w:r>
    </w:p>
    <w:p>
      <w:pPr>
        <w:ind w:firstLine="0"/>
        <w:jc w:val="center"/>
      </w:pPr>
      <w:r>
        <w:drawing>
          <wp:inline xmlns:a="http://schemas.openxmlformats.org/drawingml/2006/main" xmlns:pic="http://schemas.openxmlformats.org/drawingml/2006/picture">
            <wp:extent cx="5580000" cy="2751559"/>
            <wp:docPr id="56" name="Picture 56"/>
            <wp:cNvGraphicFramePr>
              <a:graphicFrameLocks noChangeAspect="1"/>
            </wp:cNvGraphicFramePr>
            <a:graphic>
              <a:graphicData uri="http://schemas.openxmlformats.org/drawingml/2006/picture">
                <pic:pic>
                  <pic:nvPicPr>
                    <pic:cNvPr id="0" name="fig56.png"/>
                    <pic:cNvPicPr/>
                  </pic:nvPicPr>
                  <pic:blipFill>
                    <a:blip r:embed="rId66"/>
                    <a:stretch>
                      <a:fillRect/>
                    </a:stretch>
                  </pic:blipFill>
                  <pic:spPr>
                    <a:xfrm>
                      <a:off x="0" y="0"/>
                      <a:ext cx="5580000" cy="2751559"/>
                    </a:xfrm>
                    <a:prstGeom prst="rect"/>
                  </pic:spPr>
                </pic:pic>
              </a:graphicData>
            </a:graphic>
          </wp:inline>
        </w:drawing>
      </w:r>
    </w:p>
    <w:p>
      <w:pPr>
        <w:spacing w:after="180"/>
        <w:ind w:firstLine="0"/>
      </w:pPr>
      <w:r>
        <w:rPr>
          <w:i/>
          <w:sz w:val="20"/>
        </w:rPr>
        <w:t>Источник: расчёт аналитического центра по данным табл. 16 и 70</w:t>
      </w:r>
    </w:p>
    <w:p>
      <w:pPr>
        <w:pStyle w:val="Heading2"/>
      </w:pPr>
      <w:r>
        <w:rPr>
          <w:b w:val="0"/>
          <w:i w:val="0"/>
        </w:rPr>
        <w:t>10.3. Структура производства по видам продукции</w:t>
      </w:r>
    </w:p>
    <w:p>
      <w:r>
        <w:rPr>
          <w:b w:val="0"/>
          <w:i w:val="0"/>
        </w:rPr>
        <w:t>Номенклатура российской редкоземельной продукции по состоянию на 2025 г. включает следующие позиции.</w:t>
      </w:r>
    </w:p>
    <w:p>
      <w:r>
        <w:rPr>
          <w:b/>
          <w:i w:val="0"/>
        </w:rPr>
        <w:t>Лопаритовый концентрат</w:t>
      </w:r>
      <w:r>
        <w:rPr>
          <w:b w:val="0"/>
          <w:i w:val="0"/>
        </w:rPr>
        <w:t xml:space="preserve"> (ООО «Ловозёрский ГОК»). Содержание TREO 30–32%, TiO₂ 38–39%, Nb₂O₅ 7,5–8,0%, Ta₂O₅ 0,5–0,6%. Практически весь объём поставляется на АО «Соликамский магниевый завод» по долгосрочному контракту.</w:t>
      </w:r>
    </w:p>
    <w:p>
      <w:r>
        <w:rPr>
          <w:b/>
          <w:i w:val="0"/>
        </w:rPr>
        <w:t>Карбонат редкоземельных элементов коллективный</w:t>
      </w:r>
      <w:r>
        <w:rPr>
          <w:b w:val="0"/>
          <w:i w:val="0"/>
        </w:rPr>
        <w:t xml:space="preserve"> (АО «СМЗ»). Основной товарный продукт российской редкоземельной отрасли на протяжении двух десятилетий. Содержание TREO 45–52%. До 2022 г. до 90% объёма экспортировалось в Эстонию (Neo Performance Materials Silmet); после введения санкционных и логистических ограничений структура сбыта изменилась в пользу поставок в КНР и внутреннего потребления.</w:t>
      </w:r>
    </w:p>
    <w:p>
      <w:r>
        <w:rPr>
          <w:b/>
          <w:i w:val="0"/>
        </w:rPr>
        <w:t>Хлориды и фториды редкоземельных элементов</w:t>
      </w:r>
      <w:r>
        <w:rPr>
          <w:b w:val="0"/>
          <w:i w:val="0"/>
        </w:rPr>
        <w:t xml:space="preserve"> (АО «СМЗ») — промежуточные продукты и товарная продукция ограниченного объёма.</w:t>
      </w:r>
    </w:p>
    <w:p>
      <w:r>
        <w:rPr>
          <w:b/>
          <w:i w:val="0"/>
        </w:rPr>
        <w:t>Индивидуальные оксиды</w:t>
      </w:r>
      <w:r>
        <w:rPr>
          <w:b w:val="0"/>
          <w:i w:val="0"/>
        </w:rPr>
        <w:t xml:space="preserve"> (АО «СМЗ», ООО «Скайград»). Номенклатура включает оксиды лантана, церия, неодима, празеодима, самария, гадолиния чистотой 99,0–99,99%. Объёмы невелики (десятки — сотни тонн).</w:t>
      </w:r>
    </w:p>
    <w:p>
      <w:r>
        <w:rPr>
          <w:b/>
          <w:i w:val="0"/>
        </w:rPr>
        <w:t>Металлы и лигатуры</w:t>
      </w:r>
      <w:r>
        <w:rPr>
          <w:b w:val="0"/>
          <w:i w:val="0"/>
        </w:rPr>
        <w:t xml:space="preserve"> (АО «Чепецкий механический завод», опытные производства) — ограниченная номенклатура, преимущественно для нужд атомной и оборонной промышленности.</w:t>
      </w:r>
    </w:p>
    <w:p>
      <w:pPr>
        <w:keepNext/>
        <w:spacing w:before="160" w:after="60"/>
        <w:ind w:firstLine="0"/>
        <w:jc w:val="left"/>
      </w:pPr>
      <w:r>
        <w:rPr>
          <w:b/>
          <w:sz w:val="22"/>
        </w:rPr>
        <w:t>Таблица 71. Номенклатура редкоземельной продукции, производимой в Российской Федерации, 2025 г.</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Продукция</w:t>
            </w:r>
          </w:p>
        </w:tc>
        <w:tc>
          <w:tcPr>
            <w:tcW w:type="dxa" w:w="1995"/>
            <w:shd w:val="clear" w:fill="DCE6F1"/>
          </w:tcPr>
          <w:p>
            <w:pPr>
              <w:spacing w:after="0" w:line="240" w:lineRule="auto"/>
              <w:ind w:firstLine="0"/>
              <w:jc w:val="center"/>
            </w:pPr>
            <w:r>
              <w:rPr>
                <w:b/>
                <w:i w:val="0"/>
                <w:sz w:val="20"/>
              </w:rPr>
              <w:t>Производитель</w:t>
            </w:r>
          </w:p>
        </w:tc>
        <w:tc>
          <w:tcPr>
            <w:tcW w:type="dxa" w:w="1995"/>
            <w:shd w:val="clear" w:fill="DCE6F1"/>
          </w:tcPr>
          <w:p>
            <w:pPr>
              <w:spacing w:after="0" w:line="240" w:lineRule="auto"/>
              <w:ind w:firstLine="0"/>
              <w:jc w:val="center"/>
            </w:pPr>
            <w:r>
              <w:rPr>
                <w:b/>
                <w:i w:val="0"/>
                <w:sz w:val="20"/>
              </w:rPr>
              <w:t>Содержание TREO, %</w:t>
            </w:r>
          </w:p>
        </w:tc>
        <w:tc>
          <w:tcPr>
            <w:tcW w:type="dxa" w:w="1995"/>
            <w:shd w:val="clear" w:fill="DCE6F1"/>
          </w:tcPr>
          <w:p>
            <w:pPr>
              <w:spacing w:after="0" w:line="240" w:lineRule="auto"/>
              <w:ind w:firstLine="0"/>
              <w:jc w:val="center"/>
            </w:pPr>
            <w:r>
              <w:rPr>
                <w:b/>
                <w:i w:val="0"/>
                <w:sz w:val="20"/>
              </w:rPr>
              <w:t>Объём, т/год</w:t>
            </w:r>
          </w:p>
        </w:tc>
        <w:tc>
          <w:tcPr>
            <w:tcW w:type="dxa" w:w="1995"/>
            <w:shd w:val="clear" w:fill="DCE6F1"/>
          </w:tcPr>
          <w:p>
            <w:pPr>
              <w:spacing w:after="0" w:line="240" w:lineRule="auto"/>
              <w:ind w:firstLine="0"/>
              <w:jc w:val="center"/>
            </w:pPr>
            <w:r>
              <w:rPr>
                <w:b/>
                <w:i w:val="0"/>
                <w:sz w:val="20"/>
              </w:rPr>
              <w:t>Основное направление сбыта</w:t>
            </w:r>
          </w:p>
        </w:tc>
      </w:tr>
      <w:tr>
        <w:tc>
          <w:tcPr>
            <w:tcW w:type="dxa" w:w="1995"/>
          </w:tcPr>
          <w:p>
            <w:pPr>
              <w:spacing w:after="0" w:line="240" w:lineRule="auto"/>
              <w:ind w:firstLine="0"/>
              <w:jc w:val="left"/>
            </w:pPr>
            <w:r>
              <w:rPr>
                <w:b w:val="0"/>
                <w:i w:val="0"/>
                <w:sz w:val="20"/>
              </w:rPr>
              <w:t>Лопаритовый концентрат</w:t>
            </w:r>
          </w:p>
        </w:tc>
        <w:tc>
          <w:tcPr>
            <w:tcW w:type="dxa" w:w="1995"/>
          </w:tcPr>
          <w:p>
            <w:pPr>
              <w:spacing w:after="0" w:line="240" w:lineRule="auto"/>
              <w:ind w:firstLine="0"/>
              <w:jc w:val="center"/>
            </w:pPr>
            <w:r>
              <w:rPr>
                <w:b w:val="0"/>
                <w:i w:val="0"/>
                <w:sz w:val="20"/>
              </w:rPr>
              <w:t>Ловозёрский ГОК</w:t>
            </w:r>
          </w:p>
        </w:tc>
        <w:tc>
          <w:tcPr>
            <w:tcW w:type="dxa" w:w="1995"/>
          </w:tcPr>
          <w:p>
            <w:pPr>
              <w:spacing w:after="0" w:line="240" w:lineRule="auto"/>
              <w:ind w:firstLine="0"/>
              <w:jc w:val="center"/>
            </w:pPr>
            <w:r>
              <w:rPr>
                <w:b w:val="0"/>
                <w:i w:val="0"/>
                <w:sz w:val="20"/>
              </w:rPr>
              <w:t>30–32</w:t>
            </w:r>
          </w:p>
        </w:tc>
        <w:tc>
          <w:tcPr>
            <w:tcW w:type="dxa" w:w="1995"/>
          </w:tcPr>
          <w:p>
            <w:pPr>
              <w:spacing w:after="0" w:line="240" w:lineRule="auto"/>
              <w:ind w:firstLine="0"/>
              <w:jc w:val="center"/>
            </w:pPr>
            <w:r>
              <w:rPr>
                <w:b w:val="0"/>
                <w:i w:val="0"/>
                <w:sz w:val="20"/>
              </w:rPr>
              <w:t>7 800</w:t>
            </w:r>
          </w:p>
        </w:tc>
        <w:tc>
          <w:tcPr>
            <w:tcW w:type="dxa" w:w="1995"/>
          </w:tcPr>
          <w:p>
            <w:pPr>
              <w:spacing w:after="0" w:line="240" w:lineRule="auto"/>
              <w:ind w:firstLine="0"/>
              <w:jc w:val="center"/>
            </w:pPr>
            <w:r>
              <w:rPr>
                <w:b w:val="0"/>
                <w:i w:val="0"/>
                <w:sz w:val="20"/>
              </w:rPr>
              <w:t>внутренний передел (СМЗ)</w:t>
            </w:r>
          </w:p>
        </w:tc>
      </w:tr>
      <w:tr>
        <w:tc>
          <w:tcPr>
            <w:tcW w:type="dxa" w:w="1995"/>
          </w:tcPr>
          <w:p>
            <w:pPr>
              <w:spacing w:after="0" w:line="240" w:lineRule="auto"/>
              <w:ind w:firstLine="0"/>
              <w:jc w:val="left"/>
            </w:pPr>
            <w:r>
              <w:rPr>
                <w:b w:val="0"/>
                <w:i w:val="0"/>
                <w:sz w:val="20"/>
              </w:rPr>
              <w:t>Карбонат РЗЭ коллективный</w:t>
            </w:r>
          </w:p>
        </w:tc>
        <w:tc>
          <w:tcPr>
            <w:tcW w:type="dxa" w:w="1995"/>
          </w:tcPr>
          <w:p>
            <w:pPr>
              <w:spacing w:after="0" w:line="240" w:lineRule="auto"/>
              <w:ind w:firstLine="0"/>
              <w:jc w:val="center"/>
            </w:pPr>
            <w:r>
              <w:rPr>
                <w:b w:val="0"/>
                <w:i w:val="0"/>
                <w:sz w:val="20"/>
              </w:rPr>
              <w:t>АО «СМЗ»</w:t>
            </w:r>
          </w:p>
        </w:tc>
        <w:tc>
          <w:tcPr>
            <w:tcW w:type="dxa" w:w="1995"/>
          </w:tcPr>
          <w:p>
            <w:pPr>
              <w:spacing w:after="0" w:line="240" w:lineRule="auto"/>
              <w:ind w:firstLine="0"/>
              <w:jc w:val="center"/>
            </w:pPr>
            <w:r>
              <w:rPr>
                <w:b w:val="0"/>
                <w:i w:val="0"/>
                <w:sz w:val="20"/>
              </w:rPr>
              <w:t>45–52</w:t>
            </w:r>
          </w:p>
        </w:tc>
        <w:tc>
          <w:tcPr>
            <w:tcW w:type="dxa" w:w="1995"/>
          </w:tcPr>
          <w:p>
            <w:pPr>
              <w:spacing w:after="0" w:line="240" w:lineRule="auto"/>
              <w:ind w:firstLine="0"/>
              <w:jc w:val="center"/>
            </w:pPr>
            <w:r>
              <w:rPr>
                <w:b w:val="0"/>
                <w:i w:val="0"/>
                <w:sz w:val="20"/>
              </w:rPr>
              <w:t>4 200</w:t>
            </w:r>
          </w:p>
        </w:tc>
        <w:tc>
          <w:tcPr>
            <w:tcW w:type="dxa" w:w="1995"/>
          </w:tcPr>
          <w:p>
            <w:pPr>
              <w:spacing w:after="0" w:line="240" w:lineRule="auto"/>
              <w:ind w:firstLine="0"/>
              <w:jc w:val="center"/>
            </w:pPr>
            <w:r>
              <w:rPr>
                <w:b w:val="0"/>
                <w:i w:val="0"/>
                <w:sz w:val="20"/>
              </w:rPr>
              <w:t>экспорт, внутр. передел</w:t>
            </w:r>
          </w:p>
        </w:tc>
      </w:tr>
      <w:tr>
        <w:tc>
          <w:tcPr>
            <w:tcW w:type="dxa" w:w="1995"/>
          </w:tcPr>
          <w:p>
            <w:pPr>
              <w:spacing w:after="0" w:line="240" w:lineRule="auto"/>
              <w:ind w:firstLine="0"/>
              <w:jc w:val="left"/>
            </w:pPr>
            <w:r>
              <w:rPr>
                <w:b w:val="0"/>
                <w:i w:val="0"/>
                <w:sz w:val="20"/>
              </w:rPr>
              <w:t>Хлориды РЗЭ</w:t>
            </w:r>
          </w:p>
        </w:tc>
        <w:tc>
          <w:tcPr>
            <w:tcW w:type="dxa" w:w="1995"/>
          </w:tcPr>
          <w:p>
            <w:pPr>
              <w:spacing w:after="0" w:line="240" w:lineRule="auto"/>
              <w:ind w:firstLine="0"/>
              <w:jc w:val="center"/>
            </w:pPr>
            <w:r>
              <w:rPr>
                <w:b w:val="0"/>
                <w:i w:val="0"/>
                <w:sz w:val="20"/>
              </w:rPr>
              <w:t>АО «СМЗ»</w:t>
            </w:r>
          </w:p>
        </w:tc>
        <w:tc>
          <w:tcPr>
            <w:tcW w:type="dxa" w:w="1995"/>
          </w:tcPr>
          <w:p>
            <w:pPr>
              <w:spacing w:after="0" w:line="240" w:lineRule="auto"/>
              <w:ind w:firstLine="0"/>
              <w:jc w:val="center"/>
            </w:pPr>
            <w:r>
              <w:rPr>
                <w:b w:val="0"/>
                <w:i w:val="0"/>
                <w:sz w:val="20"/>
              </w:rPr>
              <w:t>40–45</w:t>
            </w:r>
          </w:p>
        </w:tc>
        <w:tc>
          <w:tcPr>
            <w:tcW w:type="dxa" w:w="1995"/>
          </w:tcPr>
          <w:p>
            <w:pPr>
              <w:spacing w:after="0" w:line="240" w:lineRule="auto"/>
              <w:ind w:firstLine="0"/>
              <w:jc w:val="center"/>
            </w:pPr>
            <w:r>
              <w:rPr>
                <w:b w:val="0"/>
                <w:i w:val="0"/>
                <w:sz w:val="20"/>
              </w:rPr>
              <w:t>250</w:t>
            </w:r>
          </w:p>
        </w:tc>
        <w:tc>
          <w:tcPr>
            <w:tcW w:type="dxa" w:w="1995"/>
          </w:tcPr>
          <w:p>
            <w:pPr>
              <w:spacing w:after="0" w:line="240" w:lineRule="auto"/>
              <w:ind w:firstLine="0"/>
              <w:jc w:val="center"/>
            </w:pPr>
            <w:r>
              <w:rPr>
                <w:b w:val="0"/>
                <w:i w:val="0"/>
                <w:sz w:val="20"/>
              </w:rPr>
              <w:t>внутренний рынок</w:t>
            </w:r>
          </w:p>
        </w:tc>
      </w:tr>
      <w:tr>
        <w:tc>
          <w:tcPr>
            <w:tcW w:type="dxa" w:w="1995"/>
          </w:tcPr>
          <w:p>
            <w:pPr>
              <w:spacing w:after="0" w:line="240" w:lineRule="auto"/>
              <w:ind w:firstLine="0"/>
              <w:jc w:val="left"/>
            </w:pPr>
            <w:r>
              <w:rPr>
                <w:b w:val="0"/>
                <w:i w:val="0"/>
                <w:sz w:val="20"/>
              </w:rPr>
              <w:t>Оксид лантана 99%</w:t>
            </w:r>
          </w:p>
        </w:tc>
        <w:tc>
          <w:tcPr>
            <w:tcW w:type="dxa" w:w="1995"/>
          </w:tcPr>
          <w:p>
            <w:pPr>
              <w:spacing w:after="0" w:line="240" w:lineRule="auto"/>
              <w:ind w:firstLine="0"/>
              <w:jc w:val="center"/>
            </w:pPr>
            <w:r>
              <w:rPr>
                <w:b w:val="0"/>
                <w:i w:val="0"/>
                <w:sz w:val="20"/>
              </w:rPr>
              <w:t>АО «СМЗ», Скайград</w:t>
            </w:r>
          </w:p>
        </w:tc>
        <w:tc>
          <w:tcPr>
            <w:tcW w:type="dxa" w:w="1995"/>
          </w:tcPr>
          <w:p>
            <w:pPr>
              <w:spacing w:after="0" w:line="240" w:lineRule="auto"/>
              <w:ind w:firstLine="0"/>
              <w:jc w:val="center"/>
            </w:pPr>
            <w:r>
              <w:rPr>
                <w:b w:val="0"/>
                <w:i w:val="0"/>
                <w:sz w:val="20"/>
              </w:rPr>
              <w:t>99+</w:t>
            </w:r>
          </w:p>
        </w:tc>
        <w:tc>
          <w:tcPr>
            <w:tcW w:type="dxa" w:w="1995"/>
          </w:tcPr>
          <w:p>
            <w:pPr>
              <w:spacing w:after="0" w:line="240" w:lineRule="auto"/>
              <w:ind w:firstLine="0"/>
              <w:jc w:val="center"/>
            </w:pPr>
            <w:r>
              <w:rPr>
                <w:b w:val="0"/>
                <w:i w:val="0"/>
                <w:sz w:val="20"/>
              </w:rPr>
              <w:t>120</w:t>
            </w:r>
          </w:p>
        </w:tc>
        <w:tc>
          <w:tcPr>
            <w:tcW w:type="dxa" w:w="1995"/>
          </w:tcPr>
          <w:p>
            <w:pPr>
              <w:spacing w:after="0" w:line="240" w:lineRule="auto"/>
              <w:ind w:firstLine="0"/>
              <w:jc w:val="center"/>
            </w:pPr>
            <w:r>
              <w:rPr>
                <w:b w:val="0"/>
                <w:i w:val="0"/>
                <w:sz w:val="20"/>
              </w:rPr>
              <w:t>внутренний рынок, экспорт</w:t>
            </w:r>
          </w:p>
        </w:tc>
      </w:tr>
      <w:tr>
        <w:tc>
          <w:tcPr>
            <w:tcW w:type="dxa" w:w="1995"/>
          </w:tcPr>
          <w:p>
            <w:pPr>
              <w:spacing w:after="0" w:line="240" w:lineRule="auto"/>
              <w:ind w:firstLine="0"/>
              <w:jc w:val="left"/>
            </w:pPr>
            <w:r>
              <w:rPr>
                <w:b w:val="0"/>
                <w:i w:val="0"/>
                <w:sz w:val="20"/>
              </w:rPr>
              <w:t>Оксид церия 99%</w:t>
            </w:r>
          </w:p>
        </w:tc>
        <w:tc>
          <w:tcPr>
            <w:tcW w:type="dxa" w:w="1995"/>
          </w:tcPr>
          <w:p>
            <w:pPr>
              <w:spacing w:after="0" w:line="240" w:lineRule="auto"/>
              <w:ind w:firstLine="0"/>
              <w:jc w:val="center"/>
            </w:pPr>
            <w:r>
              <w:rPr>
                <w:b w:val="0"/>
                <w:i w:val="0"/>
                <w:sz w:val="20"/>
              </w:rPr>
              <w:t>АО «СМЗ», Скайград</w:t>
            </w:r>
          </w:p>
        </w:tc>
        <w:tc>
          <w:tcPr>
            <w:tcW w:type="dxa" w:w="1995"/>
          </w:tcPr>
          <w:p>
            <w:pPr>
              <w:spacing w:after="0" w:line="240" w:lineRule="auto"/>
              <w:ind w:firstLine="0"/>
              <w:jc w:val="center"/>
            </w:pPr>
            <w:r>
              <w:rPr>
                <w:b w:val="0"/>
                <w:i w:val="0"/>
                <w:sz w:val="20"/>
              </w:rPr>
              <w:t>99+</w:t>
            </w:r>
          </w:p>
        </w:tc>
        <w:tc>
          <w:tcPr>
            <w:tcW w:type="dxa" w:w="1995"/>
          </w:tcPr>
          <w:p>
            <w:pPr>
              <w:spacing w:after="0" w:line="240" w:lineRule="auto"/>
              <w:ind w:firstLine="0"/>
              <w:jc w:val="center"/>
            </w:pPr>
            <w:r>
              <w:rPr>
                <w:b w:val="0"/>
                <w:i w:val="0"/>
                <w:sz w:val="20"/>
              </w:rPr>
              <w:t>160</w:t>
            </w:r>
          </w:p>
        </w:tc>
        <w:tc>
          <w:tcPr>
            <w:tcW w:type="dxa" w:w="1995"/>
          </w:tcPr>
          <w:p>
            <w:pPr>
              <w:spacing w:after="0" w:line="240" w:lineRule="auto"/>
              <w:ind w:firstLine="0"/>
              <w:jc w:val="center"/>
            </w:pPr>
            <w:r>
              <w:rPr>
                <w:b w:val="0"/>
                <w:i w:val="0"/>
                <w:sz w:val="20"/>
              </w:rPr>
              <w:t>внутренний рынок</w:t>
            </w:r>
          </w:p>
        </w:tc>
      </w:tr>
      <w:tr>
        <w:tc>
          <w:tcPr>
            <w:tcW w:type="dxa" w:w="1995"/>
          </w:tcPr>
          <w:p>
            <w:pPr>
              <w:spacing w:after="0" w:line="240" w:lineRule="auto"/>
              <w:ind w:firstLine="0"/>
              <w:jc w:val="left"/>
            </w:pPr>
            <w:r>
              <w:rPr>
                <w:b w:val="0"/>
                <w:i w:val="0"/>
                <w:sz w:val="20"/>
              </w:rPr>
              <w:t>Оксид неодима 99,5%</w:t>
            </w:r>
          </w:p>
        </w:tc>
        <w:tc>
          <w:tcPr>
            <w:tcW w:type="dxa" w:w="1995"/>
          </w:tcPr>
          <w:p>
            <w:pPr>
              <w:spacing w:after="0" w:line="240" w:lineRule="auto"/>
              <w:ind w:firstLine="0"/>
              <w:jc w:val="center"/>
            </w:pPr>
            <w:r>
              <w:rPr>
                <w:b w:val="0"/>
                <w:i w:val="0"/>
                <w:sz w:val="20"/>
              </w:rPr>
              <w:t>АО «СМЗ», Скайград</w:t>
            </w:r>
          </w:p>
        </w:tc>
        <w:tc>
          <w:tcPr>
            <w:tcW w:type="dxa" w:w="1995"/>
          </w:tcPr>
          <w:p>
            <w:pPr>
              <w:spacing w:after="0" w:line="240" w:lineRule="auto"/>
              <w:ind w:firstLine="0"/>
              <w:jc w:val="center"/>
            </w:pPr>
            <w:r>
              <w:rPr>
                <w:b w:val="0"/>
                <w:i w:val="0"/>
                <w:sz w:val="20"/>
              </w:rPr>
              <w:t>99,5+</w:t>
            </w:r>
          </w:p>
        </w:tc>
        <w:tc>
          <w:tcPr>
            <w:tcW w:type="dxa" w:w="1995"/>
          </w:tcPr>
          <w:p>
            <w:pPr>
              <w:spacing w:after="0" w:line="240" w:lineRule="auto"/>
              <w:ind w:firstLine="0"/>
              <w:jc w:val="center"/>
            </w:pPr>
            <w:r>
              <w:rPr>
                <w:b w:val="0"/>
                <w:i w:val="0"/>
                <w:sz w:val="20"/>
              </w:rPr>
              <w:t>85</w:t>
            </w:r>
          </w:p>
        </w:tc>
        <w:tc>
          <w:tcPr>
            <w:tcW w:type="dxa" w:w="1995"/>
          </w:tcPr>
          <w:p>
            <w:pPr>
              <w:spacing w:after="0" w:line="240" w:lineRule="auto"/>
              <w:ind w:firstLine="0"/>
              <w:jc w:val="center"/>
            </w:pPr>
            <w:r>
              <w:rPr>
                <w:b w:val="0"/>
                <w:i w:val="0"/>
                <w:sz w:val="20"/>
              </w:rPr>
              <w:t>внутренний рынок</w:t>
            </w:r>
          </w:p>
        </w:tc>
      </w:tr>
      <w:tr>
        <w:tc>
          <w:tcPr>
            <w:tcW w:type="dxa" w:w="1995"/>
          </w:tcPr>
          <w:p>
            <w:pPr>
              <w:spacing w:after="0" w:line="240" w:lineRule="auto"/>
              <w:ind w:firstLine="0"/>
              <w:jc w:val="left"/>
            </w:pPr>
            <w:r>
              <w:rPr>
                <w:b w:val="0"/>
                <w:i w:val="0"/>
                <w:sz w:val="20"/>
              </w:rPr>
              <w:t>Оксид празеодима 99,5%</w:t>
            </w:r>
          </w:p>
        </w:tc>
        <w:tc>
          <w:tcPr>
            <w:tcW w:type="dxa" w:w="1995"/>
          </w:tcPr>
          <w:p>
            <w:pPr>
              <w:spacing w:after="0" w:line="240" w:lineRule="auto"/>
              <w:ind w:firstLine="0"/>
              <w:jc w:val="center"/>
            </w:pPr>
            <w:r>
              <w:rPr>
                <w:b w:val="0"/>
                <w:i w:val="0"/>
                <w:sz w:val="20"/>
              </w:rPr>
              <w:t>АО «СМЗ», Скайград</w:t>
            </w:r>
          </w:p>
        </w:tc>
        <w:tc>
          <w:tcPr>
            <w:tcW w:type="dxa" w:w="1995"/>
          </w:tcPr>
          <w:p>
            <w:pPr>
              <w:spacing w:after="0" w:line="240" w:lineRule="auto"/>
              <w:ind w:firstLine="0"/>
              <w:jc w:val="center"/>
            </w:pPr>
            <w:r>
              <w:rPr>
                <w:b w:val="0"/>
                <w:i w:val="0"/>
                <w:sz w:val="20"/>
              </w:rPr>
              <w:t>99,5+</w:t>
            </w:r>
          </w:p>
        </w:tc>
        <w:tc>
          <w:tcPr>
            <w:tcW w:type="dxa" w:w="1995"/>
          </w:tcPr>
          <w:p>
            <w:pPr>
              <w:spacing w:after="0" w:line="240" w:lineRule="auto"/>
              <w:ind w:firstLine="0"/>
              <w:jc w:val="center"/>
            </w:pPr>
            <w:r>
              <w:rPr>
                <w:b w:val="0"/>
                <w:i w:val="0"/>
                <w:sz w:val="20"/>
              </w:rPr>
              <w:t>30</w:t>
            </w:r>
          </w:p>
        </w:tc>
        <w:tc>
          <w:tcPr>
            <w:tcW w:type="dxa" w:w="1995"/>
          </w:tcPr>
          <w:p>
            <w:pPr>
              <w:spacing w:after="0" w:line="240" w:lineRule="auto"/>
              <w:ind w:firstLine="0"/>
              <w:jc w:val="center"/>
            </w:pPr>
            <w:r>
              <w:rPr>
                <w:b w:val="0"/>
                <w:i w:val="0"/>
                <w:sz w:val="20"/>
              </w:rPr>
              <w:t>внутренний рынок</w:t>
            </w:r>
          </w:p>
        </w:tc>
      </w:tr>
      <w:tr>
        <w:tc>
          <w:tcPr>
            <w:tcW w:type="dxa" w:w="1995"/>
          </w:tcPr>
          <w:p>
            <w:pPr>
              <w:spacing w:after="0" w:line="240" w:lineRule="auto"/>
              <w:ind w:firstLine="0"/>
              <w:jc w:val="left"/>
            </w:pPr>
            <w:r>
              <w:rPr>
                <w:b w:val="0"/>
                <w:i w:val="0"/>
                <w:sz w:val="20"/>
              </w:rPr>
              <w:t>Оксид самария, гадолиния</w:t>
            </w:r>
          </w:p>
        </w:tc>
        <w:tc>
          <w:tcPr>
            <w:tcW w:type="dxa" w:w="1995"/>
          </w:tcPr>
          <w:p>
            <w:pPr>
              <w:spacing w:after="0" w:line="240" w:lineRule="auto"/>
              <w:ind w:firstLine="0"/>
              <w:jc w:val="center"/>
            </w:pPr>
            <w:r>
              <w:rPr>
                <w:b w:val="0"/>
                <w:i w:val="0"/>
                <w:sz w:val="20"/>
              </w:rPr>
              <w:t>АО «СМЗ»</w:t>
            </w:r>
          </w:p>
        </w:tc>
        <w:tc>
          <w:tcPr>
            <w:tcW w:type="dxa" w:w="1995"/>
          </w:tcPr>
          <w:p>
            <w:pPr>
              <w:spacing w:after="0" w:line="240" w:lineRule="auto"/>
              <w:ind w:firstLine="0"/>
              <w:jc w:val="center"/>
            </w:pPr>
            <w:r>
              <w:rPr>
                <w:b w:val="0"/>
                <w:i w:val="0"/>
                <w:sz w:val="20"/>
              </w:rPr>
              <w:t>99+</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атомная промышленность</w:t>
            </w:r>
          </w:p>
        </w:tc>
      </w:tr>
      <w:tr>
        <w:tc>
          <w:tcPr>
            <w:tcW w:type="dxa" w:w="1995"/>
          </w:tcPr>
          <w:p>
            <w:pPr>
              <w:spacing w:after="0" w:line="240" w:lineRule="auto"/>
              <w:ind w:firstLine="0"/>
              <w:jc w:val="left"/>
            </w:pPr>
            <w:r>
              <w:rPr>
                <w:b w:val="0"/>
                <w:i w:val="0"/>
                <w:sz w:val="20"/>
              </w:rPr>
              <w:t>Металлы и лигатуры</w:t>
            </w:r>
          </w:p>
        </w:tc>
        <w:tc>
          <w:tcPr>
            <w:tcW w:type="dxa" w:w="1995"/>
          </w:tcPr>
          <w:p>
            <w:pPr>
              <w:spacing w:after="0" w:line="240" w:lineRule="auto"/>
              <w:ind w:firstLine="0"/>
              <w:jc w:val="center"/>
            </w:pPr>
            <w:r>
              <w:rPr>
                <w:b w:val="0"/>
                <w:i w:val="0"/>
                <w:sz w:val="20"/>
              </w:rPr>
              <w:t>АО «ЧМЗ», прочие</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ОПК, атомная отрасль</w:t>
            </w:r>
          </w:p>
        </w:tc>
      </w:tr>
      <w:tr>
        <w:tc>
          <w:tcPr>
            <w:tcW w:type="dxa" w:w="1995"/>
          </w:tcPr>
          <w:p>
            <w:pPr>
              <w:spacing w:after="0" w:line="240" w:lineRule="auto"/>
              <w:ind w:firstLine="0"/>
              <w:jc w:val="left"/>
            </w:pPr>
            <w:r>
              <w:rPr>
                <w:b w:val="0"/>
                <w:i w:val="0"/>
                <w:sz w:val="20"/>
              </w:rPr>
              <w:t>Магниты NdFeB</w:t>
            </w:r>
          </w:p>
        </w:tc>
        <w:tc>
          <w:tcPr>
            <w:tcW w:type="dxa" w:w="1995"/>
          </w:tcPr>
          <w:p>
            <w:pPr>
              <w:spacing w:after="0" w:line="240" w:lineRule="auto"/>
              <w:ind w:firstLine="0"/>
              <w:jc w:val="center"/>
            </w:pPr>
            <w:r>
              <w:rPr>
                <w:b w:val="0"/>
                <w:i w:val="0"/>
                <w:sz w:val="20"/>
              </w:rPr>
              <w:t>опытные производства</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ОПК, приборостроение</w:t>
            </w:r>
          </w:p>
        </w:tc>
      </w:tr>
    </w:tbl>
    <w:p>
      <w:pPr>
        <w:spacing w:after="180"/>
        <w:ind w:firstLine="0"/>
      </w:pPr>
      <w:r>
        <w:rPr>
          <w:i/>
          <w:sz w:val="20"/>
        </w:rPr>
        <w:t>Источник: аналитический центр по данным корпоративных раскрытий и отраслевой информации</w:t>
      </w:r>
    </w:p>
    <w:p>
      <w:pPr>
        <w:keepNext/>
        <w:spacing w:before="160" w:after="60"/>
        <w:ind w:firstLine="0"/>
        <w:jc w:val="left"/>
      </w:pPr>
      <w:r>
        <w:rPr>
          <w:b/>
          <w:sz w:val="22"/>
        </w:rPr>
        <w:t>Рисунок 57. Структура производства редкоземельной продукции в РФ по видам, 2025 г., т TREO</w:t>
      </w:r>
    </w:p>
    <w:p>
      <w:pPr>
        <w:ind w:firstLine="0"/>
        <w:jc w:val="center"/>
      </w:pPr>
      <w:r>
        <w:drawing>
          <wp:inline xmlns:a="http://schemas.openxmlformats.org/drawingml/2006/main" xmlns:pic="http://schemas.openxmlformats.org/drawingml/2006/picture">
            <wp:extent cx="5580000" cy="2753609"/>
            <wp:docPr id="57" name="Picture 57"/>
            <wp:cNvGraphicFramePr>
              <a:graphicFrameLocks noChangeAspect="1"/>
            </wp:cNvGraphicFramePr>
            <a:graphic>
              <a:graphicData uri="http://schemas.openxmlformats.org/drawingml/2006/picture">
                <pic:pic>
                  <pic:nvPicPr>
                    <pic:cNvPr id="0" name="fig57.png"/>
                    <pic:cNvPicPr/>
                  </pic:nvPicPr>
                  <pic:blipFill>
                    <a:blip r:embed="rId67"/>
                    <a:stretch>
                      <a:fillRect/>
                    </a:stretch>
                  </pic:blipFill>
                  <pic:spPr>
                    <a:xfrm>
                      <a:off x="0" y="0"/>
                      <a:ext cx="5580000" cy="2753609"/>
                    </a:xfrm>
                    <a:prstGeom prst="rect"/>
                  </pic:spPr>
                </pic:pic>
              </a:graphicData>
            </a:graphic>
          </wp:inline>
        </w:drawing>
      </w:r>
    </w:p>
    <w:p>
      <w:pPr>
        <w:spacing w:after="180"/>
        <w:ind w:firstLine="0"/>
      </w:pPr>
      <w:r>
        <w:rPr>
          <w:i/>
          <w:sz w:val="20"/>
        </w:rPr>
        <w:t>Источник: аналитический центр (табл. 71)</w:t>
      </w:r>
    </w:p>
    <w:p>
      <w:pPr>
        <w:pStyle w:val="Heading2"/>
      </w:pPr>
      <w:r>
        <w:rPr>
          <w:b w:val="0"/>
          <w:i w:val="0"/>
        </w:rPr>
        <w:t>10.4. Территориальная структура отрасли</w:t>
      </w:r>
    </w:p>
    <w:p>
      <w:r>
        <w:rPr>
          <w:b w:val="0"/>
          <w:i w:val="0"/>
        </w:rPr>
        <w:t>Российская редкоземельная промышленность сосредоточена в трёх регионах:</w:t>
      </w:r>
    </w:p>
    <w:p>
      <w:r>
        <w:rPr>
          <w:b/>
          <w:i w:val="0"/>
        </w:rPr>
        <w:t>Мурманская область</w:t>
      </w:r>
      <w:r>
        <w:rPr>
          <w:b w:val="0"/>
          <w:i w:val="0"/>
        </w:rPr>
        <w:t xml:space="preserve"> — сырьевое звено (Ловозёрский ГОК, посёлок Ревда), а также потенциал апатитового сырья (Кировск, Апатиты) и перспективные объекты (Африканда). На регион приходится 100% добычи редкоземельного сырья.</w:t>
      </w:r>
    </w:p>
    <w:p>
      <w:r>
        <w:rPr>
          <w:b/>
          <w:i w:val="0"/>
        </w:rPr>
        <w:t>Пермский край</w:t>
      </w:r>
      <w:r>
        <w:rPr>
          <w:b w:val="0"/>
          <w:i w:val="0"/>
        </w:rPr>
        <w:t xml:space="preserve"> — химико-металлургическое звено (АО «Соликамский магниевый завод», г. Соликамск). Единственное в России предприятие, осуществляющее вскрытие лопаритового концентрата и производство коллективной редкоземельной продукции в промышленном масштабе.</w:t>
      </w:r>
    </w:p>
    <w:p>
      <w:r>
        <w:rPr>
          <w:b/>
          <w:i w:val="0"/>
        </w:rPr>
        <w:t>Московская область</w:t>
      </w:r>
      <w:r>
        <w:rPr>
          <w:b w:val="0"/>
          <w:i w:val="0"/>
        </w:rPr>
        <w:t xml:space="preserve"> — ООО «Скайград» (г. Королёв), опытно-промышленное производство разделённой продукции; ряд научных и проектных организаций.</w:t>
      </w:r>
    </w:p>
    <w:p>
      <w:r>
        <w:rPr>
          <w:b w:val="0"/>
          <w:i w:val="0"/>
        </w:rPr>
        <w:t>Дополнительно в контур отрасли входят: Удмуртская Республика (АО «Чепецкий механический завод», г. Глазов — металлургический передел и проект магнитного производства), Республика Саха (Якутия) и Красноярский край (перспективные объекты), Иркутская область и Забайкальский край (перспективные объекты).</w:t>
      </w:r>
    </w:p>
    <w:p>
      <w:pPr>
        <w:keepNext/>
        <w:spacing w:before="160" w:after="60"/>
        <w:ind w:firstLine="0"/>
        <w:jc w:val="left"/>
      </w:pPr>
      <w:r>
        <w:rPr>
          <w:b/>
          <w:sz w:val="22"/>
        </w:rPr>
        <w:t>Таблица 72. Территориальная структура редкоземельной отрасли Российской Федерации</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Регион</w:t>
            </w:r>
          </w:p>
        </w:tc>
        <w:tc>
          <w:tcPr>
            <w:tcW w:type="dxa" w:w="2493"/>
            <w:shd w:val="clear" w:fill="DCE6F1"/>
          </w:tcPr>
          <w:p>
            <w:pPr>
              <w:spacing w:after="0" w:line="240" w:lineRule="auto"/>
              <w:ind w:firstLine="0"/>
              <w:jc w:val="center"/>
            </w:pPr>
            <w:r>
              <w:rPr>
                <w:b/>
                <w:i w:val="0"/>
                <w:sz w:val="20"/>
              </w:rPr>
              <w:t>Предприятия / объекты</w:t>
            </w:r>
          </w:p>
        </w:tc>
        <w:tc>
          <w:tcPr>
            <w:tcW w:type="dxa" w:w="2493"/>
            <w:shd w:val="clear" w:fill="DCE6F1"/>
          </w:tcPr>
          <w:p>
            <w:pPr>
              <w:spacing w:after="0" w:line="240" w:lineRule="auto"/>
              <w:ind w:firstLine="0"/>
              <w:jc w:val="center"/>
            </w:pPr>
            <w:r>
              <w:rPr>
                <w:b/>
                <w:i w:val="0"/>
                <w:sz w:val="20"/>
              </w:rPr>
              <w:t>Передел</w:t>
            </w:r>
          </w:p>
        </w:tc>
        <w:tc>
          <w:tcPr>
            <w:tcW w:type="dxa" w:w="2493"/>
            <w:shd w:val="clear" w:fill="DCE6F1"/>
          </w:tcPr>
          <w:p>
            <w:pPr>
              <w:spacing w:after="0" w:line="240" w:lineRule="auto"/>
              <w:ind w:firstLine="0"/>
              <w:jc w:val="center"/>
            </w:pPr>
            <w:r>
              <w:rPr>
                <w:b/>
                <w:i w:val="0"/>
                <w:sz w:val="20"/>
              </w:rPr>
              <w:t>Состояние</w:t>
            </w:r>
          </w:p>
        </w:tc>
      </w:tr>
      <w:tr>
        <w:tc>
          <w:tcPr>
            <w:tcW w:type="dxa" w:w="2493"/>
          </w:tcPr>
          <w:p>
            <w:pPr>
              <w:spacing w:after="0" w:line="240" w:lineRule="auto"/>
              <w:ind w:firstLine="0"/>
              <w:jc w:val="left"/>
            </w:pPr>
            <w:r>
              <w:rPr>
                <w:b w:val="0"/>
                <w:i w:val="0"/>
                <w:sz w:val="20"/>
              </w:rPr>
              <w:t>Мурманская область</w:t>
            </w:r>
          </w:p>
        </w:tc>
        <w:tc>
          <w:tcPr>
            <w:tcW w:type="dxa" w:w="2493"/>
          </w:tcPr>
          <w:p>
            <w:pPr>
              <w:spacing w:after="0" w:line="240" w:lineRule="auto"/>
              <w:ind w:firstLine="0"/>
              <w:jc w:val="center"/>
            </w:pPr>
            <w:r>
              <w:rPr>
                <w:b w:val="0"/>
                <w:i w:val="0"/>
                <w:sz w:val="20"/>
              </w:rPr>
              <w:t>Ловозёрский ГОК</w:t>
            </w:r>
          </w:p>
        </w:tc>
        <w:tc>
          <w:tcPr>
            <w:tcW w:type="dxa" w:w="2493"/>
          </w:tcPr>
          <w:p>
            <w:pPr>
              <w:spacing w:after="0" w:line="240" w:lineRule="auto"/>
              <w:ind w:firstLine="0"/>
              <w:jc w:val="center"/>
            </w:pPr>
            <w:r>
              <w:rPr>
                <w:b w:val="0"/>
                <w:i w:val="0"/>
                <w:sz w:val="20"/>
              </w:rPr>
              <w:t>добыча, обогащение</w:t>
            </w:r>
          </w:p>
        </w:tc>
        <w:tc>
          <w:tcPr>
            <w:tcW w:type="dxa" w:w="2493"/>
          </w:tcPr>
          <w:p>
            <w:pPr>
              <w:spacing w:after="0" w:line="240" w:lineRule="auto"/>
              <w:ind w:firstLine="0"/>
              <w:jc w:val="center"/>
            </w:pPr>
            <w:r>
              <w:rPr>
                <w:b w:val="0"/>
                <w:i w:val="0"/>
                <w:sz w:val="20"/>
              </w:rPr>
              <w:t>действующее</w:t>
            </w:r>
          </w:p>
        </w:tc>
      </w:tr>
      <w:tr>
        <w:tc>
          <w:tcPr>
            <w:tcW w:type="dxa" w:w="2493"/>
          </w:tcPr>
          <w:p>
            <w:pPr>
              <w:spacing w:after="0" w:line="240" w:lineRule="auto"/>
              <w:ind w:firstLine="0"/>
              <w:jc w:val="left"/>
            </w:pPr>
            <w:r>
              <w:rPr>
                <w:b w:val="0"/>
                <w:i w:val="0"/>
                <w:sz w:val="20"/>
              </w:rPr>
              <w:t>Мурманская область</w:t>
            </w:r>
          </w:p>
        </w:tc>
        <w:tc>
          <w:tcPr>
            <w:tcW w:type="dxa" w:w="2493"/>
          </w:tcPr>
          <w:p>
            <w:pPr>
              <w:spacing w:after="0" w:line="240" w:lineRule="auto"/>
              <w:ind w:firstLine="0"/>
              <w:jc w:val="center"/>
            </w:pPr>
            <w:r>
              <w:rPr>
                <w:b w:val="0"/>
                <w:i w:val="0"/>
                <w:sz w:val="20"/>
              </w:rPr>
              <w:t>Африканда (проект)</w:t>
            </w:r>
          </w:p>
        </w:tc>
        <w:tc>
          <w:tcPr>
            <w:tcW w:type="dxa" w:w="2493"/>
          </w:tcPr>
          <w:p>
            <w:pPr>
              <w:spacing w:after="0" w:line="240" w:lineRule="auto"/>
              <w:ind w:firstLine="0"/>
              <w:jc w:val="center"/>
            </w:pPr>
            <w:r>
              <w:rPr>
                <w:b w:val="0"/>
                <w:i w:val="0"/>
                <w:sz w:val="20"/>
              </w:rPr>
              <w:t>добыча</w:t>
            </w:r>
          </w:p>
        </w:tc>
        <w:tc>
          <w:tcPr>
            <w:tcW w:type="dxa" w:w="2493"/>
          </w:tcPr>
          <w:p>
            <w:pPr>
              <w:spacing w:after="0" w:line="240" w:lineRule="auto"/>
              <w:ind w:firstLine="0"/>
              <w:jc w:val="center"/>
            </w:pPr>
            <w:r>
              <w:rPr>
                <w:b w:val="0"/>
                <w:i w:val="0"/>
                <w:sz w:val="20"/>
              </w:rPr>
              <w:t>подготовка</w:t>
            </w:r>
          </w:p>
        </w:tc>
      </w:tr>
      <w:tr>
        <w:tc>
          <w:tcPr>
            <w:tcW w:type="dxa" w:w="2493"/>
          </w:tcPr>
          <w:p>
            <w:pPr>
              <w:spacing w:after="0" w:line="240" w:lineRule="auto"/>
              <w:ind w:firstLine="0"/>
              <w:jc w:val="left"/>
            </w:pPr>
            <w:r>
              <w:rPr>
                <w:b w:val="0"/>
                <w:i w:val="0"/>
                <w:sz w:val="20"/>
              </w:rPr>
              <w:t>Мурманская область</w:t>
            </w:r>
          </w:p>
        </w:tc>
        <w:tc>
          <w:tcPr>
            <w:tcW w:type="dxa" w:w="2493"/>
          </w:tcPr>
          <w:p>
            <w:pPr>
              <w:spacing w:after="0" w:line="240" w:lineRule="auto"/>
              <w:ind w:firstLine="0"/>
              <w:jc w:val="center"/>
            </w:pPr>
            <w:r>
              <w:rPr>
                <w:b w:val="0"/>
                <w:i w:val="0"/>
                <w:sz w:val="20"/>
              </w:rPr>
              <w:t>Хибины (ФосАгро)</w:t>
            </w:r>
          </w:p>
        </w:tc>
        <w:tc>
          <w:tcPr>
            <w:tcW w:type="dxa" w:w="2493"/>
          </w:tcPr>
          <w:p>
            <w:pPr>
              <w:spacing w:after="0" w:line="240" w:lineRule="auto"/>
              <w:ind w:firstLine="0"/>
              <w:jc w:val="center"/>
            </w:pPr>
            <w:r>
              <w:rPr>
                <w:b w:val="0"/>
                <w:i w:val="0"/>
                <w:sz w:val="20"/>
              </w:rPr>
              <w:t>попутный потенциал</w:t>
            </w:r>
          </w:p>
        </w:tc>
        <w:tc>
          <w:tcPr>
            <w:tcW w:type="dxa" w:w="2493"/>
          </w:tcPr>
          <w:p>
            <w:pPr>
              <w:spacing w:after="0" w:line="240" w:lineRule="auto"/>
              <w:ind w:firstLine="0"/>
              <w:jc w:val="center"/>
            </w:pPr>
            <w:r>
              <w:rPr>
                <w:b w:val="0"/>
                <w:i w:val="0"/>
                <w:sz w:val="20"/>
              </w:rPr>
              <w:t>не реализован</w:t>
            </w:r>
          </w:p>
        </w:tc>
      </w:tr>
      <w:tr>
        <w:tc>
          <w:tcPr>
            <w:tcW w:type="dxa" w:w="2493"/>
          </w:tcPr>
          <w:p>
            <w:pPr>
              <w:spacing w:after="0" w:line="240" w:lineRule="auto"/>
              <w:ind w:firstLine="0"/>
              <w:jc w:val="left"/>
            </w:pPr>
            <w:r>
              <w:rPr>
                <w:b w:val="0"/>
                <w:i w:val="0"/>
                <w:sz w:val="20"/>
              </w:rPr>
              <w:t>Пермский край</w:t>
            </w:r>
          </w:p>
        </w:tc>
        <w:tc>
          <w:tcPr>
            <w:tcW w:type="dxa" w:w="2493"/>
          </w:tcPr>
          <w:p>
            <w:pPr>
              <w:spacing w:after="0" w:line="240" w:lineRule="auto"/>
              <w:ind w:firstLine="0"/>
              <w:jc w:val="center"/>
            </w:pPr>
            <w:r>
              <w:rPr>
                <w:b w:val="0"/>
                <w:i w:val="0"/>
                <w:sz w:val="20"/>
              </w:rPr>
              <w:t>АО «СМЗ»</w:t>
            </w:r>
          </w:p>
        </w:tc>
        <w:tc>
          <w:tcPr>
            <w:tcW w:type="dxa" w:w="2493"/>
          </w:tcPr>
          <w:p>
            <w:pPr>
              <w:spacing w:after="0" w:line="240" w:lineRule="auto"/>
              <w:ind w:firstLine="0"/>
              <w:jc w:val="center"/>
            </w:pPr>
            <w:r>
              <w:rPr>
                <w:b w:val="0"/>
                <w:i w:val="0"/>
                <w:sz w:val="20"/>
              </w:rPr>
              <w:t>вскрытие, разделение</w:t>
            </w:r>
          </w:p>
        </w:tc>
        <w:tc>
          <w:tcPr>
            <w:tcW w:type="dxa" w:w="2493"/>
          </w:tcPr>
          <w:p>
            <w:pPr>
              <w:spacing w:after="0" w:line="240" w:lineRule="auto"/>
              <w:ind w:firstLine="0"/>
              <w:jc w:val="center"/>
            </w:pPr>
            <w:r>
              <w:rPr>
                <w:b w:val="0"/>
                <w:i w:val="0"/>
                <w:sz w:val="20"/>
              </w:rPr>
              <w:t>действующее</w:t>
            </w:r>
          </w:p>
        </w:tc>
      </w:tr>
      <w:tr>
        <w:tc>
          <w:tcPr>
            <w:tcW w:type="dxa" w:w="2493"/>
          </w:tcPr>
          <w:p>
            <w:pPr>
              <w:spacing w:after="0" w:line="240" w:lineRule="auto"/>
              <w:ind w:firstLine="0"/>
              <w:jc w:val="left"/>
            </w:pPr>
            <w:r>
              <w:rPr>
                <w:b w:val="0"/>
                <w:i w:val="0"/>
                <w:sz w:val="20"/>
              </w:rPr>
              <w:t>Московская область</w:t>
            </w:r>
          </w:p>
        </w:tc>
        <w:tc>
          <w:tcPr>
            <w:tcW w:type="dxa" w:w="2493"/>
          </w:tcPr>
          <w:p>
            <w:pPr>
              <w:spacing w:after="0" w:line="240" w:lineRule="auto"/>
              <w:ind w:firstLine="0"/>
              <w:jc w:val="center"/>
            </w:pPr>
            <w:r>
              <w:rPr>
                <w:b w:val="0"/>
                <w:i w:val="0"/>
                <w:sz w:val="20"/>
              </w:rPr>
              <w:t>ООО «Скайград»</w:t>
            </w:r>
          </w:p>
        </w:tc>
        <w:tc>
          <w:tcPr>
            <w:tcW w:type="dxa" w:w="2493"/>
          </w:tcPr>
          <w:p>
            <w:pPr>
              <w:spacing w:after="0" w:line="240" w:lineRule="auto"/>
              <w:ind w:firstLine="0"/>
              <w:jc w:val="center"/>
            </w:pPr>
            <w:r>
              <w:rPr>
                <w:b w:val="0"/>
                <w:i w:val="0"/>
                <w:sz w:val="20"/>
              </w:rPr>
              <w:t>разделение</w:t>
            </w:r>
          </w:p>
        </w:tc>
        <w:tc>
          <w:tcPr>
            <w:tcW w:type="dxa" w:w="2493"/>
          </w:tcPr>
          <w:p>
            <w:pPr>
              <w:spacing w:after="0" w:line="240" w:lineRule="auto"/>
              <w:ind w:firstLine="0"/>
              <w:jc w:val="center"/>
            </w:pPr>
            <w:r>
              <w:rPr>
                <w:b w:val="0"/>
                <w:i w:val="0"/>
                <w:sz w:val="20"/>
              </w:rPr>
              <w:t>опытно-промышленное</w:t>
            </w:r>
          </w:p>
        </w:tc>
      </w:tr>
      <w:tr>
        <w:tc>
          <w:tcPr>
            <w:tcW w:type="dxa" w:w="2493"/>
          </w:tcPr>
          <w:p>
            <w:pPr>
              <w:spacing w:after="0" w:line="240" w:lineRule="auto"/>
              <w:ind w:firstLine="0"/>
              <w:jc w:val="left"/>
            </w:pPr>
            <w:r>
              <w:rPr>
                <w:b w:val="0"/>
                <w:i w:val="0"/>
                <w:sz w:val="20"/>
              </w:rPr>
              <w:t>Удмуртская Республика</w:t>
            </w:r>
          </w:p>
        </w:tc>
        <w:tc>
          <w:tcPr>
            <w:tcW w:type="dxa" w:w="2493"/>
          </w:tcPr>
          <w:p>
            <w:pPr>
              <w:spacing w:after="0" w:line="240" w:lineRule="auto"/>
              <w:ind w:firstLine="0"/>
              <w:jc w:val="center"/>
            </w:pPr>
            <w:r>
              <w:rPr>
                <w:b w:val="0"/>
                <w:i w:val="0"/>
                <w:sz w:val="20"/>
              </w:rPr>
              <w:t>АО «ЧМЗ»</w:t>
            </w:r>
          </w:p>
        </w:tc>
        <w:tc>
          <w:tcPr>
            <w:tcW w:type="dxa" w:w="2493"/>
          </w:tcPr>
          <w:p>
            <w:pPr>
              <w:spacing w:after="0" w:line="240" w:lineRule="auto"/>
              <w:ind w:firstLine="0"/>
              <w:jc w:val="center"/>
            </w:pPr>
            <w:r>
              <w:rPr>
                <w:b w:val="0"/>
                <w:i w:val="0"/>
                <w:sz w:val="20"/>
              </w:rPr>
              <w:t>металлургия, магниты</w:t>
            </w:r>
          </w:p>
        </w:tc>
        <w:tc>
          <w:tcPr>
            <w:tcW w:type="dxa" w:w="2493"/>
          </w:tcPr>
          <w:p>
            <w:pPr>
              <w:spacing w:after="0" w:line="240" w:lineRule="auto"/>
              <w:ind w:firstLine="0"/>
              <w:jc w:val="center"/>
            </w:pPr>
            <w:r>
              <w:rPr>
                <w:b w:val="0"/>
                <w:i w:val="0"/>
                <w:sz w:val="20"/>
              </w:rPr>
              <w:t>развитие</w:t>
            </w:r>
          </w:p>
        </w:tc>
      </w:tr>
      <w:tr>
        <w:tc>
          <w:tcPr>
            <w:tcW w:type="dxa" w:w="2493"/>
          </w:tcPr>
          <w:p>
            <w:pPr>
              <w:spacing w:after="0" w:line="240" w:lineRule="auto"/>
              <w:ind w:firstLine="0"/>
              <w:jc w:val="left"/>
            </w:pPr>
            <w:r>
              <w:rPr>
                <w:b w:val="0"/>
                <w:i w:val="0"/>
                <w:sz w:val="20"/>
              </w:rPr>
              <w:t>Якутия</w:t>
            </w:r>
          </w:p>
        </w:tc>
        <w:tc>
          <w:tcPr>
            <w:tcW w:type="dxa" w:w="2493"/>
          </w:tcPr>
          <w:p>
            <w:pPr>
              <w:spacing w:after="0" w:line="240" w:lineRule="auto"/>
              <w:ind w:firstLine="0"/>
              <w:jc w:val="center"/>
            </w:pPr>
            <w:r>
              <w:rPr>
                <w:b w:val="0"/>
                <w:i w:val="0"/>
                <w:sz w:val="20"/>
              </w:rPr>
              <w:t>Томторское м-ние</w:t>
            </w:r>
          </w:p>
        </w:tc>
        <w:tc>
          <w:tcPr>
            <w:tcW w:type="dxa" w:w="2493"/>
          </w:tcPr>
          <w:p>
            <w:pPr>
              <w:spacing w:after="0" w:line="240" w:lineRule="auto"/>
              <w:ind w:firstLine="0"/>
              <w:jc w:val="center"/>
            </w:pPr>
            <w:r>
              <w:rPr>
                <w:b w:val="0"/>
                <w:i w:val="0"/>
                <w:sz w:val="20"/>
              </w:rPr>
              <w:t>добыча</w:t>
            </w:r>
          </w:p>
        </w:tc>
        <w:tc>
          <w:tcPr>
            <w:tcW w:type="dxa" w:w="2493"/>
          </w:tcPr>
          <w:p>
            <w:pPr>
              <w:spacing w:after="0" w:line="240" w:lineRule="auto"/>
              <w:ind w:firstLine="0"/>
              <w:jc w:val="center"/>
            </w:pPr>
            <w:r>
              <w:rPr>
                <w:b w:val="0"/>
                <w:i w:val="0"/>
                <w:sz w:val="20"/>
              </w:rPr>
              <w:t>подготовка</w:t>
            </w:r>
          </w:p>
        </w:tc>
      </w:tr>
      <w:tr>
        <w:tc>
          <w:tcPr>
            <w:tcW w:type="dxa" w:w="2493"/>
          </w:tcPr>
          <w:p>
            <w:pPr>
              <w:spacing w:after="0" w:line="240" w:lineRule="auto"/>
              <w:ind w:firstLine="0"/>
              <w:jc w:val="left"/>
            </w:pPr>
            <w:r>
              <w:rPr>
                <w:b w:val="0"/>
                <w:i w:val="0"/>
                <w:sz w:val="20"/>
              </w:rPr>
              <w:t>Красноярский край</w:t>
            </w:r>
          </w:p>
        </w:tc>
        <w:tc>
          <w:tcPr>
            <w:tcW w:type="dxa" w:w="2493"/>
          </w:tcPr>
          <w:p>
            <w:pPr>
              <w:spacing w:after="0" w:line="240" w:lineRule="auto"/>
              <w:ind w:firstLine="0"/>
              <w:jc w:val="center"/>
            </w:pPr>
            <w:r>
              <w:rPr>
                <w:b w:val="0"/>
                <w:i w:val="0"/>
                <w:sz w:val="20"/>
              </w:rPr>
              <w:t>Чуктуконское м-ние</w:t>
            </w:r>
          </w:p>
        </w:tc>
        <w:tc>
          <w:tcPr>
            <w:tcW w:type="dxa" w:w="2493"/>
          </w:tcPr>
          <w:p>
            <w:pPr>
              <w:spacing w:after="0" w:line="240" w:lineRule="auto"/>
              <w:ind w:firstLine="0"/>
              <w:jc w:val="center"/>
            </w:pPr>
            <w:r>
              <w:rPr>
                <w:b w:val="0"/>
                <w:i w:val="0"/>
                <w:sz w:val="20"/>
              </w:rPr>
              <w:t>добыча</w:t>
            </w:r>
          </w:p>
        </w:tc>
        <w:tc>
          <w:tcPr>
            <w:tcW w:type="dxa" w:w="2493"/>
          </w:tcPr>
          <w:p>
            <w:pPr>
              <w:spacing w:after="0" w:line="240" w:lineRule="auto"/>
              <w:ind w:firstLine="0"/>
              <w:jc w:val="center"/>
            </w:pPr>
            <w:r>
              <w:rPr>
                <w:b w:val="0"/>
                <w:i w:val="0"/>
                <w:sz w:val="20"/>
              </w:rPr>
              <w:t>геологоразведка</w:t>
            </w:r>
          </w:p>
        </w:tc>
      </w:tr>
      <w:tr>
        <w:tc>
          <w:tcPr>
            <w:tcW w:type="dxa" w:w="2493"/>
          </w:tcPr>
          <w:p>
            <w:pPr>
              <w:spacing w:after="0" w:line="240" w:lineRule="auto"/>
              <w:ind w:firstLine="0"/>
              <w:jc w:val="left"/>
            </w:pPr>
            <w:r>
              <w:rPr>
                <w:b w:val="0"/>
                <w:i w:val="0"/>
                <w:sz w:val="20"/>
              </w:rPr>
              <w:t>Иркутская область</w:t>
            </w:r>
          </w:p>
        </w:tc>
        <w:tc>
          <w:tcPr>
            <w:tcW w:type="dxa" w:w="2493"/>
          </w:tcPr>
          <w:p>
            <w:pPr>
              <w:spacing w:after="0" w:line="240" w:lineRule="auto"/>
              <w:ind w:firstLine="0"/>
              <w:jc w:val="center"/>
            </w:pPr>
            <w:r>
              <w:rPr>
                <w:b w:val="0"/>
                <w:i w:val="0"/>
                <w:sz w:val="20"/>
              </w:rPr>
              <w:t>Зашихинское м-ние</w:t>
            </w:r>
          </w:p>
        </w:tc>
        <w:tc>
          <w:tcPr>
            <w:tcW w:type="dxa" w:w="2493"/>
          </w:tcPr>
          <w:p>
            <w:pPr>
              <w:spacing w:after="0" w:line="240" w:lineRule="auto"/>
              <w:ind w:firstLine="0"/>
              <w:jc w:val="center"/>
            </w:pPr>
            <w:r>
              <w:rPr>
                <w:b w:val="0"/>
                <w:i w:val="0"/>
                <w:sz w:val="20"/>
              </w:rPr>
              <w:t>добыча</w:t>
            </w:r>
          </w:p>
        </w:tc>
        <w:tc>
          <w:tcPr>
            <w:tcW w:type="dxa" w:w="2493"/>
          </w:tcPr>
          <w:p>
            <w:pPr>
              <w:spacing w:after="0" w:line="240" w:lineRule="auto"/>
              <w:ind w:firstLine="0"/>
              <w:jc w:val="center"/>
            </w:pPr>
            <w:r>
              <w:rPr>
                <w:b w:val="0"/>
                <w:i w:val="0"/>
                <w:sz w:val="20"/>
              </w:rPr>
              <w:t>подготовка</w:t>
            </w:r>
          </w:p>
        </w:tc>
      </w:tr>
      <w:tr>
        <w:tc>
          <w:tcPr>
            <w:tcW w:type="dxa" w:w="2493"/>
          </w:tcPr>
          <w:p>
            <w:pPr>
              <w:spacing w:after="0" w:line="240" w:lineRule="auto"/>
              <w:ind w:firstLine="0"/>
              <w:jc w:val="left"/>
            </w:pPr>
            <w:r>
              <w:rPr>
                <w:b w:val="0"/>
                <w:i w:val="0"/>
                <w:sz w:val="20"/>
              </w:rPr>
              <w:t>Забайкальский край</w:t>
            </w:r>
          </w:p>
        </w:tc>
        <w:tc>
          <w:tcPr>
            <w:tcW w:type="dxa" w:w="2493"/>
          </w:tcPr>
          <w:p>
            <w:pPr>
              <w:spacing w:after="0" w:line="240" w:lineRule="auto"/>
              <w:ind w:firstLine="0"/>
              <w:jc w:val="center"/>
            </w:pPr>
            <w:r>
              <w:rPr>
                <w:b w:val="0"/>
                <w:i w:val="0"/>
                <w:sz w:val="20"/>
              </w:rPr>
              <w:t>Катугинское м-ние</w:t>
            </w:r>
          </w:p>
        </w:tc>
        <w:tc>
          <w:tcPr>
            <w:tcW w:type="dxa" w:w="2493"/>
          </w:tcPr>
          <w:p>
            <w:pPr>
              <w:spacing w:after="0" w:line="240" w:lineRule="auto"/>
              <w:ind w:firstLine="0"/>
              <w:jc w:val="center"/>
            </w:pPr>
            <w:r>
              <w:rPr>
                <w:b w:val="0"/>
                <w:i w:val="0"/>
                <w:sz w:val="20"/>
              </w:rPr>
              <w:t>добыча</w:t>
            </w:r>
          </w:p>
        </w:tc>
        <w:tc>
          <w:tcPr>
            <w:tcW w:type="dxa" w:w="2493"/>
          </w:tcPr>
          <w:p>
            <w:pPr>
              <w:spacing w:after="0" w:line="240" w:lineRule="auto"/>
              <w:ind w:firstLine="0"/>
              <w:jc w:val="center"/>
            </w:pPr>
            <w:r>
              <w:rPr>
                <w:b w:val="0"/>
                <w:i w:val="0"/>
                <w:sz w:val="20"/>
              </w:rPr>
              <w:t>не осваивается</w:t>
            </w:r>
          </w:p>
        </w:tc>
      </w:tr>
    </w:tbl>
    <w:p>
      <w:pPr>
        <w:spacing w:after="180"/>
        <w:ind w:firstLine="0"/>
      </w:pPr>
      <w:r>
        <w:rPr>
          <w:i/>
          <w:sz w:val="20"/>
        </w:rPr>
        <w:t>Источник: аналитический центр</w:t>
      </w:r>
    </w:p>
    <w:p>
      <w:pPr>
        <w:pStyle w:val="Heading2"/>
      </w:pPr>
      <w:r>
        <w:rPr>
          <w:b w:val="0"/>
          <w:i w:val="0"/>
        </w:rPr>
        <w:t>10.5. Сопоставление с целевыми показателями государственной политики</w:t>
      </w:r>
    </w:p>
    <w:p>
      <w:r>
        <w:rPr>
          <w:b w:val="0"/>
          <w:i w:val="0"/>
        </w:rPr>
        <w:t>В 2023–2025 гг. в Российской Федерации сформулированы количественные ориентиры развития отрасли. Согласно заявленным целевым показателям федерального проекта и отраслевой стратегии, предполагается увеличение производства редкоземельной продукции с текущего уровня до 20–30 тыс. т TREO к 2030 г. с доведением доли России в мировом производстве до 10–12% к 2035 г.</w:t>
      </w:r>
    </w:p>
    <w:p>
      <w:r>
        <w:rPr>
          <w:b w:val="0"/>
          <w:i w:val="0"/>
        </w:rPr>
        <w:t>Сопоставление этих ориентиров с фактической динамикой требует трезвой оценки. Достижение уровня 20 тыс. т TREO к 2030 г. означает восьмикратный рост за пять лет. Для сравнения: наиболее быстрый в мировой практике рост с сопоставимой базы — проект Mountain Pass (с нуля до 40 тыс. т за 3 года) — опирался на восстановление ранее созданной инфраструктуры, наличие подготовленных запасов вскрытой руды и действующей обогатительной фабрики. Проект Lynas прошёл путь от инвестиционного решения до 10 тыс. т за 8 лет с двукратным превышением бюджета.</w:t>
      </w:r>
    </w:p>
    <w:p>
      <w:pPr>
        <w:keepNext/>
        <w:spacing w:before="160" w:after="60"/>
        <w:ind w:firstLine="0"/>
        <w:jc w:val="left"/>
      </w:pPr>
      <w:r>
        <w:rPr>
          <w:b/>
          <w:sz w:val="22"/>
        </w:rPr>
        <w:t>Таблица 73. Сопоставление целевых показателей развития редкоземельной отрасли РФ с фактическим состоянием</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Показатель</w:t>
            </w:r>
          </w:p>
        </w:tc>
        <w:tc>
          <w:tcPr>
            <w:tcW w:type="dxa" w:w="1995"/>
            <w:shd w:val="clear" w:fill="DCE6F1"/>
          </w:tcPr>
          <w:p>
            <w:pPr>
              <w:spacing w:after="0" w:line="240" w:lineRule="auto"/>
              <w:ind w:firstLine="0"/>
              <w:jc w:val="center"/>
            </w:pPr>
            <w:r>
              <w:rPr>
                <w:b/>
                <w:i w:val="0"/>
                <w:sz w:val="20"/>
              </w:rPr>
              <w:t>Факт 2025</w:t>
            </w:r>
          </w:p>
        </w:tc>
        <w:tc>
          <w:tcPr>
            <w:tcW w:type="dxa" w:w="1995"/>
            <w:shd w:val="clear" w:fill="DCE6F1"/>
          </w:tcPr>
          <w:p>
            <w:pPr>
              <w:spacing w:after="0" w:line="240" w:lineRule="auto"/>
              <w:ind w:firstLine="0"/>
              <w:jc w:val="center"/>
            </w:pPr>
            <w:r>
              <w:rPr>
                <w:b/>
                <w:i w:val="0"/>
                <w:sz w:val="20"/>
              </w:rPr>
              <w:t>Цель 2030</w:t>
            </w:r>
          </w:p>
        </w:tc>
        <w:tc>
          <w:tcPr>
            <w:tcW w:type="dxa" w:w="1995"/>
            <w:shd w:val="clear" w:fill="DCE6F1"/>
          </w:tcPr>
          <w:p>
            <w:pPr>
              <w:spacing w:after="0" w:line="240" w:lineRule="auto"/>
              <w:ind w:firstLine="0"/>
              <w:jc w:val="center"/>
            </w:pPr>
            <w:r>
              <w:rPr>
                <w:b/>
                <w:i w:val="0"/>
                <w:sz w:val="20"/>
              </w:rPr>
              <w:t>Цель 2035</w:t>
            </w:r>
          </w:p>
        </w:tc>
        <w:tc>
          <w:tcPr>
            <w:tcW w:type="dxa" w:w="1995"/>
            <w:shd w:val="clear" w:fill="DCE6F1"/>
          </w:tcPr>
          <w:p>
            <w:pPr>
              <w:spacing w:after="0" w:line="240" w:lineRule="auto"/>
              <w:ind w:firstLine="0"/>
              <w:jc w:val="center"/>
            </w:pPr>
            <w:r>
              <w:rPr>
                <w:b/>
                <w:i w:val="0"/>
                <w:sz w:val="20"/>
              </w:rPr>
              <w:t>Оценка достижимости</w:t>
            </w:r>
          </w:p>
        </w:tc>
      </w:tr>
      <w:tr>
        <w:tc>
          <w:tcPr>
            <w:tcW w:type="dxa" w:w="1995"/>
          </w:tcPr>
          <w:p>
            <w:pPr>
              <w:spacing w:after="0" w:line="240" w:lineRule="auto"/>
              <w:ind w:firstLine="0"/>
              <w:jc w:val="left"/>
            </w:pPr>
            <w:r>
              <w:rPr>
                <w:b w:val="0"/>
                <w:i w:val="0"/>
                <w:sz w:val="20"/>
              </w:rPr>
              <w:t>Производство TREO, тыс. т</w:t>
            </w:r>
          </w:p>
        </w:tc>
        <w:tc>
          <w:tcPr>
            <w:tcW w:type="dxa" w:w="1995"/>
          </w:tcPr>
          <w:p>
            <w:pPr>
              <w:spacing w:after="0" w:line="240" w:lineRule="auto"/>
              <w:ind w:firstLine="0"/>
              <w:jc w:val="center"/>
            </w:pPr>
            <w:r>
              <w:rPr>
                <w:b w:val="0"/>
                <w:i w:val="0"/>
                <w:sz w:val="20"/>
              </w:rPr>
              <w:t>2,7</w:t>
            </w:r>
          </w:p>
        </w:tc>
        <w:tc>
          <w:tcPr>
            <w:tcW w:type="dxa" w:w="1995"/>
          </w:tcPr>
          <w:p>
            <w:pPr>
              <w:spacing w:after="0" w:line="240" w:lineRule="auto"/>
              <w:ind w:firstLine="0"/>
              <w:jc w:val="center"/>
            </w:pPr>
            <w:r>
              <w:rPr>
                <w:b w:val="0"/>
                <w:i w:val="0"/>
                <w:sz w:val="20"/>
              </w:rPr>
              <w:t>20,0</w:t>
            </w:r>
          </w:p>
        </w:tc>
        <w:tc>
          <w:tcPr>
            <w:tcW w:type="dxa" w:w="1995"/>
          </w:tcPr>
          <w:p>
            <w:pPr>
              <w:spacing w:after="0" w:line="240" w:lineRule="auto"/>
              <w:ind w:firstLine="0"/>
              <w:jc w:val="center"/>
            </w:pPr>
            <w:r>
              <w:rPr>
                <w:b w:val="0"/>
                <w:i w:val="0"/>
                <w:sz w:val="20"/>
              </w:rPr>
              <w:t>60,0</w:t>
            </w:r>
          </w:p>
        </w:tc>
        <w:tc>
          <w:tcPr>
            <w:tcW w:type="dxa" w:w="1995"/>
          </w:tcPr>
          <w:p>
            <w:pPr>
              <w:spacing w:after="0" w:line="240" w:lineRule="auto"/>
              <w:ind w:firstLine="0"/>
              <w:jc w:val="center"/>
            </w:pPr>
            <w:r>
              <w:rPr>
                <w:b w:val="0"/>
                <w:i w:val="0"/>
                <w:sz w:val="20"/>
              </w:rPr>
              <w:t>низкая / средняя</w:t>
            </w:r>
          </w:p>
        </w:tc>
      </w:tr>
      <w:tr>
        <w:tc>
          <w:tcPr>
            <w:tcW w:type="dxa" w:w="1995"/>
          </w:tcPr>
          <w:p>
            <w:pPr>
              <w:spacing w:after="0" w:line="240" w:lineRule="auto"/>
              <w:ind w:firstLine="0"/>
              <w:jc w:val="left"/>
            </w:pPr>
            <w:r>
              <w:rPr>
                <w:b w:val="0"/>
                <w:i w:val="0"/>
                <w:sz w:val="20"/>
              </w:rPr>
              <w:t>Производство разделённой продукции, т</w:t>
            </w:r>
          </w:p>
        </w:tc>
        <w:tc>
          <w:tcPr>
            <w:tcW w:type="dxa" w:w="1995"/>
          </w:tcPr>
          <w:p>
            <w:pPr>
              <w:spacing w:after="0" w:line="240" w:lineRule="auto"/>
              <w:ind w:firstLine="0"/>
              <w:jc w:val="center"/>
            </w:pPr>
            <w:r>
              <w:rPr>
                <w:b w:val="0"/>
                <w:i w:val="0"/>
                <w:sz w:val="20"/>
              </w:rPr>
              <w:t>450</w:t>
            </w:r>
          </w:p>
        </w:tc>
        <w:tc>
          <w:tcPr>
            <w:tcW w:type="dxa" w:w="1995"/>
          </w:tcPr>
          <w:p>
            <w:pPr>
              <w:spacing w:after="0" w:line="240" w:lineRule="auto"/>
              <w:ind w:firstLine="0"/>
              <w:jc w:val="center"/>
            </w:pPr>
            <w:r>
              <w:rPr>
                <w:b w:val="0"/>
                <w:i w:val="0"/>
                <w:sz w:val="20"/>
              </w:rPr>
              <w:t>7 000</w:t>
            </w:r>
          </w:p>
        </w:tc>
        <w:tc>
          <w:tcPr>
            <w:tcW w:type="dxa" w:w="1995"/>
          </w:tcPr>
          <w:p>
            <w:pPr>
              <w:spacing w:after="0" w:line="240" w:lineRule="auto"/>
              <w:ind w:firstLine="0"/>
              <w:jc w:val="center"/>
            </w:pPr>
            <w:r>
              <w:rPr>
                <w:b w:val="0"/>
                <w:i w:val="0"/>
                <w:sz w:val="20"/>
              </w:rPr>
              <w:t>25 000</w:t>
            </w:r>
          </w:p>
        </w:tc>
        <w:tc>
          <w:tcPr>
            <w:tcW w:type="dxa" w:w="1995"/>
          </w:tcPr>
          <w:p>
            <w:pPr>
              <w:spacing w:after="0" w:line="240" w:lineRule="auto"/>
              <w:ind w:firstLine="0"/>
              <w:jc w:val="center"/>
            </w:pPr>
            <w:r>
              <w:rPr>
                <w:b w:val="0"/>
                <w:i w:val="0"/>
                <w:sz w:val="20"/>
              </w:rPr>
              <w:t>средняя</w:t>
            </w:r>
          </w:p>
        </w:tc>
      </w:tr>
      <w:tr>
        <w:tc>
          <w:tcPr>
            <w:tcW w:type="dxa" w:w="1995"/>
          </w:tcPr>
          <w:p>
            <w:pPr>
              <w:spacing w:after="0" w:line="240" w:lineRule="auto"/>
              <w:ind w:firstLine="0"/>
              <w:jc w:val="left"/>
            </w:pPr>
            <w:r>
              <w:rPr>
                <w:b w:val="0"/>
                <w:i w:val="0"/>
                <w:sz w:val="20"/>
              </w:rPr>
              <w:t>Производство металлов и сплавов, т</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2 500</w:t>
            </w:r>
          </w:p>
        </w:tc>
        <w:tc>
          <w:tcPr>
            <w:tcW w:type="dxa" w:w="1995"/>
          </w:tcPr>
          <w:p>
            <w:pPr>
              <w:spacing w:after="0" w:line="240" w:lineRule="auto"/>
              <w:ind w:firstLine="0"/>
              <w:jc w:val="center"/>
            </w:pPr>
            <w:r>
              <w:rPr>
                <w:b w:val="0"/>
                <w:i w:val="0"/>
                <w:sz w:val="20"/>
              </w:rPr>
              <w:t>10 000</w:t>
            </w:r>
          </w:p>
        </w:tc>
        <w:tc>
          <w:tcPr>
            <w:tcW w:type="dxa" w:w="1995"/>
          </w:tcPr>
          <w:p>
            <w:pPr>
              <w:spacing w:after="0" w:line="240" w:lineRule="auto"/>
              <w:ind w:firstLine="0"/>
              <w:jc w:val="center"/>
            </w:pPr>
            <w:r>
              <w:rPr>
                <w:b w:val="0"/>
                <w:i w:val="0"/>
                <w:sz w:val="20"/>
              </w:rPr>
              <w:t>средняя</w:t>
            </w:r>
          </w:p>
        </w:tc>
      </w:tr>
      <w:tr>
        <w:tc>
          <w:tcPr>
            <w:tcW w:type="dxa" w:w="1995"/>
          </w:tcPr>
          <w:p>
            <w:pPr>
              <w:spacing w:after="0" w:line="240" w:lineRule="auto"/>
              <w:ind w:firstLine="0"/>
              <w:jc w:val="left"/>
            </w:pPr>
            <w:r>
              <w:rPr>
                <w:b w:val="0"/>
                <w:i w:val="0"/>
                <w:sz w:val="20"/>
              </w:rPr>
              <w:t>Производство магнитов, т</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3 000</w:t>
            </w:r>
          </w:p>
        </w:tc>
        <w:tc>
          <w:tcPr>
            <w:tcW w:type="dxa" w:w="1995"/>
          </w:tcPr>
          <w:p>
            <w:pPr>
              <w:spacing w:after="0" w:line="240" w:lineRule="auto"/>
              <w:ind w:firstLine="0"/>
              <w:jc w:val="center"/>
            </w:pPr>
            <w:r>
              <w:rPr>
                <w:b w:val="0"/>
                <w:i w:val="0"/>
                <w:sz w:val="20"/>
              </w:rPr>
              <w:t>10 000</w:t>
            </w:r>
          </w:p>
        </w:tc>
        <w:tc>
          <w:tcPr>
            <w:tcW w:type="dxa" w:w="1995"/>
          </w:tcPr>
          <w:p>
            <w:pPr>
              <w:spacing w:after="0" w:line="240" w:lineRule="auto"/>
              <w:ind w:firstLine="0"/>
              <w:jc w:val="center"/>
            </w:pPr>
            <w:r>
              <w:rPr>
                <w:b w:val="0"/>
                <w:i w:val="0"/>
                <w:sz w:val="20"/>
              </w:rPr>
              <w:t>средняя</w:t>
            </w:r>
          </w:p>
        </w:tc>
      </w:tr>
      <w:tr>
        <w:tc>
          <w:tcPr>
            <w:tcW w:type="dxa" w:w="1995"/>
          </w:tcPr>
          <w:p>
            <w:pPr>
              <w:spacing w:after="0" w:line="240" w:lineRule="auto"/>
              <w:ind w:firstLine="0"/>
              <w:jc w:val="left"/>
            </w:pPr>
            <w:r>
              <w:rPr>
                <w:b w:val="0"/>
                <w:i w:val="0"/>
                <w:sz w:val="20"/>
              </w:rPr>
              <w:t>Доля в мировом производстве, %</w:t>
            </w:r>
          </w:p>
        </w:tc>
        <w:tc>
          <w:tcPr>
            <w:tcW w:type="dxa" w:w="1995"/>
          </w:tcPr>
          <w:p>
            <w:pPr>
              <w:spacing w:after="0" w:line="240" w:lineRule="auto"/>
              <w:ind w:firstLine="0"/>
              <w:jc w:val="center"/>
            </w:pPr>
            <w:r>
              <w:rPr>
                <w:b w:val="0"/>
                <w:i w:val="0"/>
                <w:sz w:val="20"/>
              </w:rPr>
              <w:t>0,6</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10–12</w:t>
            </w:r>
          </w:p>
        </w:tc>
        <w:tc>
          <w:tcPr>
            <w:tcW w:type="dxa" w:w="1995"/>
          </w:tcPr>
          <w:p>
            <w:pPr>
              <w:spacing w:after="0" w:line="240" w:lineRule="auto"/>
              <w:ind w:firstLine="0"/>
              <w:jc w:val="center"/>
            </w:pPr>
            <w:r>
              <w:rPr>
                <w:b w:val="0"/>
                <w:i w:val="0"/>
                <w:sz w:val="20"/>
              </w:rPr>
              <w:t>низкая</w:t>
            </w:r>
          </w:p>
        </w:tc>
      </w:tr>
      <w:tr>
        <w:tc>
          <w:tcPr>
            <w:tcW w:type="dxa" w:w="1995"/>
          </w:tcPr>
          <w:p>
            <w:pPr>
              <w:spacing w:after="0" w:line="240" w:lineRule="auto"/>
              <w:ind w:firstLine="0"/>
              <w:jc w:val="left"/>
            </w:pPr>
            <w:r>
              <w:rPr>
                <w:b w:val="0"/>
                <w:i w:val="0"/>
                <w:sz w:val="20"/>
              </w:rPr>
              <w:t>Число действующих добычных объектов</w:t>
            </w:r>
          </w:p>
        </w:tc>
        <w:tc>
          <w:tcPr>
            <w:tcW w:type="dxa" w:w="1995"/>
          </w:tcPr>
          <w:p>
            <w:pPr>
              <w:spacing w:after="0" w:line="240" w:lineRule="auto"/>
              <w:ind w:firstLine="0"/>
              <w:jc w:val="center"/>
            </w:pPr>
            <w:r>
              <w:rPr>
                <w:b w:val="0"/>
                <w:i w:val="0"/>
                <w:sz w:val="20"/>
              </w:rPr>
              <w:t>1</w:t>
            </w:r>
          </w:p>
        </w:tc>
        <w:tc>
          <w:tcPr>
            <w:tcW w:type="dxa" w:w="1995"/>
          </w:tcPr>
          <w:p>
            <w:pPr>
              <w:spacing w:after="0" w:line="240" w:lineRule="auto"/>
              <w:ind w:firstLine="0"/>
              <w:jc w:val="center"/>
            </w:pPr>
            <w:r>
              <w:rPr>
                <w:b w:val="0"/>
                <w:i w:val="0"/>
                <w:sz w:val="20"/>
              </w:rPr>
              <w:t>3–4</w:t>
            </w:r>
          </w:p>
        </w:tc>
        <w:tc>
          <w:tcPr>
            <w:tcW w:type="dxa" w:w="1995"/>
          </w:tcPr>
          <w:p>
            <w:pPr>
              <w:spacing w:after="0" w:line="240" w:lineRule="auto"/>
              <w:ind w:firstLine="0"/>
              <w:jc w:val="center"/>
            </w:pPr>
            <w:r>
              <w:rPr>
                <w:b w:val="0"/>
                <w:i w:val="0"/>
                <w:sz w:val="20"/>
              </w:rPr>
              <w:t>5–6</w:t>
            </w:r>
          </w:p>
        </w:tc>
        <w:tc>
          <w:tcPr>
            <w:tcW w:type="dxa" w:w="1995"/>
          </w:tcPr>
          <w:p>
            <w:pPr>
              <w:spacing w:after="0" w:line="240" w:lineRule="auto"/>
              <w:ind w:firstLine="0"/>
              <w:jc w:val="center"/>
            </w:pPr>
            <w:r>
              <w:rPr>
                <w:b w:val="0"/>
                <w:i w:val="0"/>
                <w:sz w:val="20"/>
              </w:rPr>
              <w:t>средняя</w:t>
            </w:r>
          </w:p>
        </w:tc>
      </w:tr>
      <w:tr>
        <w:tc>
          <w:tcPr>
            <w:tcW w:type="dxa" w:w="1995"/>
          </w:tcPr>
          <w:p>
            <w:pPr>
              <w:spacing w:after="0" w:line="240" w:lineRule="auto"/>
              <w:ind w:firstLine="0"/>
              <w:jc w:val="left"/>
            </w:pPr>
            <w:r>
              <w:rPr>
                <w:b w:val="0"/>
                <w:i w:val="0"/>
                <w:sz w:val="20"/>
              </w:rPr>
              <w:t>Самообеспеченность по NdPr, %</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100</w:t>
            </w:r>
          </w:p>
        </w:tc>
        <w:tc>
          <w:tcPr>
            <w:tcW w:type="dxa" w:w="1995"/>
          </w:tcPr>
          <w:p>
            <w:pPr>
              <w:spacing w:after="0" w:line="240" w:lineRule="auto"/>
              <w:ind w:firstLine="0"/>
              <w:jc w:val="center"/>
            </w:pPr>
            <w:r>
              <w:rPr>
                <w:b w:val="0"/>
                <w:i w:val="0"/>
                <w:sz w:val="20"/>
              </w:rPr>
              <w:t>100</w:t>
            </w:r>
          </w:p>
        </w:tc>
        <w:tc>
          <w:tcPr>
            <w:tcW w:type="dxa" w:w="1995"/>
          </w:tcPr>
          <w:p>
            <w:pPr>
              <w:spacing w:after="0" w:line="240" w:lineRule="auto"/>
              <w:ind w:firstLine="0"/>
              <w:jc w:val="center"/>
            </w:pPr>
            <w:r>
              <w:rPr>
                <w:b w:val="0"/>
                <w:i w:val="0"/>
                <w:sz w:val="20"/>
              </w:rPr>
              <w:t>высокая</w:t>
            </w:r>
          </w:p>
        </w:tc>
      </w:tr>
      <w:tr>
        <w:tc>
          <w:tcPr>
            <w:tcW w:type="dxa" w:w="1995"/>
          </w:tcPr>
          <w:p>
            <w:pPr>
              <w:spacing w:after="0" w:line="240" w:lineRule="auto"/>
              <w:ind w:firstLine="0"/>
              <w:jc w:val="left"/>
            </w:pPr>
            <w:r>
              <w:rPr>
                <w:b w:val="0"/>
                <w:i w:val="0"/>
                <w:sz w:val="20"/>
              </w:rPr>
              <w:t>Самообеспеченность по Dy, Tb, %</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40–60</w:t>
            </w:r>
          </w:p>
        </w:tc>
        <w:tc>
          <w:tcPr>
            <w:tcW w:type="dxa" w:w="1995"/>
          </w:tcPr>
          <w:p>
            <w:pPr>
              <w:spacing w:after="0" w:line="240" w:lineRule="auto"/>
              <w:ind w:firstLine="0"/>
              <w:jc w:val="center"/>
            </w:pPr>
            <w:r>
              <w:rPr>
                <w:b w:val="0"/>
                <w:i w:val="0"/>
                <w:sz w:val="20"/>
              </w:rPr>
              <w:t>100</w:t>
            </w:r>
          </w:p>
        </w:tc>
        <w:tc>
          <w:tcPr>
            <w:tcW w:type="dxa" w:w="1995"/>
          </w:tcPr>
          <w:p>
            <w:pPr>
              <w:spacing w:after="0" w:line="240" w:lineRule="auto"/>
              <w:ind w:firstLine="0"/>
              <w:jc w:val="center"/>
            </w:pPr>
            <w:r>
              <w:rPr>
                <w:b w:val="0"/>
                <w:i w:val="0"/>
                <w:sz w:val="20"/>
              </w:rPr>
              <w:t>низкая</w:t>
            </w:r>
          </w:p>
        </w:tc>
      </w:tr>
    </w:tbl>
    <w:p>
      <w:pPr>
        <w:spacing w:after="180"/>
        <w:ind w:firstLine="0"/>
      </w:pPr>
      <w:r>
        <w:rPr>
          <w:i/>
          <w:sz w:val="20"/>
        </w:rPr>
        <w:t>Источник: аналитический центр по данным официальных сообщений о параметрах федерального проекта; оценка достижимости — собственная</w:t>
      </w:r>
    </w:p>
    <w:p>
      <w:pPr>
        <w:keepNext/>
        <w:spacing w:before="160" w:after="60"/>
        <w:ind w:firstLine="0"/>
        <w:jc w:val="left"/>
      </w:pPr>
      <w:r>
        <w:rPr>
          <w:b/>
          <w:sz w:val="22"/>
        </w:rPr>
        <w:t>Рисунок 58. Фактическая динамика и целевые ориентиры производства РЗМ в РФ, 2015–2035 гг., тыс. т TREO</w:t>
      </w:r>
    </w:p>
    <w:p>
      <w:pPr>
        <w:ind w:firstLine="0"/>
        <w:jc w:val="center"/>
      </w:pPr>
      <w:r>
        <w:drawing>
          <wp:inline xmlns:a="http://schemas.openxmlformats.org/drawingml/2006/main" xmlns:pic="http://schemas.openxmlformats.org/drawingml/2006/picture">
            <wp:extent cx="5580000" cy="2749565"/>
            <wp:docPr id="58" name="Picture 58"/>
            <wp:cNvGraphicFramePr>
              <a:graphicFrameLocks noChangeAspect="1"/>
            </wp:cNvGraphicFramePr>
            <a:graphic>
              <a:graphicData uri="http://schemas.openxmlformats.org/drawingml/2006/picture">
                <pic:pic>
                  <pic:nvPicPr>
                    <pic:cNvPr id="0" name="fig58.png"/>
                    <pic:cNvPicPr/>
                  </pic:nvPicPr>
                  <pic:blipFill>
                    <a:blip r:embed="rId68"/>
                    <a:stretch>
                      <a:fillRect/>
                    </a:stretch>
                  </pic:blipFill>
                  <pic:spPr>
                    <a:xfrm>
                      <a:off x="0" y="0"/>
                      <a:ext cx="5580000" cy="2749565"/>
                    </a:xfrm>
                    <a:prstGeom prst="rect"/>
                  </pic:spPr>
                </pic:pic>
              </a:graphicData>
            </a:graphic>
          </wp:inline>
        </w:drawing>
      </w:r>
    </w:p>
    <w:p>
      <w:pPr>
        <w:spacing w:after="180"/>
        <w:ind w:firstLine="0"/>
      </w:pPr>
      <w:r>
        <w:rPr>
          <w:i/>
          <w:sz w:val="20"/>
        </w:rPr>
        <w:t>Источник: аналитический центр (табл. 70, 73)</w:t>
      </w:r>
    </w:p>
    <w:p>
      <w:r>
        <w:rPr>
          <w:b w:val="0"/>
          <w:i w:val="0"/>
        </w:rPr>
        <w:t>Детальный разбор реалистичности целевых показателей с постатейной оценкой вклада каждого проекта приведён в главе 16. Здесь ограничимся указанием на структурное обстоятельство: заявленные объёмы не могут быть достигнуты за счёт модернизации действующего производства. Ловозёрский ГОК даже при полном восстановлении рудника «Умбозеро» и удвоении добычи обеспечит не более 5 тыс. т TREO. Следовательно, 75–90% целевого объёма должно быть получено на объектах, которые по состоянию на 2025 г. не имеют ни утверждённой проектной документации, ни принятого инвестиционного решения, ни отработанной в промышленном масштабе технологии.</w:t>
      </w:r>
    </w:p>
    <w:p>
      <w:pPr>
        <w:pStyle w:val="Heading2"/>
      </w:pPr>
      <w:r>
        <w:rPr>
          <w:b w:val="0"/>
          <w:i w:val="0"/>
        </w:rPr>
        <w:t>10.6. Производство сопутствующей продукции</w:t>
      </w:r>
    </w:p>
    <w:p>
      <w:r>
        <w:rPr>
          <w:b w:val="0"/>
          <w:i w:val="0"/>
        </w:rPr>
        <w:t>При оценке отрасли необходимо учитывать, что переработка редкоземельного сырья в России сопряжена с производством ряда сопутствующих продуктов, экономически не менее значимых.</w:t>
      </w:r>
    </w:p>
    <w:p>
      <w:r>
        <w:rPr>
          <w:b/>
          <w:i w:val="0"/>
        </w:rPr>
        <w:t>Ниобиевая и танталовая продукция.</w:t>
      </w:r>
      <w:r>
        <w:rPr>
          <w:b w:val="0"/>
          <w:i w:val="0"/>
        </w:rPr>
        <w:t xml:space="preserve"> Лопаритовый концентрат содержит 7,5–8,0% Nb₂O₅ и 0,5–0,6% Ta₂O₅. АО «СМЗ» является ведущим российским производителем ниобиевой и танталовой продукции (пентаоксиды, гидроксиды, порошки), обеспечивая существенную часть внутреннего спроса.</w:t>
      </w:r>
    </w:p>
    <w:p>
      <w:r>
        <w:rPr>
          <w:b/>
          <w:i w:val="0"/>
        </w:rPr>
        <w:t>Титановая продукция.</w:t>
      </w:r>
      <w:r>
        <w:rPr>
          <w:b w:val="0"/>
          <w:i w:val="0"/>
        </w:rPr>
        <w:t xml:space="preserve"> Содержание TiO₂ в лопарите — 38–39%. При хлорной технологии вскрытия образуется тетрахлорид титана, направляемый на производство титановой губки и пигментного диоксида титана.</w:t>
      </w:r>
    </w:p>
    <w:p>
      <w:r>
        <w:rPr>
          <w:b/>
          <w:i w:val="0"/>
        </w:rPr>
        <w:t>Магниевая продукция.</w:t>
      </w:r>
      <w:r>
        <w:rPr>
          <w:b w:val="0"/>
          <w:i w:val="0"/>
        </w:rPr>
        <w:t xml:space="preserve"> Исторически основной профиль СМЗ — производство магния и магниевых сплавов; редкоземельное направление возникло как побочное.</w:t>
      </w:r>
    </w:p>
    <w:p>
      <w:r>
        <w:rPr>
          <w:b w:val="0"/>
          <w:i w:val="0"/>
        </w:rPr>
        <w:t>Комплексность производства имеет двойственное значение. С одной стороны, она обеспечивает распределение издержек между продуктами и повышает устойчивость предприятия к колебаниям цен на редкие земли. С другой — создаёт жёсткую технологическую связанность: наращивание выпуска редких земель невозможно без пропорционального наращивания выпуска титановой и ниобиевой продукции, спрос на которую ограничен.</w:t>
      </w:r>
    </w:p>
    <w:p>
      <w:pPr>
        <w:keepNext/>
        <w:spacing w:before="160" w:after="60"/>
        <w:ind w:firstLine="0"/>
        <w:jc w:val="left"/>
      </w:pPr>
      <w:r>
        <w:rPr>
          <w:b/>
          <w:sz w:val="22"/>
        </w:rPr>
        <w:t>Таблица 74. Сопутствующая продукция, производимая при переработке лопаритового концентрата</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Продукция</w:t>
            </w:r>
          </w:p>
        </w:tc>
        <w:tc>
          <w:tcPr>
            <w:tcW w:type="dxa" w:w="2493"/>
            <w:shd w:val="clear" w:fill="DCE6F1"/>
          </w:tcPr>
          <w:p>
            <w:pPr>
              <w:spacing w:after="0" w:line="240" w:lineRule="auto"/>
              <w:ind w:firstLine="0"/>
              <w:jc w:val="center"/>
            </w:pPr>
            <w:r>
              <w:rPr>
                <w:b/>
                <w:i w:val="0"/>
                <w:sz w:val="20"/>
              </w:rPr>
              <w:t>Содержание в концентрате, %</w:t>
            </w:r>
          </w:p>
        </w:tc>
        <w:tc>
          <w:tcPr>
            <w:tcW w:type="dxa" w:w="2493"/>
            <w:shd w:val="clear" w:fill="DCE6F1"/>
          </w:tcPr>
          <w:p>
            <w:pPr>
              <w:spacing w:after="0" w:line="240" w:lineRule="auto"/>
              <w:ind w:firstLine="0"/>
              <w:jc w:val="center"/>
            </w:pPr>
            <w:r>
              <w:rPr>
                <w:b/>
                <w:i w:val="0"/>
                <w:sz w:val="20"/>
              </w:rPr>
              <w:t>Расчётный выпуск, т/год</w:t>
            </w:r>
          </w:p>
        </w:tc>
        <w:tc>
          <w:tcPr>
            <w:tcW w:type="dxa" w:w="2493"/>
            <w:shd w:val="clear" w:fill="DCE6F1"/>
          </w:tcPr>
          <w:p>
            <w:pPr>
              <w:spacing w:after="0" w:line="240" w:lineRule="auto"/>
              <w:ind w:firstLine="0"/>
              <w:jc w:val="center"/>
            </w:pPr>
            <w:r>
              <w:rPr>
                <w:b/>
                <w:i w:val="0"/>
                <w:sz w:val="20"/>
              </w:rPr>
              <w:t>Значение для рынка РФ</w:t>
            </w:r>
          </w:p>
        </w:tc>
      </w:tr>
      <w:tr>
        <w:tc>
          <w:tcPr>
            <w:tcW w:type="dxa" w:w="2493"/>
          </w:tcPr>
          <w:p>
            <w:pPr>
              <w:spacing w:after="0" w:line="240" w:lineRule="auto"/>
              <w:ind w:firstLine="0"/>
              <w:jc w:val="left"/>
            </w:pPr>
            <w:r>
              <w:rPr>
                <w:b w:val="0"/>
                <w:i w:val="0"/>
                <w:sz w:val="20"/>
              </w:rPr>
              <w:t>Диоксид титана / TiCl₄</w:t>
            </w:r>
          </w:p>
        </w:tc>
        <w:tc>
          <w:tcPr>
            <w:tcW w:type="dxa" w:w="2493"/>
          </w:tcPr>
          <w:p>
            <w:pPr>
              <w:spacing w:after="0" w:line="240" w:lineRule="auto"/>
              <w:ind w:firstLine="0"/>
              <w:jc w:val="center"/>
            </w:pPr>
            <w:r>
              <w:rPr>
                <w:b w:val="0"/>
                <w:i w:val="0"/>
                <w:sz w:val="20"/>
              </w:rPr>
              <w:t>38–39</w:t>
            </w:r>
          </w:p>
        </w:tc>
        <w:tc>
          <w:tcPr>
            <w:tcW w:type="dxa" w:w="2493"/>
          </w:tcPr>
          <w:p>
            <w:pPr>
              <w:spacing w:after="0" w:line="240" w:lineRule="auto"/>
              <w:ind w:firstLine="0"/>
              <w:jc w:val="center"/>
            </w:pPr>
            <w:r>
              <w:rPr>
                <w:b w:val="0"/>
                <w:i w:val="0"/>
                <w:sz w:val="20"/>
              </w:rPr>
              <w:t>2 900</w:t>
            </w:r>
          </w:p>
        </w:tc>
        <w:tc>
          <w:tcPr>
            <w:tcW w:type="dxa" w:w="2493"/>
          </w:tcPr>
          <w:p>
            <w:pPr>
              <w:spacing w:after="0" w:line="240" w:lineRule="auto"/>
              <w:ind w:firstLine="0"/>
              <w:jc w:val="center"/>
            </w:pPr>
            <w:r>
              <w:rPr>
                <w:b w:val="0"/>
                <w:i w:val="0"/>
                <w:sz w:val="20"/>
              </w:rPr>
              <w:t>значимое</w:t>
            </w:r>
          </w:p>
        </w:tc>
      </w:tr>
      <w:tr>
        <w:tc>
          <w:tcPr>
            <w:tcW w:type="dxa" w:w="2493"/>
          </w:tcPr>
          <w:p>
            <w:pPr>
              <w:spacing w:after="0" w:line="240" w:lineRule="auto"/>
              <w:ind w:firstLine="0"/>
              <w:jc w:val="left"/>
            </w:pPr>
            <w:r>
              <w:rPr>
                <w:b w:val="0"/>
                <w:i w:val="0"/>
                <w:sz w:val="20"/>
              </w:rPr>
              <w:t>Пентаоксид ниобия</w:t>
            </w:r>
          </w:p>
        </w:tc>
        <w:tc>
          <w:tcPr>
            <w:tcW w:type="dxa" w:w="2493"/>
          </w:tcPr>
          <w:p>
            <w:pPr>
              <w:spacing w:after="0" w:line="240" w:lineRule="auto"/>
              <w:ind w:firstLine="0"/>
              <w:jc w:val="center"/>
            </w:pPr>
            <w:r>
              <w:rPr>
                <w:b w:val="0"/>
                <w:i w:val="0"/>
                <w:sz w:val="20"/>
              </w:rPr>
              <w:t>7,5–8,0</w:t>
            </w:r>
          </w:p>
        </w:tc>
        <w:tc>
          <w:tcPr>
            <w:tcW w:type="dxa" w:w="2493"/>
          </w:tcPr>
          <w:p>
            <w:pPr>
              <w:spacing w:after="0" w:line="240" w:lineRule="auto"/>
              <w:ind w:firstLine="0"/>
              <w:jc w:val="center"/>
            </w:pPr>
            <w:r>
              <w:rPr>
                <w:b w:val="0"/>
                <w:i w:val="0"/>
                <w:sz w:val="20"/>
              </w:rPr>
              <w:t>580</w:t>
            </w:r>
          </w:p>
        </w:tc>
        <w:tc>
          <w:tcPr>
            <w:tcW w:type="dxa" w:w="2493"/>
          </w:tcPr>
          <w:p>
            <w:pPr>
              <w:spacing w:after="0" w:line="240" w:lineRule="auto"/>
              <w:ind w:firstLine="0"/>
              <w:jc w:val="center"/>
            </w:pPr>
            <w:r>
              <w:rPr>
                <w:b w:val="0"/>
                <w:i w:val="0"/>
                <w:sz w:val="20"/>
              </w:rPr>
              <w:t>ведущий производитель РФ</w:t>
            </w:r>
          </w:p>
        </w:tc>
      </w:tr>
      <w:tr>
        <w:tc>
          <w:tcPr>
            <w:tcW w:type="dxa" w:w="2493"/>
          </w:tcPr>
          <w:p>
            <w:pPr>
              <w:spacing w:after="0" w:line="240" w:lineRule="auto"/>
              <w:ind w:firstLine="0"/>
              <w:jc w:val="left"/>
            </w:pPr>
            <w:r>
              <w:rPr>
                <w:b w:val="0"/>
                <w:i w:val="0"/>
                <w:sz w:val="20"/>
              </w:rPr>
              <w:t>Пентаоксид тантала</w:t>
            </w:r>
          </w:p>
        </w:tc>
        <w:tc>
          <w:tcPr>
            <w:tcW w:type="dxa" w:w="2493"/>
          </w:tcPr>
          <w:p>
            <w:pPr>
              <w:spacing w:after="0" w:line="240" w:lineRule="auto"/>
              <w:ind w:firstLine="0"/>
              <w:jc w:val="center"/>
            </w:pPr>
            <w:r>
              <w:rPr>
                <w:b w:val="0"/>
                <w:i w:val="0"/>
                <w:sz w:val="20"/>
              </w:rPr>
              <w:t>0,5–0,6</w:t>
            </w:r>
          </w:p>
        </w:tc>
        <w:tc>
          <w:tcPr>
            <w:tcW w:type="dxa" w:w="2493"/>
          </w:tcPr>
          <w:p>
            <w:pPr>
              <w:spacing w:after="0" w:line="240" w:lineRule="auto"/>
              <w:ind w:firstLine="0"/>
              <w:jc w:val="center"/>
            </w:pPr>
            <w:r>
              <w:rPr>
                <w:b w:val="0"/>
                <w:i w:val="0"/>
                <w:sz w:val="20"/>
              </w:rPr>
              <w:t>42</w:t>
            </w:r>
          </w:p>
        </w:tc>
        <w:tc>
          <w:tcPr>
            <w:tcW w:type="dxa" w:w="2493"/>
          </w:tcPr>
          <w:p>
            <w:pPr>
              <w:spacing w:after="0" w:line="240" w:lineRule="auto"/>
              <w:ind w:firstLine="0"/>
              <w:jc w:val="center"/>
            </w:pPr>
            <w:r>
              <w:rPr>
                <w:b w:val="0"/>
                <w:i w:val="0"/>
                <w:sz w:val="20"/>
              </w:rPr>
              <w:t>ведущий производитель РФ</w:t>
            </w:r>
          </w:p>
        </w:tc>
      </w:tr>
      <w:tr>
        <w:tc>
          <w:tcPr>
            <w:tcW w:type="dxa" w:w="2493"/>
          </w:tcPr>
          <w:p>
            <w:pPr>
              <w:spacing w:after="0" w:line="240" w:lineRule="auto"/>
              <w:ind w:firstLine="0"/>
              <w:jc w:val="left"/>
            </w:pPr>
            <w:r>
              <w:rPr>
                <w:b w:val="0"/>
                <w:i w:val="0"/>
                <w:sz w:val="20"/>
              </w:rPr>
              <w:t>Оксиды РЗМ (сумма)</w:t>
            </w:r>
          </w:p>
        </w:tc>
        <w:tc>
          <w:tcPr>
            <w:tcW w:type="dxa" w:w="2493"/>
          </w:tcPr>
          <w:p>
            <w:pPr>
              <w:spacing w:after="0" w:line="240" w:lineRule="auto"/>
              <w:ind w:firstLine="0"/>
              <w:jc w:val="center"/>
            </w:pPr>
            <w:r>
              <w:rPr>
                <w:b w:val="0"/>
                <w:i w:val="0"/>
                <w:sz w:val="20"/>
              </w:rPr>
              <w:t>30–32</w:t>
            </w:r>
          </w:p>
        </w:tc>
        <w:tc>
          <w:tcPr>
            <w:tcW w:type="dxa" w:w="2493"/>
          </w:tcPr>
          <w:p>
            <w:pPr>
              <w:spacing w:after="0" w:line="240" w:lineRule="auto"/>
              <w:ind w:firstLine="0"/>
              <w:jc w:val="center"/>
            </w:pPr>
            <w:r>
              <w:rPr>
                <w:b w:val="0"/>
                <w:i w:val="0"/>
                <w:sz w:val="20"/>
              </w:rPr>
              <w:t>2 400</w:t>
            </w:r>
          </w:p>
        </w:tc>
        <w:tc>
          <w:tcPr>
            <w:tcW w:type="dxa" w:w="2493"/>
          </w:tcPr>
          <w:p>
            <w:pPr>
              <w:spacing w:after="0" w:line="240" w:lineRule="auto"/>
              <w:ind w:firstLine="0"/>
              <w:jc w:val="center"/>
            </w:pPr>
            <w:r>
              <w:rPr>
                <w:b w:val="0"/>
                <w:i w:val="0"/>
                <w:sz w:val="20"/>
              </w:rPr>
              <w:t>единственный производитель</w:t>
            </w:r>
          </w:p>
        </w:tc>
      </w:tr>
      <w:tr>
        <w:tc>
          <w:tcPr>
            <w:tcW w:type="dxa" w:w="2493"/>
          </w:tcPr>
          <w:p>
            <w:pPr>
              <w:spacing w:after="0" w:line="240" w:lineRule="auto"/>
              <w:ind w:firstLine="0"/>
              <w:jc w:val="left"/>
            </w:pPr>
            <w:r>
              <w:rPr>
                <w:b w:val="0"/>
                <w:i w:val="0"/>
                <w:sz w:val="20"/>
              </w:rPr>
              <w:t>Прочие (Sr, Th, остатки)</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торий — отход</w:t>
            </w:r>
          </w:p>
        </w:tc>
      </w:tr>
    </w:tbl>
    <w:p>
      <w:pPr>
        <w:spacing w:after="180"/>
        <w:ind w:firstLine="0"/>
      </w:pPr>
      <w:r>
        <w:rPr>
          <w:i/>
          <w:sz w:val="20"/>
        </w:rPr>
        <w:t>Источник: аналитический центр по данным корпоративных раскрытий АО «СМЗ»</w:t>
      </w:r>
    </w:p>
    <w:p>
      <w:r>
        <w:rPr>
          <w:b w:val="0"/>
          <w:i w:val="0"/>
        </w:rPr>
        <w:t>Отдельного упоминания заслуживает вопрос обращения с торием. Лопаритовый концентрат содержит 0,5–0,7% ThO₂, что при переработке 7,8 тыс. т концентрата в год даёт около 40–55 т диоксида тория, накапливаемого в отходах. Обращение с этим материалом регулируется нормами радиационной безопасности и представляет собой самостоятельную технологическую и экономическую задачу, стоимость решения которой должна учитываться при оценке любых сценариев расширения производства.</w:t>
      </w:r>
    </w:p>
    <w:p>
      <w:r>
        <w:br w:type="page"/>
      </w:r>
    </w:p>
    <w:p>
      <w:pPr>
        <w:pStyle w:val="Heading1"/>
      </w:pPr>
      <w:r>
        <w:rPr>
          <w:b w:val="0"/>
          <w:i w:val="0"/>
        </w:rPr>
        <w:t>11. Российские предприятия редкоземельной отрасли</w:t>
      </w:r>
    </w:p>
    <w:p>
      <w:pPr>
        <w:pStyle w:val="Heading2"/>
      </w:pPr>
      <w:r>
        <w:rPr>
          <w:b w:val="0"/>
          <w:i w:val="0"/>
        </w:rPr>
        <w:t>11.1. ООО «Ловозёрский горно-обогатительный комбинат»</w:t>
      </w:r>
    </w:p>
    <w:p>
      <w:r>
        <w:rPr>
          <w:b/>
          <w:i w:val="0"/>
        </w:rPr>
        <w:t>Общие сведения.</w:t>
      </w:r>
      <w:r>
        <w:rPr>
          <w:b w:val="0"/>
          <w:i w:val="0"/>
        </w:rPr>
        <w:t xml:space="preserve"> Расположение: Мурманская область, Ловозёрский район, посёлок Ревда. Единственное в Российской Федерации предприятие, осуществляющее добычу редкоземельного сырья. Основано в 1951 г. как комбинат по добыче лопаритовых руд для нужд атомной и оборонной промышленности.</w:t>
      </w:r>
    </w:p>
    <w:p>
      <w:r>
        <w:rPr>
          <w:b/>
          <w:i w:val="0"/>
        </w:rPr>
        <w:t>Структура собственности.</w:t>
      </w:r>
      <w:r>
        <w:rPr>
          <w:b w:val="0"/>
          <w:i w:val="0"/>
        </w:rPr>
        <w:t xml:space="preserve"> Предприятие прошло через ряд смен собственника: в 2000-е гг. контролировалось структурами, связанными с АО «СМЗ»; в 2010-е гг. — Госкорпорацией «Ростех» через АО «РТ-Глобальные ресурсы»; с 2023–2024 гг. вошло в контур Госкорпорации «Росатом» (управляющая компания — АО «Русатом МеталлТех» / профильный дивизион). Консолидация Ловозёрского ГОКа и Соликамского магниевого завода под управлением одного собственника впервые за постсоветский период восстановила единство технологической цепочки «добыча — вскрытие».</w:t>
      </w:r>
    </w:p>
    <w:p>
      <w:r>
        <w:rPr>
          <w:b/>
          <w:i w:val="0"/>
        </w:rPr>
        <w:t>Производственная база:</w:t>
      </w:r>
    </w:p>
    <w:p>
      <w:pPr>
        <w:pStyle w:val="ListBullet"/>
        <w:spacing w:after="20"/>
        <w:ind w:firstLine="0"/>
      </w:pPr>
      <w:r>
        <w:rPr>
          <w:b/>
          <w:i w:val="0"/>
        </w:rPr>
        <w:t>рудник «Карнасурт»</w:t>
      </w:r>
      <w:r>
        <w:rPr>
          <w:b w:val="0"/>
          <w:i w:val="0"/>
        </w:rPr>
        <w:t xml:space="preserve"> — подземная добыча, действующий, годовая производительность по руде 350–500 тыс. т;</w:t>
      </w:r>
    </w:p>
    <w:p>
      <w:pPr>
        <w:pStyle w:val="ListBullet"/>
        <w:spacing w:after="20"/>
        <w:ind w:firstLine="0"/>
      </w:pPr>
      <w:r>
        <w:rPr>
          <w:b/>
          <w:i w:val="0"/>
        </w:rPr>
        <w:t>рудник «Умбозеро»</w:t>
      </w:r>
      <w:r>
        <w:rPr>
          <w:b w:val="0"/>
          <w:i w:val="0"/>
        </w:rPr>
        <w:t xml:space="preserve"> — законсервирован после аварийного затопления 2003 г.; программа восстановления предусматривает возобновление добычи с выходом на 300–400 тыс. т руды в год;</w:t>
      </w:r>
    </w:p>
    <w:p>
      <w:pPr>
        <w:pStyle w:val="ListBullet"/>
        <w:spacing w:after="20"/>
        <w:ind w:firstLine="0"/>
      </w:pPr>
      <w:r>
        <w:rPr>
          <w:b/>
          <w:i w:val="0"/>
        </w:rPr>
        <w:t>обогатительная фабрика</w:t>
      </w:r>
      <w:r>
        <w:rPr>
          <w:b w:val="0"/>
          <w:i w:val="0"/>
        </w:rPr>
        <w:t xml:space="preserve"> — гравитационно-флотационная схема, производство лопаритового концентрата с содержанием TREO 30–32%.</w:t>
      </w:r>
    </w:p>
    <w:p>
      <w:r>
        <w:rPr>
          <w:b/>
          <w:i w:val="0"/>
        </w:rPr>
        <w:t>Проблематика.</w:t>
      </w:r>
      <w:r>
        <w:rPr>
          <w:b w:val="0"/>
          <w:i w:val="0"/>
        </w:rPr>
        <w:t xml:space="preserve"> Основные ограничения развития предприятия:</w:t>
      </w:r>
    </w:p>
    <w:p>
      <w:pPr>
        <w:pStyle w:val="ListNumber"/>
        <w:spacing w:after="20"/>
        <w:ind w:firstLine="0"/>
      </w:pPr>
      <w:r>
        <w:rPr>
          <w:b/>
          <w:i w:val="0"/>
        </w:rPr>
        <w:t>Горно-геологические условия.</w:t>
      </w:r>
      <w:r>
        <w:rPr>
          <w:b w:val="0"/>
          <w:i w:val="0"/>
        </w:rPr>
        <w:t xml:space="preserve"> Отработка пологих маломощных рудных тел (мощность 1,2–2,5 м) на глубине, требующая специфических систем разработки с высоким разубоживанием. Себестоимость добычи существенно превышает мировые аналоги.</w:t>
      </w:r>
    </w:p>
    <w:p>
      <w:pPr>
        <w:pStyle w:val="ListNumber"/>
        <w:spacing w:after="20"/>
        <w:ind w:firstLine="0"/>
      </w:pPr>
      <w:r>
        <w:rPr>
          <w:b/>
          <w:i w:val="0"/>
        </w:rPr>
        <w:t>Износ фондов.</w:t>
      </w:r>
      <w:r>
        <w:rPr>
          <w:b w:val="0"/>
          <w:i w:val="0"/>
        </w:rPr>
        <w:t xml:space="preserve"> Значительная часть оборудования эксплуатируется свыше 30 лет.</w:t>
      </w:r>
    </w:p>
    <w:p>
      <w:pPr>
        <w:pStyle w:val="ListNumber"/>
        <w:spacing w:after="20"/>
        <w:ind w:firstLine="0"/>
      </w:pPr>
      <w:r>
        <w:rPr>
          <w:b/>
          <w:i w:val="0"/>
        </w:rPr>
        <w:t>Кадровое обеспечение.</w:t>
      </w:r>
      <w:r>
        <w:rPr>
          <w:b w:val="0"/>
          <w:i w:val="0"/>
        </w:rPr>
        <w:t xml:space="preserve"> Посёлок Ревда — моногород с сокращающимся населением; привлечение квалифицированных кадров затруднено.</w:t>
      </w:r>
    </w:p>
    <w:p>
      <w:pPr>
        <w:pStyle w:val="ListNumber"/>
        <w:spacing w:after="20"/>
        <w:ind w:firstLine="0"/>
      </w:pPr>
      <w:r>
        <w:rPr>
          <w:b/>
          <w:i w:val="0"/>
        </w:rPr>
        <w:t>Монопольная зависимость от единственного покупателя.</w:t>
      </w:r>
      <w:r>
        <w:rPr>
          <w:b w:val="0"/>
          <w:i w:val="0"/>
        </w:rPr>
        <w:t xml:space="preserve"> Отсутствие альтернативы АО «СМЗ» как потребителю концентрата.</w:t>
      </w:r>
    </w:p>
    <w:p>
      <w:r>
        <w:rPr>
          <w:b/>
          <w:i w:val="0"/>
        </w:rPr>
        <w:t>Планы развития.</w:t>
      </w:r>
      <w:r>
        <w:rPr>
          <w:b w:val="0"/>
          <w:i w:val="0"/>
        </w:rPr>
        <w:t xml:space="preserve"> Заявленная программа предусматривает увеличение добычи руды до 800–1 000 тыс. т в год с доведением производства лопаритового концентрата до 12–15 тыс. т, а также вовлечение в отработку эвдиалитовых руд горы Аллуайв. Реализация последнего требует создания технологии переработки эвдиалита, промышленных аналогов которой в мире не существует.</w:t>
      </w:r>
    </w:p>
    <w:p>
      <w:pPr>
        <w:keepNext/>
        <w:spacing w:before="160" w:after="60"/>
        <w:ind w:firstLine="0"/>
        <w:jc w:val="left"/>
      </w:pPr>
      <w:r>
        <w:rPr>
          <w:b/>
          <w:sz w:val="22"/>
        </w:rPr>
        <w:t>Таблица 75. Основные производственные показатели ООО «Ловозёрский ГОК», 2018–2025 гг.</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Показатель</w:t>
            </w:r>
          </w:p>
        </w:tc>
        <w:tc>
          <w:tcPr>
            <w:tcW w:type="dxa" w:w="1425"/>
            <w:shd w:val="clear" w:fill="DCE6F1"/>
          </w:tcPr>
          <w:p>
            <w:pPr>
              <w:spacing w:after="0" w:line="240" w:lineRule="auto"/>
              <w:ind w:firstLine="0"/>
              <w:jc w:val="center"/>
            </w:pPr>
            <w:r>
              <w:rPr>
                <w:b/>
                <w:i w:val="0"/>
                <w:sz w:val="20"/>
              </w:rPr>
              <w:t>2019</w:t>
            </w:r>
          </w:p>
        </w:tc>
        <w:tc>
          <w:tcPr>
            <w:tcW w:type="dxa" w:w="1425"/>
            <w:shd w:val="clear" w:fill="DCE6F1"/>
          </w:tcPr>
          <w:p>
            <w:pPr>
              <w:spacing w:after="0" w:line="240" w:lineRule="auto"/>
              <w:ind w:firstLine="0"/>
              <w:jc w:val="center"/>
            </w:pPr>
            <w:r>
              <w:rPr>
                <w:b/>
                <w:i w:val="0"/>
                <w:sz w:val="20"/>
              </w:rPr>
              <w:t>2021</w:t>
            </w:r>
          </w:p>
        </w:tc>
        <w:tc>
          <w:tcPr>
            <w:tcW w:type="dxa" w:w="1425"/>
            <w:shd w:val="clear" w:fill="DCE6F1"/>
          </w:tcPr>
          <w:p>
            <w:pPr>
              <w:spacing w:after="0" w:line="240" w:lineRule="auto"/>
              <w:ind w:firstLine="0"/>
              <w:jc w:val="center"/>
            </w:pPr>
            <w:r>
              <w:rPr>
                <w:b/>
                <w:i w:val="0"/>
                <w:sz w:val="20"/>
              </w:rPr>
              <w:t>2022</w:t>
            </w:r>
          </w:p>
        </w:tc>
        <w:tc>
          <w:tcPr>
            <w:tcW w:type="dxa" w:w="1425"/>
            <w:shd w:val="clear" w:fill="DCE6F1"/>
          </w:tcPr>
          <w:p>
            <w:pPr>
              <w:spacing w:after="0" w:line="240" w:lineRule="auto"/>
              <w:ind w:firstLine="0"/>
              <w:jc w:val="center"/>
            </w:pPr>
            <w:r>
              <w:rPr>
                <w:b/>
                <w:i w:val="0"/>
                <w:sz w:val="20"/>
              </w:rPr>
              <w:t>2023</w:t>
            </w:r>
          </w:p>
        </w:tc>
        <w:tc>
          <w:tcPr>
            <w:tcW w:type="dxa" w:w="1425"/>
            <w:shd w:val="clear" w:fill="DCE6F1"/>
          </w:tcPr>
          <w:p>
            <w:pPr>
              <w:spacing w:after="0" w:line="240" w:lineRule="auto"/>
              <w:ind w:firstLine="0"/>
              <w:jc w:val="center"/>
            </w:pPr>
            <w:r>
              <w:rPr>
                <w:b/>
                <w:i w:val="0"/>
                <w:sz w:val="20"/>
              </w:rPr>
              <w:t>2024</w:t>
            </w:r>
          </w:p>
        </w:tc>
        <w:tc>
          <w:tcPr>
            <w:tcW w:type="dxa" w:w="1425"/>
            <w:shd w:val="clear" w:fill="DCE6F1"/>
          </w:tcPr>
          <w:p>
            <w:pPr>
              <w:spacing w:after="0" w:line="240" w:lineRule="auto"/>
              <w:ind w:firstLine="0"/>
              <w:jc w:val="center"/>
            </w:pPr>
            <w:r>
              <w:rPr>
                <w:b/>
                <w:i w:val="0"/>
                <w:sz w:val="20"/>
              </w:rPr>
              <w:t>2025 (оц.)</w:t>
            </w:r>
          </w:p>
        </w:tc>
      </w:tr>
      <w:tr>
        <w:tc>
          <w:tcPr>
            <w:tcW w:type="dxa" w:w="1425"/>
          </w:tcPr>
          <w:p>
            <w:pPr>
              <w:spacing w:after="0" w:line="240" w:lineRule="auto"/>
              <w:ind w:firstLine="0"/>
              <w:jc w:val="left"/>
            </w:pPr>
            <w:r>
              <w:rPr>
                <w:b w:val="0"/>
                <w:i w:val="0"/>
                <w:sz w:val="20"/>
              </w:rPr>
              <w:t>Добыча руды, тыс. т</w:t>
            </w:r>
          </w:p>
        </w:tc>
        <w:tc>
          <w:tcPr>
            <w:tcW w:type="dxa" w:w="1425"/>
          </w:tcPr>
          <w:p>
            <w:pPr>
              <w:spacing w:after="0" w:line="240" w:lineRule="auto"/>
              <w:ind w:firstLine="0"/>
              <w:jc w:val="center"/>
            </w:pPr>
            <w:r>
              <w:rPr>
                <w:b w:val="0"/>
                <w:i w:val="0"/>
                <w:sz w:val="20"/>
              </w:rPr>
              <w:t>420</w:t>
            </w:r>
          </w:p>
        </w:tc>
        <w:tc>
          <w:tcPr>
            <w:tcW w:type="dxa" w:w="1425"/>
          </w:tcPr>
          <w:p>
            <w:pPr>
              <w:spacing w:after="0" w:line="240" w:lineRule="auto"/>
              <w:ind w:firstLine="0"/>
              <w:jc w:val="center"/>
            </w:pPr>
            <w:r>
              <w:rPr>
                <w:b w:val="0"/>
                <w:i w:val="0"/>
                <w:sz w:val="20"/>
              </w:rPr>
              <w:t>395</w:t>
            </w:r>
          </w:p>
        </w:tc>
        <w:tc>
          <w:tcPr>
            <w:tcW w:type="dxa" w:w="1425"/>
          </w:tcPr>
          <w:p>
            <w:pPr>
              <w:spacing w:after="0" w:line="240" w:lineRule="auto"/>
              <w:ind w:firstLine="0"/>
              <w:jc w:val="center"/>
            </w:pPr>
            <w:r>
              <w:rPr>
                <w:b w:val="0"/>
                <w:i w:val="0"/>
                <w:sz w:val="20"/>
              </w:rPr>
              <w:t>375</w:t>
            </w:r>
          </w:p>
        </w:tc>
        <w:tc>
          <w:tcPr>
            <w:tcW w:type="dxa" w:w="1425"/>
          </w:tcPr>
          <w:p>
            <w:pPr>
              <w:spacing w:after="0" w:line="240" w:lineRule="auto"/>
              <w:ind w:firstLine="0"/>
              <w:jc w:val="center"/>
            </w:pPr>
            <w:r>
              <w:rPr>
                <w:b w:val="0"/>
                <w:i w:val="0"/>
                <w:sz w:val="20"/>
              </w:rPr>
              <w:t>390</w:t>
            </w:r>
          </w:p>
        </w:tc>
        <w:tc>
          <w:tcPr>
            <w:tcW w:type="dxa" w:w="1425"/>
          </w:tcPr>
          <w:p>
            <w:pPr>
              <w:spacing w:after="0" w:line="240" w:lineRule="auto"/>
              <w:ind w:firstLine="0"/>
              <w:jc w:val="center"/>
            </w:pPr>
            <w:r>
              <w:rPr>
                <w:b w:val="0"/>
                <w:i w:val="0"/>
                <w:sz w:val="20"/>
              </w:rPr>
              <w:t>415</w:t>
            </w:r>
          </w:p>
        </w:tc>
        <w:tc>
          <w:tcPr>
            <w:tcW w:type="dxa" w:w="1425"/>
          </w:tcPr>
          <w:p>
            <w:pPr>
              <w:spacing w:after="0" w:line="240" w:lineRule="auto"/>
              <w:ind w:firstLine="0"/>
              <w:jc w:val="center"/>
            </w:pPr>
            <w:r>
              <w:rPr>
                <w:b w:val="0"/>
                <w:i w:val="0"/>
                <w:sz w:val="20"/>
              </w:rPr>
              <w:t>450</w:t>
            </w:r>
          </w:p>
        </w:tc>
      </w:tr>
      <w:tr>
        <w:tc>
          <w:tcPr>
            <w:tcW w:type="dxa" w:w="1425"/>
          </w:tcPr>
          <w:p>
            <w:pPr>
              <w:spacing w:after="0" w:line="240" w:lineRule="auto"/>
              <w:ind w:firstLine="0"/>
              <w:jc w:val="left"/>
            </w:pPr>
            <w:r>
              <w:rPr>
                <w:b w:val="0"/>
                <w:i w:val="0"/>
                <w:sz w:val="20"/>
              </w:rPr>
              <w:t>Содержание лопарита в руде, %</w:t>
            </w:r>
          </w:p>
        </w:tc>
        <w:tc>
          <w:tcPr>
            <w:tcW w:type="dxa" w:w="1425"/>
          </w:tcPr>
          <w:p>
            <w:pPr>
              <w:spacing w:after="0" w:line="240" w:lineRule="auto"/>
              <w:ind w:firstLine="0"/>
              <w:jc w:val="center"/>
            </w:pPr>
            <w:r>
              <w:rPr>
                <w:b w:val="0"/>
                <w:i w:val="0"/>
                <w:sz w:val="20"/>
              </w:rPr>
              <w:t>2,3</w:t>
            </w:r>
          </w:p>
        </w:tc>
        <w:tc>
          <w:tcPr>
            <w:tcW w:type="dxa" w:w="1425"/>
          </w:tcPr>
          <w:p>
            <w:pPr>
              <w:spacing w:after="0" w:line="240" w:lineRule="auto"/>
              <w:ind w:firstLine="0"/>
              <w:jc w:val="center"/>
            </w:pPr>
            <w:r>
              <w:rPr>
                <w:b w:val="0"/>
                <w:i w:val="0"/>
                <w:sz w:val="20"/>
              </w:rPr>
              <w:t>2,2</w:t>
            </w:r>
          </w:p>
        </w:tc>
        <w:tc>
          <w:tcPr>
            <w:tcW w:type="dxa" w:w="1425"/>
          </w:tcPr>
          <w:p>
            <w:pPr>
              <w:spacing w:after="0" w:line="240" w:lineRule="auto"/>
              <w:ind w:firstLine="0"/>
              <w:jc w:val="center"/>
            </w:pPr>
            <w:r>
              <w:rPr>
                <w:b w:val="0"/>
                <w:i w:val="0"/>
                <w:sz w:val="20"/>
              </w:rPr>
              <w:t>2,2</w:t>
            </w:r>
          </w:p>
        </w:tc>
        <w:tc>
          <w:tcPr>
            <w:tcW w:type="dxa" w:w="1425"/>
          </w:tcPr>
          <w:p>
            <w:pPr>
              <w:spacing w:after="0" w:line="240" w:lineRule="auto"/>
              <w:ind w:firstLine="0"/>
              <w:jc w:val="center"/>
            </w:pPr>
            <w:r>
              <w:rPr>
                <w:b w:val="0"/>
                <w:i w:val="0"/>
                <w:sz w:val="20"/>
              </w:rPr>
              <w:t>2,3</w:t>
            </w:r>
          </w:p>
        </w:tc>
        <w:tc>
          <w:tcPr>
            <w:tcW w:type="dxa" w:w="1425"/>
          </w:tcPr>
          <w:p>
            <w:pPr>
              <w:spacing w:after="0" w:line="240" w:lineRule="auto"/>
              <w:ind w:firstLine="0"/>
              <w:jc w:val="center"/>
            </w:pPr>
            <w:r>
              <w:rPr>
                <w:b w:val="0"/>
                <w:i w:val="0"/>
                <w:sz w:val="20"/>
              </w:rPr>
              <w:t>2,3</w:t>
            </w:r>
          </w:p>
        </w:tc>
        <w:tc>
          <w:tcPr>
            <w:tcW w:type="dxa" w:w="1425"/>
          </w:tcPr>
          <w:p>
            <w:pPr>
              <w:spacing w:after="0" w:line="240" w:lineRule="auto"/>
              <w:ind w:firstLine="0"/>
              <w:jc w:val="center"/>
            </w:pPr>
            <w:r>
              <w:rPr>
                <w:b w:val="0"/>
                <w:i w:val="0"/>
                <w:sz w:val="20"/>
              </w:rPr>
              <w:t>2,3</w:t>
            </w:r>
          </w:p>
        </w:tc>
      </w:tr>
      <w:tr>
        <w:tc>
          <w:tcPr>
            <w:tcW w:type="dxa" w:w="1425"/>
          </w:tcPr>
          <w:p>
            <w:pPr>
              <w:spacing w:after="0" w:line="240" w:lineRule="auto"/>
              <w:ind w:firstLine="0"/>
              <w:jc w:val="left"/>
            </w:pPr>
            <w:r>
              <w:rPr>
                <w:b w:val="0"/>
                <w:i w:val="0"/>
                <w:sz w:val="20"/>
              </w:rPr>
              <w:t>Производство концентрата, т</w:t>
            </w:r>
          </w:p>
        </w:tc>
        <w:tc>
          <w:tcPr>
            <w:tcW w:type="dxa" w:w="1425"/>
          </w:tcPr>
          <w:p>
            <w:pPr>
              <w:spacing w:after="0" w:line="240" w:lineRule="auto"/>
              <w:ind w:firstLine="0"/>
              <w:jc w:val="center"/>
            </w:pPr>
            <w:r>
              <w:rPr>
                <w:b w:val="0"/>
                <w:i w:val="0"/>
                <w:sz w:val="20"/>
              </w:rPr>
              <w:t>7 400</w:t>
            </w:r>
          </w:p>
        </w:tc>
        <w:tc>
          <w:tcPr>
            <w:tcW w:type="dxa" w:w="1425"/>
          </w:tcPr>
          <w:p>
            <w:pPr>
              <w:spacing w:after="0" w:line="240" w:lineRule="auto"/>
              <w:ind w:firstLine="0"/>
              <w:jc w:val="center"/>
            </w:pPr>
            <w:r>
              <w:rPr>
                <w:b w:val="0"/>
                <w:i w:val="0"/>
                <w:sz w:val="20"/>
              </w:rPr>
              <w:t>6 900</w:t>
            </w:r>
          </w:p>
        </w:tc>
        <w:tc>
          <w:tcPr>
            <w:tcW w:type="dxa" w:w="1425"/>
          </w:tcPr>
          <w:p>
            <w:pPr>
              <w:spacing w:after="0" w:line="240" w:lineRule="auto"/>
              <w:ind w:firstLine="0"/>
              <w:jc w:val="center"/>
            </w:pPr>
            <w:r>
              <w:rPr>
                <w:b w:val="0"/>
                <w:i w:val="0"/>
                <w:sz w:val="20"/>
              </w:rPr>
              <w:t>6 500</w:t>
            </w:r>
          </w:p>
        </w:tc>
        <w:tc>
          <w:tcPr>
            <w:tcW w:type="dxa" w:w="1425"/>
          </w:tcPr>
          <w:p>
            <w:pPr>
              <w:spacing w:after="0" w:line="240" w:lineRule="auto"/>
              <w:ind w:firstLine="0"/>
              <w:jc w:val="center"/>
            </w:pPr>
            <w:r>
              <w:rPr>
                <w:b w:val="0"/>
                <w:i w:val="0"/>
                <w:sz w:val="20"/>
              </w:rPr>
              <w:t>6 800</w:t>
            </w:r>
          </w:p>
        </w:tc>
        <w:tc>
          <w:tcPr>
            <w:tcW w:type="dxa" w:w="1425"/>
          </w:tcPr>
          <w:p>
            <w:pPr>
              <w:spacing w:after="0" w:line="240" w:lineRule="auto"/>
              <w:ind w:firstLine="0"/>
              <w:jc w:val="center"/>
            </w:pPr>
            <w:r>
              <w:rPr>
                <w:b w:val="0"/>
                <w:i w:val="0"/>
                <w:sz w:val="20"/>
              </w:rPr>
              <w:t>7 200</w:t>
            </w:r>
          </w:p>
        </w:tc>
        <w:tc>
          <w:tcPr>
            <w:tcW w:type="dxa" w:w="1425"/>
          </w:tcPr>
          <w:p>
            <w:pPr>
              <w:spacing w:after="0" w:line="240" w:lineRule="auto"/>
              <w:ind w:firstLine="0"/>
              <w:jc w:val="center"/>
            </w:pPr>
            <w:r>
              <w:rPr>
                <w:b w:val="0"/>
                <w:i w:val="0"/>
                <w:sz w:val="20"/>
              </w:rPr>
              <w:t>7 800</w:t>
            </w:r>
          </w:p>
        </w:tc>
      </w:tr>
      <w:tr>
        <w:tc>
          <w:tcPr>
            <w:tcW w:type="dxa" w:w="1425"/>
          </w:tcPr>
          <w:p>
            <w:pPr>
              <w:spacing w:after="0" w:line="240" w:lineRule="auto"/>
              <w:ind w:firstLine="0"/>
              <w:jc w:val="left"/>
            </w:pPr>
            <w:r>
              <w:rPr>
                <w:b w:val="0"/>
                <w:i w:val="0"/>
                <w:sz w:val="20"/>
              </w:rPr>
              <w:t>TREO в концентрате, т</w:t>
            </w:r>
          </w:p>
        </w:tc>
        <w:tc>
          <w:tcPr>
            <w:tcW w:type="dxa" w:w="1425"/>
          </w:tcPr>
          <w:p>
            <w:pPr>
              <w:spacing w:after="0" w:line="240" w:lineRule="auto"/>
              <w:ind w:firstLine="0"/>
              <w:jc w:val="center"/>
            </w:pPr>
            <w:r>
              <w:rPr>
                <w:b w:val="0"/>
                <w:i w:val="0"/>
                <w:sz w:val="20"/>
              </w:rPr>
              <w:t>2 370</w:t>
            </w:r>
          </w:p>
        </w:tc>
        <w:tc>
          <w:tcPr>
            <w:tcW w:type="dxa" w:w="1425"/>
          </w:tcPr>
          <w:p>
            <w:pPr>
              <w:spacing w:after="0" w:line="240" w:lineRule="auto"/>
              <w:ind w:firstLine="0"/>
              <w:jc w:val="center"/>
            </w:pPr>
            <w:r>
              <w:rPr>
                <w:b w:val="0"/>
                <w:i w:val="0"/>
                <w:sz w:val="20"/>
              </w:rPr>
              <w:t>2 210</w:t>
            </w:r>
          </w:p>
        </w:tc>
        <w:tc>
          <w:tcPr>
            <w:tcW w:type="dxa" w:w="1425"/>
          </w:tcPr>
          <w:p>
            <w:pPr>
              <w:spacing w:after="0" w:line="240" w:lineRule="auto"/>
              <w:ind w:firstLine="0"/>
              <w:jc w:val="center"/>
            </w:pPr>
            <w:r>
              <w:rPr>
                <w:b w:val="0"/>
                <w:i w:val="0"/>
                <w:sz w:val="20"/>
              </w:rPr>
              <w:t>2 080</w:t>
            </w:r>
          </w:p>
        </w:tc>
        <w:tc>
          <w:tcPr>
            <w:tcW w:type="dxa" w:w="1425"/>
          </w:tcPr>
          <w:p>
            <w:pPr>
              <w:spacing w:after="0" w:line="240" w:lineRule="auto"/>
              <w:ind w:firstLine="0"/>
              <w:jc w:val="center"/>
            </w:pPr>
            <w:r>
              <w:rPr>
                <w:b w:val="0"/>
                <w:i w:val="0"/>
                <w:sz w:val="20"/>
              </w:rPr>
              <w:t>2 180</w:t>
            </w:r>
          </w:p>
        </w:tc>
        <w:tc>
          <w:tcPr>
            <w:tcW w:type="dxa" w:w="1425"/>
          </w:tcPr>
          <w:p>
            <w:pPr>
              <w:spacing w:after="0" w:line="240" w:lineRule="auto"/>
              <w:ind w:firstLine="0"/>
              <w:jc w:val="center"/>
            </w:pPr>
            <w:r>
              <w:rPr>
                <w:b w:val="0"/>
                <w:i w:val="0"/>
                <w:sz w:val="20"/>
              </w:rPr>
              <w:t>2 300</w:t>
            </w:r>
          </w:p>
        </w:tc>
        <w:tc>
          <w:tcPr>
            <w:tcW w:type="dxa" w:w="1425"/>
          </w:tcPr>
          <w:p>
            <w:pPr>
              <w:spacing w:after="0" w:line="240" w:lineRule="auto"/>
              <w:ind w:firstLine="0"/>
              <w:jc w:val="center"/>
            </w:pPr>
            <w:r>
              <w:rPr>
                <w:b w:val="0"/>
                <w:i w:val="0"/>
                <w:sz w:val="20"/>
              </w:rPr>
              <w:t>2 500</w:t>
            </w:r>
          </w:p>
        </w:tc>
      </w:tr>
      <w:tr>
        <w:tc>
          <w:tcPr>
            <w:tcW w:type="dxa" w:w="1425"/>
          </w:tcPr>
          <w:p>
            <w:pPr>
              <w:spacing w:after="0" w:line="240" w:lineRule="auto"/>
              <w:ind w:firstLine="0"/>
              <w:jc w:val="left"/>
            </w:pPr>
            <w:r>
              <w:rPr>
                <w:b w:val="0"/>
                <w:i w:val="0"/>
                <w:sz w:val="20"/>
              </w:rPr>
              <w:t>Численность персонала, чел.</w:t>
            </w:r>
          </w:p>
        </w:tc>
        <w:tc>
          <w:tcPr>
            <w:tcW w:type="dxa" w:w="1425"/>
          </w:tcPr>
          <w:p>
            <w:pPr>
              <w:spacing w:after="0" w:line="240" w:lineRule="auto"/>
              <w:ind w:firstLine="0"/>
              <w:jc w:val="center"/>
            </w:pPr>
            <w:r>
              <w:rPr>
                <w:b w:val="0"/>
                <w:i w:val="0"/>
                <w:sz w:val="20"/>
              </w:rPr>
              <w:t>830</w:t>
            </w:r>
          </w:p>
        </w:tc>
        <w:tc>
          <w:tcPr>
            <w:tcW w:type="dxa" w:w="1425"/>
          </w:tcPr>
          <w:p>
            <w:pPr>
              <w:spacing w:after="0" w:line="240" w:lineRule="auto"/>
              <w:ind w:firstLine="0"/>
              <w:jc w:val="center"/>
            </w:pPr>
            <w:r>
              <w:rPr>
                <w:b w:val="0"/>
                <w:i w:val="0"/>
                <w:sz w:val="20"/>
              </w:rPr>
              <w:t>790</w:t>
            </w:r>
          </w:p>
        </w:tc>
        <w:tc>
          <w:tcPr>
            <w:tcW w:type="dxa" w:w="1425"/>
          </w:tcPr>
          <w:p>
            <w:pPr>
              <w:spacing w:after="0" w:line="240" w:lineRule="auto"/>
              <w:ind w:firstLine="0"/>
              <w:jc w:val="center"/>
            </w:pPr>
            <w:r>
              <w:rPr>
                <w:b w:val="0"/>
                <w:i w:val="0"/>
                <w:sz w:val="20"/>
              </w:rPr>
              <w:t>760</w:t>
            </w:r>
          </w:p>
        </w:tc>
        <w:tc>
          <w:tcPr>
            <w:tcW w:type="dxa" w:w="1425"/>
          </w:tcPr>
          <w:p>
            <w:pPr>
              <w:spacing w:after="0" w:line="240" w:lineRule="auto"/>
              <w:ind w:firstLine="0"/>
              <w:jc w:val="center"/>
            </w:pPr>
            <w:r>
              <w:rPr>
                <w:b w:val="0"/>
                <w:i w:val="0"/>
                <w:sz w:val="20"/>
              </w:rPr>
              <w:t>780</w:t>
            </w:r>
          </w:p>
        </w:tc>
        <w:tc>
          <w:tcPr>
            <w:tcW w:type="dxa" w:w="1425"/>
          </w:tcPr>
          <w:p>
            <w:pPr>
              <w:spacing w:after="0" w:line="240" w:lineRule="auto"/>
              <w:ind w:firstLine="0"/>
              <w:jc w:val="center"/>
            </w:pPr>
            <w:r>
              <w:rPr>
                <w:b w:val="0"/>
                <w:i w:val="0"/>
                <w:sz w:val="20"/>
              </w:rPr>
              <w:t>820</w:t>
            </w:r>
          </w:p>
        </w:tc>
        <w:tc>
          <w:tcPr>
            <w:tcW w:type="dxa" w:w="1425"/>
          </w:tcPr>
          <w:p>
            <w:pPr>
              <w:spacing w:after="0" w:line="240" w:lineRule="auto"/>
              <w:ind w:firstLine="0"/>
              <w:jc w:val="center"/>
            </w:pPr>
            <w:r>
              <w:rPr>
                <w:b w:val="0"/>
                <w:i w:val="0"/>
                <w:sz w:val="20"/>
              </w:rPr>
              <w:t>870</w:t>
            </w:r>
          </w:p>
        </w:tc>
      </w:tr>
      <w:tr>
        <w:tc>
          <w:tcPr>
            <w:tcW w:type="dxa" w:w="1425"/>
          </w:tcPr>
          <w:p>
            <w:pPr>
              <w:spacing w:after="0" w:line="240" w:lineRule="auto"/>
              <w:ind w:firstLine="0"/>
              <w:jc w:val="left"/>
            </w:pPr>
            <w:r>
              <w:rPr>
                <w:b w:val="0"/>
                <w:i w:val="0"/>
                <w:sz w:val="20"/>
              </w:rPr>
              <w:t>Извлечение лопарита, %</w:t>
            </w:r>
          </w:p>
        </w:tc>
        <w:tc>
          <w:tcPr>
            <w:tcW w:type="dxa" w:w="1425"/>
          </w:tcPr>
          <w:p>
            <w:pPr>
              <w:spacing w:after="0" w:line="240" w:lineRule="auto"/>
              <w:ind w:firstLine="0"/>
              <w:jc w:val="center"/>
            </w:pPr>
            <w:r>
              <w:rPr>
                <w:b w:val="0"/>
                <w:i w:val="0"/>
                <w:sz w:val="20"/>
              </w:rPr>
              <w:t>76,5</w:t>
            </w:r>
          </w:p>
        </w:tc>
        <w:tc>
          <w:tcPr>
            <w:tcW w:type="dxa" w:w="1425"/>
          </w:tcPr>
          <w:p>
            <w:pPr>
              <w:spacing w:after="0" w:line="240" w:lineRule="auto"/>
              <w:ind w:firstLine="0"/>
              <w:jc w:val="center"/>
            </w:pPr>
            <w:r>
              <w:rPr>
                <w:b w:val="0"/>
                <w:i w:val="0"/>
                <w:sz w:val="20"/>
              </w:rPr>
              <w:t>75,8</w:t>
            </w:r>
          </w:p>
        </w:tc>
        <w:tc>
          <w:tcPr>
            <w:tcW w:type="dxa" w:w="1425"/>
          </w:tcPr>
          <w:p>
            <w:pPr>
              <w:spacing w:after="0" w:line="240" w:lineRule="auto"/>
              <w:ind w:firstLine="0"/>
              <w:jc w:val="center"/>
            </w:pPr>
            <w:r>
              <w:rPr>
                <w:b w:val="0"/>
                <w:i w:val="0"/>
                <w:sz w:val="20"/>
              </w:rPr>
              <w:t>75,2</w:t>
            </w:r>
          </w:p>
        </w:tc>
        <w:tc>
          <w:tcPr>
            <w:tcW w:type="dxa" w:w="1425"/>
          </w:tcPr>
          <w:p>
            <w:pPr>
              <w:spacing w:after="0" w:line="240" w:lineRule="auto"/>
              <w:ind w:firstLine="0"/>
              <w:jc w:val="center"/>
            </w:pPr>
            <w:r>
              <w:rPr>
                <w:b w:val="0"/>
                <w:i w:val="0"/>
                <w:sz w:val="20"/>
              </w:rPr>
              <w:t>76,0</w:t>
            </w:r>
          </w:p>
        </w:tc>
        <w:tc>
          <w:tcPr>
            <w:tcW w:type="dxa" w:w="1425"/>
          </w:tcPr>
          <w:p>
            <w:pPr>
              <w:spacing w:after="0" w:line="240" w:lineRule="auto"/>
              <w:ind w:firstLine="0"/>
              <w:jc w:val="center"/>
            </w:pPr>
            <w:r>
              <w:rPr>
                <w:b w:val="0"/>
                <w:i w:val="0"/>
                <w:sz w:val="20"/>
              </w:rPr>
              <w:t>76,8</w:t>
            </w:r>
          </w:p>
        </w:tc>
        <w:tc>
          <w:tcPr>
            <w:tcW w:type="dxa" w:w="1425"/>
          </w:tcPr>
          <w:p>
            <w:pPr>
              <w:spacing w:after="0" w:line="240" w:lineRule="auto"/>
              <w:ind w:firstLine="0"/>
              <w:jc w:val="center"/>
            </w:pPr>
            <w:r>
              <w:rPr>
                <w:b w:val="0"/>
                <w:i w:val="0"/>
                <w:sz w:val="20"/>
              </w:rPr>
              <w:t>77,5</w:t>
            </w:r>
          </w:p>
        </w:tc>
      </w:tr>
    </w:tbl>
    <w:p>
      <w:pPr>
        <w:spacing w:after="180"/>
        <w:ind w:firstLine="0"/>
      </w:pPr>
      <w:r>
        <w:rPr>
          <w:i/>
          <w:sz w:val="20"/>
        </w:rPr>
        <w:t>Источник: аналитический центр по данным корпоративной отчётности, отраслевой прессы и статистики перевозок; ряд значений — оценка</w:t>
      </w:r>
    </w:p>
    <w:p>
      <w:pPr>
        <w:keepNext/>
        <w:spacing w:before="160" w:after="60"/>
        <w:ind w:firstLine="0"/>
        <w:jc w:val="left"/>
      </w:pPr>
      <w:r>
        <w:rPr>
          <w:b/>
          <w:sz w:val="22"/>
        </w:rPr>
        <w:t>Рисунок 59. Добыча руды и производство лопаритового концентрата ООО «Ловозёрский ГОК», 2019–2025 гг.</w:t>
      </w:r>
    </w:p>
    <w:p>
      <w:pPr>
        <w:ind w:firstLine="0"/>
        <w:jc w:val="center"/>
      </w:pPr>
      <w:r>
        <w:drawing>
          <wp:inline xmlns:a="http://schemas.openxmlformats.org/drawingml/2006/main" xmlns:pic="http://schemas.openxmlformats.org/drawingml/2006/picture">
            <wp:extent cx="5580000" cy="2721261"/>
            <wp:docPr id="59" name="Picture 59"/>
            <wp:cNvGraphicFramePr>
              <a:graphicFrameLocks noChangeAspect="1"/>
            </wp:cNvGraphicFramePr>
            <a:graphic>
              <a:graphicData uri="http://schemas.openxmlformats.org/drawingml/2006/picture">
                <pic:pic>
                  <pic:nvPicPr>
                    <pic:cNvPr id="0" name="fig59.png"/>
                    <pic:cNvPicPr/>
                  </pic:nvPicPr>
                  <pic:blipFill>
                    <a:blip r:embed="rId69"/>
                    <a:stretch>
                      <a:fillRect/>
                    </a:stretch>
                  </pic:blipFill>
                  <pic:spPr>
                    <a:xfrm>
                      <a:off x="0" y="0"/>
                      <a:ext cx="5580000" cy="2721261"/>
                    </a:xfrm>
                    <a:prstGeom prst="rect"/>
                  </pic:spPr>
                </pic:pic>
              </a:graphicData>
            </a:graphic>
          </wp:inline>
        </w:drawing>
      </w:r>
    </w:p>
    <w:p>
      <w:pPr>
        <w:spacing w:after="180"/>
        <w:ind w:firstLine="0"/>
      </w:pPr>
      <w:r>
        <w:rPr>
          <w:i/>
          <w:sz w:val="20"/>
        </w:rPr>
        <w:t>Источник: аналитический центр (табл. 75)</w:t>
      </w:r>
    </w:p>
    <w:p>
      <w:pPr>
        <w:pStyle w:val="Heading2"/>
      </w:pPr>
      <w:r>
        <w:rPr>
          <w:b w:val="0"/>
          <w:i w:val="0"/>
        </w:rPr>
        <w:t>11.2. АО «Соликамский магниевый завод»</w:t>
      </w:r>
    </w:p>
    <w:p>
      <w:r>
        <w:rPr>
          <w:b/>
          <w:i w:val="0"/>
        </w:rPr>
        <w:t>Общие сведения.</w:t>
      </w:r>
      <w:r>
        <w:rPr>
          <w:b w:val="0"/>
          <w:i w:val="0"/>
        </w:rPr>
        <w:t xml:space="preserve"> Расположение: Пермский край, г. Соликамск. Основан в 1936 г. как первое в СССР предприятие по производству магния. Единственное в Российской Федерации предприятие полного цикла переработки лопаритового концентрата с получением редкоземельной, ниобиевой и танталовой продукции.</w:t>
      </w:r>
    </w:p>
    <w:p>
      <w:r>
        <w:rPr>
          <w:b/>
          <w:i w:val="0"/>
        </w:rPr>
        <w:t>Структура собственности.</w:t>
      </w:r>
      <w:r>
        <w:rPr>
          <w:b w:val="0"/>
          <w:i w:val="0"/>
        </w:rPr>
        <w:t xml:space="preserve"> В 2021–2022 гг. по искам Генеральной прокуратуры судами признаны недействительными сделки приватизации 1990-х гг.; акции обращены в собственность Российской Федерации. В декабре 2023 г. пакет передан Госкорпорации «Росатом». Управление осуществляется в рамках дивизиона, отвечающего за редкие и редкоземельные металлы.</w:t>
      </w:r>
    </w:p>
    <w:p>
      <w:r>
        <w:rPr>
          <w:b w:val="0"/>
          <w:i w:val="0"/>
        </w:rPr>
        <w:t>Смена собственника имела принципиальное значение: впервые за постсоветский период редкоземельная цепочка перешла под управление единого государственного оператора, располагающего собственными инвестиционными ресурсами, компетенциями в области радиохимии и гидрометаллургии, а также институциональной возможностью реализовать долгосрочную программу.</w:t>
      </w:r>
    </w:p>
    <w:p>
      <w:r>
        <w:rPr>
          <w:b/>
          <w:i w:val="0"/>
        </w:rPr>
        <w:t>Технологическая схема.</w:t>
      </w:r>
      <w:r>
        <w:rPr>
          <w:b w:val="0"/>
          <w:i w:val="0"/>
        </w:rPr>
        <w:t xml:space="preserve"> Вскрытие лопаритового концентрата осуществляется методом хлорирования в расплаве солей. Продуктами являются:</w:t>
      </w:r>
    </w:p>
    <w:p>
      <w:pPr>
        <w:pStyle w:val="ListBullet"/>
        <w:spacing w:after="20"/>
        <w:ind w:firstLine="0"/>
      </w:pPr>
      <w:r>
        <w:rPr>
          <w:b w:val="0"/>
          <w:i w:val="0"/>
        </w:rPr>
        <w:t>тетрахлорид титана (направляется на титановое производство);</w:t>
      </w:r>
    </w:p>
    <w:p>
      <w:pPr>
        <w:pStyle w:val="ListBullet"/>
        <w:spacing w:after="20"/>
        <w:ind w:firstLine="0"/>
      </w:pPr>
      <w:r>
        <w:rPr>
          <w:b w:val="0"/>
          <w:i w:val="0"/>
        </w:rPr>
        <w:t>хлориды ниобия и тантала (передел на пентаоксиды);</w:t>
      </w:r>
    </w:p>
    <w:p>
      <w:pPr>
        <w:pStyle w:val="ListBullet"/>
        <w:spacing w:after="20"/>
        <w:ind w:firstLine="0"/>
      </w:pPr>
      <w:r>
        <w:rPr>
          <w:b w:val="0"/>
          <w:i w:val="0"/>
        </w:rPr>
        <w:t>хлориды редкоземельных элементов, перерабатываемые в коллективный карбонат;</w:t>
      </w:r>
    </w:p>
    <w:p>
      <w:pPr>
        <w:pStyle w:val="ListBullet"/>
        <w:spacing w:after="20"/>
        <w:ind w:firstLine="0"/>
      </w:pPr>
      <w:r>
        <w:rPr>
          <w:b w:val="0"/>
          <w:i w:val="0"/>
        </w:rPr>
        <w:t>отходы, содержащие торий и радиоактивные продукты его распада.</w:t>
      </w:r>
    </w:p>
    <w:p>
      <w:r>
        <w:rPr>
          <w:b/>
          <w:i w:val="0"/>
        </w:rPr>
        <w:t>Продукция редкоземельного направления:</w:t>
      </w:r>
    </w:p>
    <w:p>
      <w:pPr>
        <w:pStyle w:val="ListBullet"/>
        <w:spacing w:after="20"/>
        <w:ind w:firstLine="0"/>
      </w:pPr>
      <w:r>
        <w:rPr>
          <w:b w:val="0"/>
          <w:i w:val="0"/>
        </w:rPr>
        <w:t>карбонат редкоземельных элементов коллективный (основной товарный продукт);</w:t>
      </w:r>
    </w:p>
    <w:p>
      <w:pPr>
        <w:pStyle w:val="ListBullet"/>
        <w:spacing w:after="20"/>
        <w:ind w:firstLine="0"/>
      </w:pPr>
      <w:r>
        <w:rPr>
          <w:b w:val="0"/>
          <w:i w:val="0"/>
        </w:rPr>
        <w:t>концентрат карбонатов РЗЭ с повышенным содержанием средней группы;</w:t>
      </w:r>
    </w:p>
    <w:p>
      <w:pPr>
        <w:pStyle w:val="ListBullet"/>
        <w:spacing w:after="20"/>
        <w:ind w:firstLine="0"/>
      </w:pPr>
      <w:r>
        <w:rPr>
          <w:b w:val="0"/>
          <w:i w:val="0"/>
        </w:rPr>
        <w:t>индивидуальные оксиды лантана, церия, неодима, празеодима, самария, гадолиния (производство развивается с 2010-х гг.);</w:t>
      </w:r>
    </w:p>
    <w:p>
      <w:pPr>
        <w:pStyle w:val="ListBullet"/>
        <w:spacing w:after="20"/>
        <w:ind w:firstLine="0"/>
      </w:pPr>
      <w:r>
        <w:rPr>
          <w:b w:val="0"/>
          <w:i w:val="0"/>
        </w:rPr>
        <w:t>хлориды редкоземельных элементов.</w:t>
      </w:r>
    </w:p>
    <w:p>
      <w:pPr>
        <w:keepNext/>
        <w:spacing w:before="160" w:after="60"/>
        <w:ind w:firstLine="0"/>
        <w:jc w:val="left"/>
      </w:pPr>
      <w:r>
        <w:rPr>
          <w:b/>
          <w:sz w:val="22"/>
        </w:rPr>
        <w:t>Таблица 76. Основные показатели АО «Соликамский магниевый завод», 2016–2025 гг.</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Показатель</w:t>
            </w:r>
          </w:p>
        </w:tc>
        <w:tc>
          <w:tcPr>
            <w:tcW w:type="dxa" w:w="1425"/>
            <w:shd w:val="clear" w:fill="DCE6F1"/>
          </w:tcPr>
          <w:p>
            <w:pPr>
              <w:spacing w:after="0" w:line="240" w:lineRule="auto"/>
              <w:ind w:firstLine="0"/>
              <w:jc w:val="center"/>
            </w:pPr>
            <w:r>
              <w:rPr>
                <w:b/>
                <w:i w:val="0"/>
                <w:sz w:val="20"/>
              </w:rPr>
              <w:t>2018</w:t>
            </w:r>
          </w:p>
        </w:tc>
        <w:tc>
          <w:tcPr>
            <w:tcW w:type="dxa" w:w="1425"/>
            <w:shd w:val="clear" w:fill="DCE6F1"/>
          </w:tcPr>
          <w:p>
            <w:pPr>
              <w:spacing w:after="0" w:line="240" w:lineRule="auto"/>
              <w:ind w:firstLine="0"/>
              <w:jc w:val="center"/>
            </w:pPr>
            <w:r>
              <w:rPr>
                <w:b/>
                <w:i w:val="0"/>
                <w:sz w:val="20"/>
              </w:rPr>
              <w:t>2020</w:t>
            </w:r>
          </w:p>
        </w:tc>
        <w:tc>
          <w:tcPr>
            <w:tcW w:type="dxa" w:w="1425"/>
            <w:shd w:val="clear" w:fill="DCE6F1"/>
          </w:tcPr>
          <w:p>
            <w:pPr>
              <w:spacing w:after="0" w:line="240" w:lineRule="auto"/>
              <w:ind w:firstLine="0"/>
              <w:jc w:val="center"/>
            </w:pPr>
            <w:r>
              <w:rPr>
                <w:b/>
                <w:i w:val="0"/>
                <w:sz w:val="20"/>
              </w:rPr>
              <w:t>2022</w:t>
            </w:r>
          </w:p>
        </w:tc>
        <w:tc>
          <w:tcPr>
            <w:tcW w:type="dxa" w:w="1425"/>
            <w:shd w:val="clear" w:fill="DCE6F1"/>
          </w:tcPr>
          <w:p>
            <w:pPr>
              <w:spacing w:after="0" w:line="240" w:lineRule="auto"/>
              <w:ind w:firstLine="0"/>
              <w:jc w:val="center"/>
            </w:pPr>
            <w:r>
              <w:rPr>
                <w:b/>
                <w:i w:val="0"/>
                <w:sz w:val="20"/>
              </w:rPr>
              <w:t>2023</w:t>
            </w:r>
          </w:p>
        </w:tc>
        <w:tc>
          <w:tcPr>
            <w:tcW w:type="dxa" w:w="1425"/>
            <w:shd w:val="clear" w:fill="DCE6F1"/>
          </w:tcPr>
          <w:p>
            <w:pPr>
              <w:spacing w:after="0" w:line="240" w:lineRule="auto"/>
              <w:ind w:firstLine="0"/>
              <w:jc w:val="center"/>
            </w:pPr>
            <w:r>
              <w:rPr>
                <w:b/>
                <w:i w:val="0"/>
                <w:sz w:val="20"/>
              </w:rPr>
              <w:t>2024</w:t>
            </w:r>
          </w:p>
        </w:tc>
        <w:tc>
          <w:tcPr>
            <w:tcW w:type="dxa" w:w="1425"/>
            <w:shd w:val="clear" w:fill="DCE6F1"/>
          </w:tcPr>
          <w:p>
            <w:pPr>
              <w:spacing w:after="0" w:line="240" w:lineRule="auto"/>
              <w:ind w:firstLine="0"/>
              <w:jc w:val="center"/>
            </w:pPr>
            <w:r>
              <w:rPr>
                <w:b/>
                <w:i w:val="0"/>
                <w:sz w:val="20"/>
              </w:rPr>
              <w:t>2025 (оц.)</w:t>
            </w:r>
          </w:p>
        </w:tc>
      </w:tr>
      <w:tr>
        <w:tc>
          <w:tcPr>
            <w:tcW w:type="dxa" w:w="1425"/>
          </w:tcPr>
          <w:p>
            <w:pPr>
              <w:spacing w:after="0" w:line="240" w:lineRule="auto"/>
              <w:ind w:firstLine="0"/>
              <w:jc w:val="left"/>
            </w:pPr>
            <w:r>
              <w:rPr>
                <w:b w:val="0"/>
                <w:i w:val="0"/>
                <w:sz w:val="20"/>
              </w:rPr>
              <w:t>Выручка, млн руб.</w:t>
            </w:r>
          </w:p>
        </w:tc>
        <w:tc>
          <w:tcPr>
            <w:tcW w:type="dxa" w:w="1425"/>
          </w:tcPr>
          <w:p>
            <w:pPr>
              <w:spacing w:after="0" w:line="240" w:lineRule="auto"/>
              <w:ind w:firstLine="0"/>
              <w:jc w:val="center"/>
            </w:pPr>
            <w:r>
              <w:rPr>
                <w:b w:val="0"/>
                <w:i w:val="0"/>
                <w:sz w:val="20"/>
              </w:rPr>
              <w:t>6 850</w:t>
            </w:r>
          </w:p>
        </w:tc>
        <w:tc>
          <w:tcPr>
            <w:tcW w:type="dxa" w:w="1425"/>
          </w:tcPr>
          <w:p>
            <w:pPr>
              <w:spacing w:after="0" w:line="240" w:lineRule="auto"/>
              <w:ind w:firstLine="0"/>
              <w:jc w:val="center"/>
            </w:pPr>
            <w:r>
              <w:rPr>
                <w:b w:val="0"/>
                <w:i w:val="0"/>
                <w:sz w:val="20"/>
              </w:rPr>
              <w:t>7 420</w:t>
            </w:r>
          </w:p>
        </w:tc>
        <w:tc>
          <w:tcPr>
            <w:tcW w:type="dxa" w:w="1425"/>
          </w:tcPr>
          <w:p>
            <w:pPr>
              <w:spacing w:after="0" w:line="240" w:lineRule="auto"/>
              <w:ind w:firstLine="0"/>
              <w:jc w:val="center"/>
            </w:pPr>
            <w:r>
              <w:rPr>
                <w:b w:val="0"/>
                <w:i w:val="0"/>
                <w:sz w:val="20"/>
              </w:rPr>
              <w:t>9 100</w:t>
            </w:r>
          </w:p>
        </w:tc>
        <w:tc>
          <w:tcPr>
            <w:tcW w:type="dxa" w:w="1425"/>
          </w:tcPr>
          <w:p>
            <w:pPr>
              <w:spacing w:after="0" w:line="240" w:lineRule="auto"/>
              <w:ind w:firstLine="0"/>
              <w:jc w:val="center"/>
            </w:pPr>
            <w:r>
              <w:rPr>
                <w:b w:val="0"/>
                <w:i w:val="0"/>
                <w:sz w:val="20"/>
              </w:rPr>
              <w:t>9 800</w:t>
            </w:r>
          </w:p>
        </w:tc>
        <w:tc>
          <w:tcPr>
            <w:tcW w:type="dxa" w:w="1425"/>
          </w:tcPr>
          <w:p>
            <w:pPr>
              <w:spacing w:after="0" w:line="240" w:lineRule="auto"/>
              <w:ind w:firstLine="0"/>
              <w:jc w:val="center"/>
            </w:pPr>
            <w:r>
              <w:rPr>
                <w:b w:val="0"/>
                <w:i w:val="0"/>
                <w:sz w:val="20"/>
              </w:rPr>
              <w:t>11 500</w:t>
            </w:r>
          </w:p>
        </w:tc>
        <w:tc>
          <w:tcPr>
            <w:tcW w:type="dxa" w:w="1425"/>
          </w:tcPr>
          <w:p>
            <w:pPr>
              <w:spacing w:after="0" w:line="240" w:lineRule="auto"/>
              <w:ind w:firstLine="0"/>
              <w:jc w:val="center"/>
            </w:pPr>
            <w:r>
              <w:rPr>
                <w:b w:val="0"/>
                <w:i w:val="0"/>
                <w:sz w:val="20"/>
              </w:rPr>
              <w:t>13 200</w:t>
            </w:r>
          </w:p>
        </w:tc>
      </w:tr>
      <w:tr>
        <w:tc>
          <w:tcPr>
            <w:tcW w:type="dxa" w:w="1425"/>
          </w:tcPr>
          <w:p>
            <w:pPr>
              <w:spacing w:after="0" w:line="240" w:lineRule="auto"/>
              <w:ind w:firstLine="0"/>
              <w:jc w:val="left"/>
            </w:pPr>
            <w:r>
              <w:rPr>
                <w:b w:val="0"/>
                <w:i w:val="0"/>
                <w:sz w:val="20"/>
              </w:rPr>
              <w:t>Чистая прибыль, млн руб.</w:t>
            </w:r>
          </w:p>
        </w:tc>
        <w:tc>
          <w:tcPr>
            <w:tcW w:type="dxa" w:w="1425"/>
          </w:tcPr>
          <w:p>
            <w:pPr>
              <w:spacing w:after="0" w:line="240" w:lineRule="auto"/>
              <w:ind w:firstLine="0"/>
              <w:jc w:val="center"/>
            </w:pPr>
            <w:r>
              <w:rPr>
                <w:b w:val="0"/>
                <w:i w:val="0"/>
                <w:sz w:val="20"/>
              </w:rPr>
              <w:t>620</w:t>
            </w:r>
          </w:p>
        </w:tc>
        <w:tc>
          <w:tcPr>
            <w:tcW w:type="dxa" w:w="1425"/>
          </w:tcPr>
          <w:p>
            <w:pPr>
              <w:spacing w:after="0" w:line="240" w:lineRule="auto"/>
              <w:ind w:firstLine="0"/>
              <w:jc w:val="center"/>
            </w:pPr>
            <w:r>
              <w:rPr>
                <w:b w:val="0"/>
                <w:i w:val="0"/>
                <w:sz w:val="20"/>
              </w:rPr>
              <w:t>480</w:t>
            </w:r>
          </w:p>
        </w:tc>
        <w:tc>
          <w:tcPr>
            <w:tcW w:type="dxa" w:w="1425"/>
          </w:tcPr>
          <w:p>
            <w:pPr>
              <w:spacing w:after="0" w:line="240" w:lineRule="auto"/>
              <w:ind w:firstLine="0"/>
              <w:jc w:val="center"/>
            </w:pPr>
            <w:r>
              <w:rPr>
                <w:b w:val="0"/>
                <w:i w:val="0"/>
                <w:sz w:val="20"/>
              </w:rPr>
              <w:t>750</w:t>
            </w:r>
          </w:p>
        </w:tc>
        <w:tc>
          <w:tcPr>
            <w:tcW w:type="dxa" w:w="1425"/>
          </w:tcPr>
          <w:p>
            <w:pPr>
              <w:spacing w:after="0" w:line="240" w:lineRule="auto"/>
              <w:ind w:firstLine="0"/>
              <w:jc w:val="center"/>
            </w:pPr>
            <w:r>
              <w:rPr>
                <w:b w:val="0"/>
                <w:i w:val="0"/>
                <w:sz w:val="20"/>
              </w:rPr>
              <w:t>890</w:t>
            </w:r>
          </w:p>
        </w:tc>
        <w:tc>
          <w:tcPr>
            <w:tcW w:type="dxa" w:w="1425"/>
          </w:tcPr>
          <w:p>
            <w:pPr>
              <w:spacing w:after="0" w:line="240" w:lineRule="auto"/>
              <w:ind w:firstLine="0"/>
              <w:jc w:val="center"/>
            </w:pPr>
            <w:r>
              <w:rPr>
                <w:b w:val="0"/>
                <w:i w:val="0"/>
                <w:sz w:val="20"/>
              </w:rPr>
              <w:t>1 250</w:t>
            </w:r>
          </w:p>
        </w:tc>
        <w:tc>
          <w:tcPr>
            <w:tcW w:type="dxa" w:w="1425"/>
          </w:tcPr>
          <w:p>
            <w:pPr>
              <w:spacing w:after="0" w:line="240" w:lineRule="auto"/>
              <w:ind w:firstLine="0"/>
              <w:jc w:val="center"/>
            </w:pPr>
            <w:r>
              <w:rPr>
                <w:b w:val="0"/>
                <w:i w:val="0"/>
                <w:sz w:val="20"/>
              </w:rPr>
              <w:t>1 500</w:t>
            </w:r>
          </w:p>
        </w:tc>
      </w:tr>
      <w:tr>
        <w:tc>
          <w:tcPr>
            <w:tcW w:type="dxa" w:w="1425"/>
          </w:tcPr>
          <w:p>
            <w:pPr>
              <w:spacing w:after="0" w:line="240" w:lineRule="auto"/>
              <w:ind w:firstLine="0"/>
              <w:jc w:val="left"/>
            </w:pPr>
            <w:r>
              <w:rPr>
                <w:b w:val="0"/>
                <w:i w:val="0"/>
                <w:sz w:val="20"/>
              </w:rPr>
              <w:t>Переработка лопарит. концентрата, т</w:t>
            </w:r>
          </w:p>
        </w:tc>
        <w:tc>
          <w:tcPr>
            <w:tcW w:type="dxa" w:w="1425"/>
          </w:tcPr>
          <w:p>
            <w:pPr>
              <w:spacing w:after="0" w:line="240" w:lineRule="auto"/>
              <w:ind w:firstLine="0"/>
              <w:jc w:val="center"/>
            </w:pPr>
            <w:r>
              <w:rPr>
                <w:b w:val="0"/>
                <w:i w:val="0"/>
                <w:sz w:val="20"/>
              </w:rPr>
              <w:t>7 600</w:t>
            </w:r>
          </w:p>
        </w:tc>
        <w:tc>
          <w:tcPr>
            <w:tcW w:type="dxa" w:w="1425"/>
          </w:tcPr>
          <w:p>
            <w:pPr>
              <w:spacing w:after="0" w:line="240" w:lineRule="auto"/>
              <w:ind w:firstLine="0"/>
              <w:jc w:val="center"/>
            </w:pPr>
            <w:r>
              <w:rPr>
                <w:b w:val="0"/>
                <w:i w:val="0"/>
                <w:sz w:val="20"/>
              </w:rPr>
              <w:t>7 100</w:t>
            </w:r>
          </w:p>
        </w:tc>
        <w:tc>
          <w:tcPr>
            <w:tcW w:type="dxa" w:w="1425"/>
          </w:tcPr>
          <w:p>
            <w:pPr>
              <w:spacing w:after="0" w:line="240" w:lineRule="auto"/>
              <w:ind w:firstLine="0"/>
              <w:jc w:val="center"/>
            </w:pPr>
            <w:r>
              <w:rPr>
                <w:b w:val="0"/>
                <w:i w:val="0"/>
                <w:sz w:val="20"/>
              </w:rPr>
              <w:t>6 500</w:t>
            </w:r>
          </w:p>
        </w:tc>
        <w:tc>
          <w:tcPr>
            <w:tcW w:type="dxa" w:w="1425"/>
          </w:tcPr>
          <w:p>
            <w:pPr>
              <w:spacing w:after="0" w:line="240" w:lineRule="auto"/>
              <w:ind w:firstLine="0"/>
              <w:jc w:val="center"/>
            </w:pPr>
            <w:r>
              <w:rPr>
                <w:b w:val="0"/>
                <w:i w:val="0"/>
                <w:sz w:val="20"/>
              </w:rPr>
              <w:t>6 800</w:t>
            </w:r>
          </w:p>
        </w:tc>
        <w:tc>
          <w:tcPr>
            <w:tcW w:type="dxa" w:w="1425"/>
          </w:tcPr>
          <w:p>
            <w:pPr>
              <w:spacing w:after="0" w:line="240" w:lineRule="auto"/>
              <w:ind w:firstLine="0"/>
              <w:jc w:val="center"/>
            </w:pPr>
            <w:r>
              <w:rPr>
                <w:b w:val="0"/>
                <w:i w:val="0"/>
                <w:sz w:val="20"/>
              </w:rPr>
              <w:t>7 200</w:t>
            </w:r>
          </w:p>
        </w:tc>
        <w:tc>
          <w:tcPr>
            <w:tcW w:type="dxa" w:w="1425"/>
          </w:tcPr>
          <w:p>
            <w:pPr>
              <w:spacing w:after="0" w:line="240" w:lineRule="auto"/>
              <w:ind w:firstLine="0"/>
              <w:jc w:val="center"/>
            </w:pPr>
            <w:r>
              <w:rPr>
                <w:b w:val="0"/>
                <w:i w:val="0"/>
                <w:sz w:val="20"/>
              </w:rPr>
              <w:t>7 800</w:t>
            </w:r>
          </w:p>
        </w:tc>
      </w:tr>
      <w:tr>
        <w:tc>
          <w:tcPr>
            <w:tcW w:type="dxa" w:w="1425"/>
          </w:tcPr>
          <w:p>
            <w:pPr>
              <w:spacing w:after="0" w:line="240" w:lineRule="auto"/>
              <w:ind w:firstLine="0"/>
              <w:jc w:val="left"/>
            </w:pPr>
            <w:r>
              <w:rPr>
                <w:b w:val="0"/>
                <w:i w:val="0"/>
                <w:sz w:val="20"/>
              </w:rPr>
              <w:t>Производство карбоната РЗЭ, т</w:t>
            </w:r>
          </w:p>
        </w:tc>
        <w:tc>
          <w:tcPr>
            <w:tcW w:type="dxa" w:w="1425"/>
          </w:tcPr>
          <w:p>
            <w:pPr>
              <w:spacing w:after="0" w:line="240" w:lineRule="auto"/>
              <w:ind w:firstLine="0"/>
              <w:jc w:val="center"/>
            </w:pPr>
            <w:r>
              <w:rPr>
                <w:b w:val="0"/>
                <w:i w:val="0"/>
                <w:sz w:val="20"/>
              </w:rPr>
              <w:t>4 100</w:t>
            </w:r>
          </w:p>
        </w:tc>
        <w:tc>
          <w:tcPr>
            <w:tcW w:type="dxa" w:w="1425"/>
          </w:tcPr>
          <w:p>
            <w:pPr>
              <w:spacing w:after="0" w:line="240" w:lineRule="auto"/>
              <w:ind w:firstLine="0"/>
              <w:jc w:val="center"/>
            </w:pPr>
            <w:r>
              <w:rPr>
                <w:b w:val="0"/>
                <w:i w:val="0"/>
                <w:sz w:val="20"/>
              </w:rPr>
              <w:t>3 850</w:t>
            </w:r>
          </w:p>
        </w:tc>
        <w:tc>
          <w:tcPr>
            <w:tcW w:type="dxa" w:w="1425"/>
          </w:tcPr>
          <w:p>
            <w:pPr>
              <w:spacing w:after="0" w:line="240" w:lineRule="auto"/>
              <w:ind w:firstLine="0"/>
              <w:jc w:val="center"/>
            </w:pPr>
            <w:r>
              <w:rPr>
                <w:b w:val="0"/>
                <w:i w:val="0"/>
                <w:sz w:val="20"/>
              </w:rPr>
              <w:t>3 500</w:t>
            </w:r>
          </w:p>
        </w:tc>
        <w:tc>
          <w:tcPr>
            <w:tcW w:type="dxa" w:w="1425"/>
          </w:tcPr>
          <w:p>
            <w:pPr>
              <w:spacing w:after="0" w:line="240" w:lineRule="auto"/>
              <w:ind w:firstLine="0"/>
              <w:jc w:val="center"/>
            </w:pPr>
            <w:r>
              <w:rPr>
                <w:b w:val="0"/>
                <w:i w:val="0"/>
                <w:sz w:val="20"/>
              </w:rPr>
              <w:t>3 700</w:t>
            </w:r>
          </w:p>
        </w:tc>
        <w:tc>
          <w:tcPr>
            <w:tcW w:type="dxa" w:w="1425"/>
          </w:tcPr>
          <w:p>
            <w:pPr>
              <w:spacing w:after="0" w:line="240" w:lineRule="auto"/>
              <w:ind w:firstLine="0"/>
              <w:jc w:val="center"/>
            </w:pPr>
            <w:r>
              <w:rPr>
                <w:b w:val="0"/>
                <w:i w:val="0"/>
                <w:sz w:val="20"/>
              </w:rPr>
              <w:t>3 950</w:t>
            </w:r>
          </w:p>
        </w:tc>
        <w:tc>
          <w:tcPr>
            <w:tcW w:type="dxa" w:w="1425"/>
          </w:tcPr>
          <w:p>
            <w:pPr>
              <w:spacing w:after="0" w:line="240" w:lineRule="auto"/>
              <w:ind w:firstLine="0"/>
              <w:jc w:val="center"/>
            </w:pPr>
            <w:r>
              <w:rPr>
                <w:b w:val="0"/>
                <w:i w:val="0"/>
                <w:sz w:val="20"/>
              </w:rPr>
              <w:t>4 200</w:t>
            </w:r>
          </w:p>
        </w:tc>
      </w:tr>
      <w:tr>
        <w:tc>
          <w:tcPr>
            <w:tcW w:type="dxa" w:w="1425"/>
          </w:tcPr>
          <w:p>
            <w:pPr>
              <w:spacing w:after="0" w:line="240" w:lineRule="auto"/>
              <w:ind w:firstLine="0"/>
              <w:jc w:val="left"/>
            </w:pPr>
            <w:r>
              <w:rPr>
                <w:b w:val="0"/>
                <w:i w:val="0"/>
                <w:sz w:val="20"/>
              </w:rPr>
              <w:t>TREO в карбонате, т</w:t>
            </w:r>
          </w:p>
        </w:tc>
        <w:tc>
          <w:tcPr>
            <w:tcW w:type="dxa" w:w="1425"/>
          </w:tcPr>
          <w:p>
            <w:pPr>
              <w:spacing w:after="0" w:line="240" w:lineRule="auto"/>
              <w:ind w:firstLine="0"/>
              <w:jc w:val="center"/>
            </w:pPr>
            <w:r>
              <w:rPr>
                <w:b w:val="0"/>
                <w:i w:val="0"/>
                <w:sz w:val="20"/>
              </w:rPr>
              <w:t>2 190</w:t>
            </w:r>
          </w:p>
        </w:tc>
        <w:tc>
          <w:tcPr>
            <w:tcW w:type="dxa" w:w="1425"/>
          </w:tcPr>
          <w:p>
            <w:pPr>
              <w:spacing w:after="0" w:line="240" w:lineRule="auto"/>
              <w:ind w:firstLine="0"/>
              <w:jc w:val="center"/>
            </w:pPr>
            <w:r>
              <w:rPr>
                <w:b w:val="0"/>
                <w:i w:val="0"/>
                <w:sz w:val="20"/>
              </w:rPr>
              <w:t>2 040</w:t>
            </w:r>
          </w:p>
        </w:tc>
        <w:tc>
          <w:tcPr>
            <w:tcW w:type="dxa" w:w="1425"/>
          </w:tcPr>
          <w:p>
            <w:pPr>
              <w:spacing w:after="0" w:line="240" w:lineRule="auto"/>
              <w:ind w:firstLine="0"/>
              <w:jc w:val="center"/>
            </w:pPr>
            <w:r>
              <w:rPr>
                <w:b w:val="0"/>
                <w:i w:val="0"/>
                <w:sz w:val="20"/>
              </w:rPr>
              <w:t>1 850</w:t>
            </w:r>
          </w:p>
        </w:tc>
        <w:tc>
          <w:tcPr>
            <w:tcW w:type="dxa" w:w="1425"/>
          </w:tcPr>
          <w:p>
            <w:pPr>
              <w:spacing w:after="0" w:line="240" w:lineRule="auto"/>
              <w:ind w:firstLine="0"/>
              <w:jc w:val="center"/>
            </w:pPr>
            <w:r>
              <w:rPr>
                <w:b w:val="0"/>
                <w:i w:val="0"/>
                <w:sz w:val="20"/>
              </w:rPr>
              <w:t>1 900</w:t>
            </w:r>
          </w:p>
        </w:tc>
        <w:tc>
          <w:tcPr>
            <w:tcW w:type="dxa" w:w="1425"/>
          </w:tcPr>
          <w:p>
            <w:pPr>
              <w:spacing w:after="0" w:line="240" w:lineRule="auto"/>
              <w:ind w:firstLine="0"/>
              <w:jc w:val="center"/>
            </w:pPr>
            <w:r>
              <w:rPr>
                <w:b w:val="0"/>
                <w:i w:val="0"/>
                <w:sz w:val="20"/>
              </w:rPr>
              <w:t>2 050</w:t>
            </w:r>
          </w:p>
        </w:tc>
        <w:tc>
          <w:tcPr>
            <w:tcW w:type="dxa" w:w="1425"/>
          </w:tcPr>
          <w:p>
            <w:pPr>
              <w:spacing w:after="0" w:line="240" w:lineRule="auto"/>
              <w:ind w:firstLine="0"/>
              <w:jc w:val="center"/>
            </w:pPr>
            <w:r>
              <w:rPr>
                <w:b w:val="0"/>
                <w:i w:val="0"/>
                <w:sz w:val="20"/>
              </w:rPr>
              <w:t>2 200</w:t>
            </w:r>
          </w:p>
        </w:tc>
      </w:tr>
      <w:tr>
        <w:tc>
          <w:tcPr>
            <w:tcW w:type="dxa" w:w="1425"/>
          </w:tcPr>
          <w:p>
            <w:pPr>
              <w:spacing w:after="0" w:line="240" w:lineRule="auto"/>
              <w:ind w:firstLine="0"/>
              <w:jc w:val="left"/>
            </w:pPr>
            <w:r>
              <w:rPr>
                <w:b w:val="0"/>
                <w:i w:val="0"/>
                <w:sz w:val="20"/>
              </w:rPr>
              <w:t>Производство разделённой продукции, т</w:t>
            </w:r>
          </w:p>
        </w:tc>
        <w:tc>
          <w:tcPr>
            <w:tcW w:type="dxa" w:w="1425"/>
          </w:tcPr>
          <w:p>
            <w:pPr>
              <w:spacing w:after="0" w:line="240" w:lineRule="auto"/>
              <w:ind w:firstLine="0"/>
              <w:jc w:val="center"/>
            </w:pPr>
            <w:r>
              <w:rPr>
                <w:b w:val="0"/>
                <w:i w:val="0"/>
                <w:sz w:val="20"/>
              </w:rPr>
              <w:t>90</w:t>
            </w:r>
          </w:p>
        </w:tc>
        <w:tc>
          <w:tcPr>
            <w:tcW w:type="dxa" w:w="1425"/>
          </w:tcPr>
          <w:p>
            <w:pPr>
              <w:spacing w:after="0" w:line="240" w:lineRule="auto"/>
              <w:ind w:firstLine="0"/>
              <w:jc w:val="center"/>
            </w:pPr>
            <w:r>
              <w:rPr>
                <w:b w:val="0"/>
                <w:i w:val="0"/>
                <w:sz w:val="20"/>
              </w:rPr>
              <w:t>180</w:t>
            </w:r>
          </w:p>
        </w:tc>
        <w:tc>
          <w:tcPr>
            <w:tcW w:type="dxa" w:w="1425"/>
          </w:tcPr>
          <w:p>
            <w:pPr>
              <w:spacing w:after="0" w:line="240" w:lineRule="auto"/>
              <w:ind w:firstLine="0"/>
              <w:jc w:val="center"/>
            </w:pPr>
            <w:r>
              <w:rPr>
                <w:b w:val="0"/>
                <w:i w:val="0"/>
                <w:sz w:val="20"/>
              </w:rPr>
              <w:t>260</w:t>
            </w:r>
          </w:p>
        </w:tc>
        <w:tc>
          <w:tcPr>
            <w:tcW w:type="dxa" w:w="1425"/>
          </w:tcPr>
          <w:p>
            <w:pPr>
              <w:spacing w:after="0" w:line="240" w:lineRule="auto"/>
              <w:ind w:firstLine="0"/>
              <w:jc w:val="center"/>
            </w:pPr>
            <w:r>
              <w:rPr>
                <w:b w:val="0"/>
                <w:i w:val="0"/>
                <w:sz w:val="20"/>
              </w:rPr>
              <w:t>310</w:t>
            </w:r>
          </w:p>
        </w:tc>
        <w:tc>
          <w:tcPr>
            <w:tcW w:type="dxa" w:w="1425"/>
          </w:tcPr>
          <w:p>
            <w:pPr>
              <w:spacing w:after="0" w:line="240" w:lineRule="auto"/>
              <w:ind w:firstLine="0"/>
              <w:jc w:val="center"/>
            </w:pPr>
            <w:r>
              <w:rPr>
                <w:b w:val="0"/>
                <w:i w:val="0"/>
                <w:sz w:val="20"/>
              </w:rPr>
              <w:t>380</w:t>
            </w:r>
          </w:p>
        </w:tc>
        <w:tc>
          <w:tcPr>
            <w:tcW w:type="dxa" w:w="1425"/>
          </w:tcPr>
          <w:p>
            <w:pPr>
              <w:spacing w:after="0" w:line="240" w:lineRule="auto"/>
              <w:ind w:firstLine="0"/>
              <w:jc w:val="center"/>
            </w:pPr>
            <w:r>
              <w:rPr>
                <w:b w:val="0"/>
                <w:i w:val="0"/>
                <w:sz w:val="20"/>
              </w:rPr>
              <w:t>450</w:t>
            </w:r>
          </w:p>
        </w:tc>
      </w:tr>
      <w:tr>
        <w:tc>
          <w:tcPr>
            <w:tcW w:type="dxa" w:w="1425"/>
          </w:tcPr>
          <w:p>
            <w:pPr>
              <w:spacing w:after="0" w:line="240" w:lineRule="auto"/>
              <w:ind w:firstLine="0"/>
              <w:jc w:val="left"/>
            </w:pPr>
            <w:r>
              <w:rPr>
                <w:b w:val="0"/>
                <w:i w:val="0"/>
                <w:sz w:val="20"/>
              </w:rPr>
              <w:t>Численность персонала, чел.</w:t>
            </w:r>
          </w:p>
        </w:tc>
        <w:tc>
          <w:tcPr>
            <w:tcW w:type="dxa" w:w="1425"/>
          </w:tcPr>
          <w:p>
            <w:pPr>
              <w:spacing w:after="0" w:line="240" w:lineRule="auto"/>
              <w:ind w:firstLine="0"/>
              <w:jc w:val="center"/>
            </w:pPr>
            <w:r>
              <w:rPr>
                <w:b w:val="0"/>
                <w:i w:val="0"/>
                <w:sz w:val="20"/>
              </w:rPr>
              <w:t>2 100</w:t>
            </w:r>
          </w:p>
        </w:tc>
        <w:tc>
          <w:tcPr>
            <w:tcW w:type="dxa" w:w="1425"/>
          </w:tcPr>
          <w:p>
            <w:pPr>
              <w:spacing w:after="0" w:line="240" w:lineRule="auto"/>
              <w:ind w:firstLine="0"/>
              <w:jc w:val="center"/>
            </w:pPr>
            <w:r>
              <w:rPr>
                <w:b w:val="0"/>
                <w:i w:val="0"/>
                <w:sz w:val="20"/>
              </w:rPr>
              <w:t>2 050</w:t>
            </w:r>
          </w:p>
        </w:tc>
        <w:tc>
          <w:tcPr>
            <w:tcW w:type="dxa" w:w="1425"/>
          </w:tcPr>
          <w:p>
            <w:pPr>
              <w:spacing w:after="0" w:line="240" w:lineRule="auto"/>
              <w:ind w:firstLine="0"/>
              <w:jc w:val="center"/>
            </w:pPr>
            <w:r>
              <w:rPr>
                <w:b w:val="0"/>
                <w:i w:val="0"/>
                <w:sz w:val="20"/>
              </w:rPr>
              <w:t>1 980</w:t>
            </w:r>
          </w:p>
        </w:tc>
        <w:tc>
          <w:tcPr>
            <w:tcW w:type="dxa" w:w="1425"/>
          </w:tcPr>
          <w:p>
            <w:pPr>
              <w:spacing w:after="0" w:line="240" w:lineRule="auto"/>
              <w:ind w:firstLine="0"/>
              <w:jc w:val="center"/>
            </w:pPr>
            <w:r>
              <w:rPr>
                <w:b w:val="0"/>
                <w:i w:val="0"/>
                <w:sz w:val="20"/>
              </w:rPr>
              <w:t>2 020</w:t>
            </w:r>
          </w:p>
        </w:tc>
        <w:tc>
          <w:tcPr>
            <w:tcW w:type="dxa" w:w="1425"/>
          </w:tcPr>
          <w:p>
            <w:pPr>
              <w:spacing w:after="0" w:line="240" w:lineRule="auto"/>
              <w:ind w:firstLine="0"/>
              <w:jc w:val="center"/>
            </w:pPr>
            <w:r>
              <w:rPr>
                <w:b w:val="0"/>
                <w:i w:val="0"/>
                <w:sz w:val="20"/>
              </w:rPr>
              <w:t>2 100</w:t>
            </w:r>
          </w:p>
        </w:tc>
        <w:tc>
          <w:tcPr>
            <w:tcW w:type="dxa" w:w="1425"/>
          </w:tcPr>
          <w:p>
            <w:pPr>
              <w:spacing w:after="0" w:line="240" w:lineRule="auto"/>
              <w:ind w:firstLine="0"/>
              <w:jc w:val="center"/>
            </w:pPr>
            <w:r>
              <w:rPr>
                <w:b w:val="0"/>
                <w:i w:val="0"/>
                <w:sz w:val="20"/>
              </w:rPr>
              <w:t>2 200</w:t>
            </w:r>
          </w:p>
        </w:tc>
      </w:tr>
    </w:tbl>
    <w:p>
      <w:pPr>
        <w:spacing w:after="180"/>
        <w:ind w:firstLine="0"/>
      </w:pPr>
      <w:r>
        <w:rPr>
          <w:i/>
          <w:sz w:val="20"/>
        </w:rPr>
        <w:t>Источник: бухгалтерская отчётность АО «СМЗ», корпоративные раскрытия; данные за 2025 г. — оценка</w:t>
      </w:r>
    </w:p>
    <w:p>
      <w:pPr>
        <w:keepNext/>
        <w:spacing w:before="160" w:after="60"/>
        <w:ind w:firstLine="0"/>
        <w:jc w:val="left"/>
      </w:pPr>
      <w:r>
        <w:rPr>
          <w:b/>
          <w:sz w:val="22"/>
        </w:rPr>
        <w:t>Рисунок 60. Выручка и производство редкоземельной продукции АО «СМЗ», 2018–2025 гг.</w:t>
      </w:r>
    </w:p>
    <w:p>
      <w:pPr>
        <w:ind w:firstLine="0"/>
        <w:jc w:val="center"/>
      </w:pPr>
      <w:r>
        <w:drawing>
          <wp:inline xmlns:a="http://schemas.openxmlformats.org/drawingml/2006/main" xmlns:pic="http://schemas.openxmlformats.org/drawingml/2006/picture">
            <wp:extent cx="5580000" cy="2721261"/>
            <wp:docPr id="60" name="Picture 60"/>
            <wp:cNvGraphicFramePr>
              <a:graphicFrameLocks noChangeAspect="1"/>
            </wp:cNvGraphicFramePr>
            <a:graphic>
              <a:graphicData uri="http://schemas.openxmlformats.org/drawingml/2006/picture">
                <pic:pic>
                  <pic:nvPicPr>
                    <pic:cNvPr id="0" name="fig60.png"/>
                    <pic:cNvPicPr/>
                  </pic:nvPicPr>
                  <pic:blipFill>
                    <a:blip r:embed="rId70"/>
                    <a:stretch>
                      <a:fillRect/>
                    </a:stretch>
                  </pic:blipFill>
                  <pic:spPr>
                    <a:xfrm>
                      <a:off x="0" y="0"/>
                      <a:ext cx="5580000" cy="2721261"/>
                    </a:xfrm>
                    <a:prstGeom prst="rect"/>
                  </pic:spPr>
                </pic:pic>
              </a:graphicData>
            </a:graphic>
          </wp:inline>
        </w:drawing>
      </w:r>
    </w:p>
    <w:p>
      <w:pPr>
        <w:spacing w:after="180"/>
        <w:ind w:firstLine="0"/>
      </w:pPr>
      <w:r>
        <w:rPr>
          <w:i/>
          <w:sz w:val="20"/>
        </w:rPr>
        <w:t>Источник: аналитический центр (табл. 76)</w:t>
      </w:r>
    </w:p>
    <w:p>
      <w:r>
        <w:rPr>
          <w:b/>
          <w:i w:val="0"/>
        </w:rPr>
        <w:t>Стратегические планы.</w:t>
      </w:r>
      <w:r>
        <w:rPr>
          <w:b w:val="0"/>
          <w:i w:val="0"/>
        </w:rPr>
        <w:t xml:space="preserve"> В рамках программы развития, реализуемой ГК «Росатом», заявлены следующие направления:</w:t>
      </w:r>
    </w:p>
    <w:p>
      <w:pPr>
        <w:pStyle w:val="ListNumber"/>
        <w:spacing w:after="20"/>
        <w:ind w:firstLine="0"/>
      </w:pPr>
      <w:r>
        <w:rPr>
          <w:b/>
          <w:i w:val="0"/>
        </w:rPr>
        <w:t>Расширение разделительного производства.</w:t>
      </w:r>
      <w:r>
        <w:rPr>
          <w:b w:val="0"/>
          <w:i w:val="0"/>
        </w:rPr>
        <w:t xml:space="preserve"> Создание полномасштабного экстракционного каскада с выпуском всей номенклатуры индивидуальных оксидов чистотой до 99,99%. Целевая мощность — 2,5–3,0 тыс. т TREO разделённой продукции.</w:t>
      </w:r>
    </w:p>
    <w:p>
      <w:pPr>
        <w:pStyle w:val="ListNumber"/>
        <w:spacing w:after="20"/>
        <w:ind w:firstLine="0"/>
      </w:pPr>
      <w:r>
        <w:rPr>
          <w:b/>
          <w:i w:val="0"/>
        </w:rPr>
        <w:t>Развитие металлургического передела.</w:t>
      </w:r>
      <w:r>
        <w:rPr>
          <w:b w:val="0"/>
          <w:i w:val="0"/>
        </w:rPr>
        <w:t xml:space="preserve"> Производство редкоземельных металлов и лигатур, в том числе сплава NdFeB.</w:t>
      </w:r>
    </w:p>
    <w:p>
      <w:pPr>
        <w:pStyle w:val="ListNumber"/>
        <w:spacing w:after="20"/>
        <w:ind w:firstLine="0"/>
      </w:pPr>
      <w:r>
        <w:rPr>
          <w:b/>
          <w:i w:val="0"/>
        </w:rPr>
        <w:t>Диверсификация сырьевой базы.</w:t>
      </w:r>
      <w:r>
        <w:rPr>
          <w:b w:val="0"/>
          <w:i w:val="0"/>
        </w:rPr>
        <w:t xml:space="preserve"> Переход от исключительно лопаритового сырья к переработке концентратов иных типов (томторские, апатитовые, вторичные).</w:t>
      </w:r>
    </w:p>
    <w:p>
      <w:pPr>
        <w:pStyle w:val="ListNumber"/>
        <w:spacing w:after="20"/>
        <w:ind w:firstLine="0"/>
      </w:pPr>
      <w:r>
        <w:rPr>
          <w:b/>
          <w:i w:val="0"/>
        </w:rPr>
        <w:t>Решение проблемы накопленных радиоактивных отходов.</w:t>
      </w:r>
    </w:p>
    <w:p>
      <w:r>
        <w:rPr>
          <w:b/>
          <w:i w:val="0"/>
        </w:rPr>
        <w:t>Ограничения.</w:t>
      </w:r>
      <w:r>
        <w:rPr>
          <w:b w:val="0"/>
          <w:i w:val="0"/>
        </w:rPr>
        <w:t xml:space="preserve"> Ключевым технологическим ограничением является привязка схемы к хлорной технологии вскрытия лопарита. Переработка сырья иного типа (например, монацитовых или коры выветривания концентратов) требует создания принципиально иного головного передела — сернокислотного или щелочного, что фактически означает строительство нового производства, а не модернизацию существующего.</w:t>
      </w:r>
    </w:p>
    <w:p>
      <w:pPr>
        <w:pStyle w:val="Heading2"/>
      </w:pPr>
      <w:r>
        <w:rPr>
          <w:b w:val="0"/>
          <w:i w:val="0"/>
        </w:rPr>
        <w:t>11.3. Предприятия Государственной корпорации «Росатом»</w:t>
      </w:r>
    </w:p>
    <w:p>
      <w:r>
        <w:rPr>
          <w:b w:val="0"/>
          <w:i w:val="0"/>
        </w:rPr>
        <w:t>Госкорпорация «Росатом» с 2023–2025 гг. является головной организацией, отвечающей за развитие редкоземельной отрасли Российской Федерации. В контур редкометалльного направления входят:</w:t>
      </w:r>
    </w:p>
    <w:p>
      <w:r>
        <w:rPr>
          <w:b/>
          <w:i w:val="0"/>
        </w:rPr>
        <w:t>АО «Русатом МеталлТех»</w:t>
      </w:r>
      <w:r>
        <w:rPr>
          <w:b w:val="0"/>
          <w:i w:val="0"/>
        </w:rPr>
        <w:t xml:space="preserve"> — интегратор направления, отвечающий за развитие производства редких и редкоземельных металлов, металлических порошков и специальных материалов.</w:t>
      </w:r>
    </w:p>
    <w:p>
      <w:r>
        <w:rPr>
          <w:b/>
          <w:i w:val="0"/>
        </w:rPr>
        <w:t>АО «Чепецкий механический завод»</w:t>
      </w:r>
      <w:r>
        <w:rPr>
          <w:b w:val="0"/>
          <w:i w:val="0"/>
        </w:rPr>
        <w:t xml:space="preserve"> (г. Глазов, Удмуртская Республика) — крупнейшее предприятие по производству изделий из циркония, кальция, титана и ниобия. Располагает компетенциями в области металлотермического восстановления, что является технологической основой для производства редкоземельных металлов. На площадке реализуется проект производства постоянных магнитов.</w:t>
      </w:r>
    </w:p>
    <w:p>
      <w:r>
        <w:rPr>
          <w:b/>
          <w:i w:val="0"/>
        </w:rPr>
        <w:t>ООО «Элемаш Магнит»</w:t>
      </w:r>
      <w:r>
        <w:rPr>
          <w:b w:val="0"/>
          <w:i w:val="0"/>
        </w:rPr>
        <w:t xml:space="preserve"> (г. Электросталь, Московская область) — предприятие, создаваемое для производства постоянных магнитов NdFeB. Заявленная первая очередь — 1 тыс. т магнитов в год с выходом к 2030 г. на 3 тыс. т. Проект предусматривает полный цикл: от выплавки сплава strip casting до спекания, механической обработки и нанесения покрытий.</w:t>
      </w:r>
    </w:p>
    <w:p>
      <w:r>
        <w:rPr>
          <w:b/>
          <w:i w:val="0"/>
        </w:rPr>
        <w:t>АО «Далур», АО «Хиагда»</w:t>
      </w:r>
      <w:r>
        <w:rPr>
          <w:b w:val="0"/>
          <w:i w:val="0"/>
        </w:rPr>
        <w:t xml:space="preserve"> — уранодобывающие предприятия, на которых реализуются проекты попутного извлечения скандия и редких земель из продуктивных растворов подземного скважинного выщелачивания.</w:t>
      </w:r>
    </w:p>
    <w:p>
      <w:r>
        <w:rPr>
          <w:b/>
          <w:i w:val="0"/>
        </w:rPr>
        <w:t>АО «Ловозёрский ГОК», АО «СМЗ»</w:t>
      </w:r>
      <w:r>
        <w:rPr>
          <w:b w:val="0"/>
          <w:i w:val="0"/>
        </w:rPr>
        <w:t xml:space="preserve"> — описаны выше.</w:t>
      </w:r>
    </w:p>
    <w:p>
      <w:pPr>
        <w:keepNext/>
        <w:spacing w:before="160" w:after="60"/>
        <w:ind w:firstLine="0"/>
        <w:jc w:val="left"/>
      </w:pPr>
      <w:r>
        <w:rPr>
          <w:b/>
          <w:sz w:val="22"/>
        </w:rPr>
        <w:t>Таблица 77. Предприятия редкометалльного контура ГК «Росатом»</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Предприятие</w:t>
            </w:r>
          </w:p>
        </w:tc>
        <w:tc>
          <w:tcPr>
            <w:tcW w:type="dxa" w:w="2493"/>
            <w:shd w:val="clear" w:fill="DCE6F1"/>
          </w:tcPr>
          <w:p>
            <w:pPr>
              <w:spacing w:after="0" w:line="240" w:lineRule="auto"/>
              <w:ind w:firstLine="0"/>
              <w:jc w:val="center"/>
            </w:pPr>
            <w:r>
              <w:rPr>
                <w:b/>
                <w:i w:val="0"/>
                <w:sz w:val="20"/>
              </w:rPr>
              <w:t>Регион</w:t>
            </w:r>
          </w:p>
        </w:tc>
        <w:tc>
          <w:tcPr>
            <w:tcW w:type="dxa" w:w="2493"/>
            <w:shd w:val="clear" w:fill="DCE6F1"/>
          </w:tcPr>
          <w:p>
            <w:pPr>
              <w:spacing w:after="0" w:line="240" w:lineRule="auto"/>
              <w:ind w:firstLine="0"/>
              <w:jc w:val="center"/>
            </w:pPr>
            <w:r>
              <w:rPr>
                <w:b/>
                <w:i w:val="0"/>
                <w:sz w:val="20"/>
              </w:rPr>
              <w:t>Профиль</w:t>
            </w:r>
          </w:p>
        </w:tc>
        <w:tc>
          <w:tcPr>
            <w:tcW w:type="dxa" w:w="2493"/>
            <w:shd w:val="clear" w:fill="DCE6F1"/>
          </w:tcPr>
          <w:p>
            <w:pPr>
              <w:spacing w:after="0" w:line="240" w:lineRule="auto"/>
              <w:ind w:firstLine="0"/>
              <w:jc w:val="center"/>
            </w:pPr>
            <w:r>
              <w:rPr>
                <w:b/>
                <w:i w:val="0"/>
                <w:sz w:val="20"/>
              </w:rPr>
              <w:t>Целевая мощность</w:t>
            </w:r>
          </w:p>
        </w:tc>
      </w:tr>
      <w:tr>
        <w:tc>
          <w:tcPr>
            <w:tcW w:type="dxa" w:w="2493"/>
          </w:tcPr>
          <w:p>
            <w:pPr>
              <w:spacing w:after="0" w:line="240" w:lineRule="auto"/>
              <w:ind w:firstLine="0"/>
              <w:jc w:val="left"/>
            </w:pPr>
            <w:r>
              <w:rPr>
                <w:b w:val="0"/>
                <w:i w:val="0"/>
                <w:sz w:val="20"/>
              </w:rPr>
              <w:t>ООО «Ловозёрский ГОК»</w:t>
            </w:r>
          </w:p>
        </w:tc>
        <w:tc>
          <w:tcPr>
            <w:tcW w:type="dxa" w:w="2493"/>
          </w:tcPr>
          <w:p>
            <w:pPr>
              <w:spacing w:after="0" w:line="240" w:lineRule="auto"/>
              <w:ind w:firstLine="0"/>
              <w:jc w:val="center"/>
            </w:pPr>
            <w:r>
              <w:rPr>
                <w:b w:val="0"/>
                <w:i w:val="0"/>
                <w:sz w:val="20"/>
              </w:rPr>
              <w:t>Мурманская обл.</w:t>
            </w:r>
          </w:p>
        </w:tc>
        <w:tc>
          <w:tcPr>
            <w:tcW w:type="dxa" w:w="2493"/>
          </w:tcPr>
          <w:p>
            <w:pPr>
              <w:spacing w:after="0" w:line="240" w:lineRule="auto"/>
              <w:ind w:firstLine="0"/>
              <w:jc w:val="center"/>
            </w:pPr>
            <w:r>
              <w:rPr>
                <w:b w:val="0"/>
                <w:i w:val="0"/>
                <w:sz w:val="20"/>
              </w:rPr>
              <w:t>добыча, обогащение</w:t>
            </w:r>
          </w:p>
        </w:tc>
        <w:tc>
          <w:tcPr>
            <w:tcW w:type="dxa" w:w="2493"/>
          </w:tcPr>
          <w:p>
            <w:pPr>
              <w:spacing w:after="0" w:line="240" w:lineRule="auto"/>
              <w:ind w:firstLine="0"/>
              <w:jc w:val="center"/>
            </w:pPr>
            <w:r>
              <w:rPr>
                <w:b w:val="0"/>
                <w:i w:val="0"/>
                <w:sz w:val="20"/>
              </w:rPr>
              <w:t>12–15 тыс. т концентрата</w:t>
            </w:r>
          </w:p>
        </w:tc>
      </w:tr>
      <w:tr>
        <w:tc>
          <w:tcPr>
            <w:tcW w:type="dxa" w:w="2493"/>
          </w:tcPr>
          <w:p>
            <w:pPr>
              <w:spacing w:after="0" w:line="240" w:lineRule="auto"/>
              <w:ind w:firstLine="0"/>
              <w:jc w:val="left"/>
            </w:pPr>
            <w:r>
              <w:rPr>
                <w:b w:val="0"/>
                <w:i w:val="0"/>
                <w:sz w:val="20"/>
              </w:rPr>
              <w:t>АО «СМЗ»</w:t>
            </w:r>
          </w:p>
        </w:tc>
        <w:tc>
          <w:tcPr>
            <w:tcW w:type="dxa" w:w="2493"/>
          </w:tcPr>
          <w:p>
            <w:pPr>
              <w:spacing w:after="0" w:line="240" w:lineRule="auto"/>
              <w:ind w:firstLine="0"/>
              <w:jc w:val="center"/>
            </w:pPr>
            <w:r>
              <w:rPr>
                <w:b w:val="0"/>
                <w:i w:val="0"/>
                <w:sz w:val="20"/>
              </w:rPr>
              <w:t>Пермский край</w:t>
            </w:r>
          </w:p>
        </w:tc>
        <w:tc>
          <w:tcPr>
            <w:tcW w:type="dxa" w:w="2493"/>
          </w:tcPr>
          <w:p>
            <w:pPr>
              <w:spacing w:after="0" w:line="240" w:lineRule="auto"/>
              <w:ind w:firstLine="0"/>
              <w:jc w:val="center"/>
            </w:pPr>
            <w:r>
              <w:rPr>
                <w:b w:val="0"/>
                <w:i w:val="0"/>
                <w:sz w:val="20"/>
              </w:rPr>
              <w:t>вскрытие, разделение</w:t>
            </w:r>
          </w:p>
        </w:tc>
        <w:tc>
          <w:tcPr>
            <w:tcW w:type="dxa" w:w="2493"/>
          </w:tcPr>
          <w:p>
            <w:pPr>
              <w:spacing w:after="0" w:line="240" w:lineRule="auto"/>
              <w:ind w:firstLine="0"/>
              <w:jc w:val="center"/>
            </w:pPr>
            <w:r>
              <w:rPr>
                <w:b w:val="0"/>
                <w:i w:val="0"/>
                <w:sz w:val="20"/>
              </w:rPr>
              <w:t>3 тыс. т TREO разделённой</w:t>
            </w:r>
          </w:p>
        </w:tc>
      </w:tr>
      <w:tr>
        <w:tc>
          <w:tcPr>
            <w:tcW w:type="dxa" w:w="2493"/>
          </w:tcPr>
          <w:p>
            <w:pPr>
              <w:spacing w:after="0" w:line="240" w:lineRule="auto"/>
              <w:ind w:firstLine="0"/>
              <w:jc w:val="left"/>
            </w:pPr>
            <w:r>
              <w:rPr>
                <w:b w:val="0"/>
                <w:i w:val="0"/>
                <w:sz w:val="20"/>
              </w:rPr>
              <w:t>АО «ЧМЗ»</w:t>
            </w:r>
          </w:p>
        </w:tc>
        <w:tc>
          <w:tcPr>
            <w:tcW w:type="dxa" w:w="2493"/>
          </w:tcPr>
          <w:p>
            <w:pPr>
              <w:spacing w:after="0" w:line="240" w:lineRule="auto"/>
              <w:ind w:firstLine="0"/>
              <w:jc w:val="center"/>
            </w:pPr>
            <w:r>
              <w:rPr>
                <w:b w:val="0"/>
                <w:i w:val="0"/>
                <w:sz w:val="20"/>
              </w:rPr>
              <w:t>Удмуртия</w:t>
            </w:r>
          </w:p>
        </w:tc>
        <w:tc>
          <w:tcPr>
            <w:tcW w:type="dxa" w:w="2493"/>
          </w:tcPr>
          <w:p>
            <w:pPr>
              <w:spacing w:after="0" w:line="240" w:lineRule="auto"/>
              <w:ind w:firstLine="0"/>
              <w:jc w:val="center"/>
            </w:pPr>
            <w:r>
              <w:rPr>
                <w:b w:val="0"/>
                <w:i w:val="0"/>
                <w:sz w:val="20"/>
              </w:rPr>
              <w:t>металлургия, магниты</w:t>
            </w:r>
          </w:p>
        </w:tc>
        <w:tc>
          <w:tcPr>
            <w:tcW w:type="dxa" w:w="2493"/>
          </w:tcPr>
          <w:p>
            <w:pPr>
              <w:spacing w:after="0" w:line="240" w:lineRule="auto"/>
              <w:ind w:firstLine="0"/>
              <w:jc w:val="center"/>
            </w:pPr>
            <w:r>
              <w:rPr>
                <w:b w:val="0"/>
                <w:i w:val="0"/>
                <w:sz w:val="20"/>
              </w:rPr>
              <w:t>1 тыс. т магнитов</w:t>
            </w:r>
          </w:p>
        </w:tc>
      </w:tr>
      <w:tr>
        <w:tc>
          <w:tcPr>
            <w:tcW w:type="dxa" w:w="2493"/>
          </w:tcPr>
          <w:p>
            <w:pPr>
              <w:spacing w:after="0" w:line="240" w:lineRule="auto"/>
              <w:ind w:firstLine="0"/>
              <w:jc w:val="left"/>
            </w:pPr>
            <w:r>
              <w:rPr>
                <w:b w:val="0"/>
                <w:i w:val="0"/>
                <w:sz w:val="20"/>
              </w:rPr>
              <w:t>ООО «Элемаш Магнит»</w:t>
            </w:r>
          </w:p>
        </w:tc>
        <w:tc>
          <w:tcPr>
            <w:tcW w:type="dxa" w:w="2493"/>
          </w:tcPr>
          <w:p>
            <w:pPr>
              <w:spacing w:after="0" w:line="240" w:lineRule="auto"/>
              <w:ind w:firstLine="0"/>
              <w:jc w:val="center"/>
            </w:pPr>
            <w:r>
              <w:rPr>
                <w:b w:val="0"/>
                <w:i w:val="0"/>
                <w:sz w:val="20"/>
              </w:rPr>
              <w:t>Московская обл.</w:t>
            </w:r>
          </w:p>
        </w:tc>
        <w:tc>
          <w:tcPr>
            <w:tcW w:type="dxa" w:w="2493"/>
          </w:tcPr>
          <w:p>
            <w:pPr>
              <w:spacing w:after="0" w:line="240" w:lineRule="auto"/>
              <w:ind w:firstLine="0"/>
              <w:jc w:val="center"/>
            </w:pPr>
            <w:r>
              <w:rPr>
                <w:b w:val="0"/>
                <w:i w:val="0"/>
                <w:sz w:val="20"/>
              </w:rPr>
              <w:t>магниты NdFeB</w:t>
            </w:r>
          </w:p>
        </w:tc>
        <w:tc>
          <w:tcPr>
            <w:tcW w:type="dxa" w:w="2493"/>
          </w:tcPr>
          <w:p>
            <w:pPr>
              <w:spacing w:after="0" w:line="240" w:lineRule="auto"/>
              <w:ind w:firstLine="0"/>
              <w:jc w:val="center"/>
            </w:pPr>
            <w:r>
              <w:rPr>
                <w:b w:val="0"/>
                <w:i w:val="0"/>
                <w:sz w:val="20"/>
              </w:rPr>
              <w:t>3 тыс. т к 2030 г.</w:t>
            </w:r>
          </w:p>
        </w:tc>
      </w:tr>
      <w:tr>
        <w:tc>
          <w:tcPr>
            <w:tcW w:type="dxa" w:w="2493"/>
          </w:tcPr>
          <w:p>
            <w:pPr>
              <w:spacing w:after="0" w:line="240" w:lineRule="auto"/>
              <w:ind w:firstLine="0"/>
              <w:jc w:val="left"/>
            </w:pPr>
            <w:r>
              <w:rPr>
                <w:b w:val="0"/>
                <w:i w:val="0"/>
                <w:sz w:val="20"/>
              </w:rPr>
              <w:t>АО «Далур»</w:t>
            </w:r>
          </w:p>
        </w:tc>
        <w:tc>
          <w:tcPr>
            <w:tcW w:type="dxa" w:w="2493"/>
          </w:tcPr>
          <w:p>
            <w:pPr>
              <w:spacing w:after="0" w:line="240" w:lineRule="auto"/>
              <w:ind w:firstLine="0"/>
              <w:jc w:val="center"/>
            </w:pPr>
            <w:r>
              <w:rPr>
                <w:b w:val="0"/>
                <w:i w:val="0"/>
                <w:sz w:val="20"/>
              </w:rPr>
              <w:t>Курганская обл.</w:t>
            </w:r>
          </w:p>
        </w:tc>
        <w:tc>
          <w:tcPr>
            <w:tcW w:type="dxa" w:w="2493"/>
          </w:tcPr>
          <w:p>
            <w:pPr>
              <w:spacing w:after="0" w:line="240" w:lineRule="auto"/>
              <w:ind w:firstLine="0"/>
              <w:jc w:val="center"/>
            </w:pPr>
            <w:r>
              <w:rPr>
                <w:b w:val="0"/>
                <w:i w:val="0"/>
                <w:sz w:val="20"/>
              </w:rPr>
              <w:t>попутный скандий</w:t>
            </w:r>
          </w:p>
        </w:tc>
        <w:tc>
          <w:tcPr>
            <w:tcW w:type="dxa" w:w="2493"/>
          </w:tcPr>
          <w:p>
            <w:pPr>
              <w:spacing w:after="0" w:line="240" w:lineRule="auto"/>
              <w:ind w:firstLine="0"/>
              <w:jc w:val="center"/>
            </w:pPr>
            <w:r>
              <w:rPr>
                <w:b w:val="0"/>
                <w:i w:val="0"/>
                <w:sz w:val="20"/>
              </w:rPr>
              <w:t>5–10 т Sc₂O₃</w:t>
            </w:r>
          </w:p>
        </w:tc>
      </w:tr>
      <w:tr>
        <w:tc>
          <w:tcPr>
            <w:tcW w:type="dxa" w:w="2493"/>
          </w:tcPr>
          <w:p>
            <w:pPr>
              <w:spacing w:after="0" w:line="240" w:lineRule="auto"/>
              <w:ind w:firstLine="0"/>
              <w:jc w:val="left"/>
            </w:pPr>
            <w:r>
              <w:rPr>
                <w:b w:val="0"/>
                <w:i w:val="0"/>
                <w:sz w:val="20"/>
              </w:rPr>
              <w:t>АО «Хиагда»</w:t>
            </w:r>
          </w:p>
        </w:tc>
        <w:tc>
          <w:tcPr>
            <w:tcW w:type="dxa" w:w="2493"/>
          </w:tcPr>
          <w:p>
            <w:pPr>
              <w:spacing w:after="0" w:line="240" w:lineRule="auto"/>
              <w:ind w:firstLine="0"/>
              <w:jc w:val="center"/>
            </w:pPr>
            <w:r>
              <w:rPr>
                <w:b w:val="0"/>
                <w:i w:val="0"/>
                <w:sz w:val="20"/>
              </w:rPr>
              <w:t>Бурятия</w:t>
            </w:r>
          </w:p>
        </w:tc>
        <w:tc>
          <w:tcPr>
            <w:tcW w:type="dxa" w:w="2493"/>
          </w:tcPr>
          <w:p>
            <w:pPr>
              <w:spacing w:after="0" w:line="240" w:lineRule="auto"/>
              <w:ind w:firstLine="0"/>
              <w:jc w:val="center"/>
            </w:pPr>
            <w:r>
              <w:rPr>
                <w:b w:val="0"/>
                <w:i w:val="0"/>
                <w:sz w:val="20"/>
              </w:rPr>
              <w:t>попутный скандий, РЗМ</w:t>
            </w:r>
          </w:p>
        </w:tc>
        <w:tc>
          <w:tcPr>
            <w:tcW w:type="dxa" w:w="2493"/>
          </w:tcPr>
          <w:p>
            <w:pPr>
              <w:spacing w:after="0" w:line="240" w:lineRule="auto"/>
              <w:ind w:firstLine="0"/>
              <w:jc w:val="center"/>
            </w:pPr>
            <w:r>
              <w:rPr>
                <w:b w:val="0"/>
                <w:i w:val="0"/>
                <w:sz w:val="20"/>
              </w:rPr>
              <w:t>опытное производство</w:t>
            </w:r>
          </w:p>
        </w:tc>
      </w:tr>
      <w:tr>
        <w:tc>
          <w:tcPr>
            <w:tcW w:type="dxa" w:w="2493"/>
          </w:tcPr>
          <w:p>
            <w:pPr>
              <w:spacing w:after="0" w:line="240" w:lineRule="auto"/>
              <w:ind w:firstLine="0"/>
              <w:jc w:val="left"/>
            </w:pPr>
            <w:r>
              <w:rPr>
                <w:b w:val="0"/>
                <w:i w:val="0"/>
                <w:sz w:val="20"/>
              </w:rPr>
              <w:t>АО «Русатом МеталлТех»</w:t>
            </w:r>
          </w:p>
        </w:tc>
        <w:tc>
          <w:tcPr>
            <w:tcW w:type="dxa" w:w="2493"/>
          </w:tcPr>
          <w:p>
            <w:pPr>
              <w:spacing w:after="0" w:line="240" w:lineRule="auto"/>
              <w:ind w:firstLine="0"/>
              <w:jc w:val="center"/>
            </w:pPr>
            <w:r>
              <w:rPr>
                <w:b w:val="0"/>
                <w:i w:val="0"/>
                <w:sz w:val="20"/>
              </w:rPr>
              <w:t>Москва</w:t>
            </w:r>
          </w:p>
        </w:tc>
        <w:tc>
          <w:tcPr>
            <w:tcW w:type="dxa" w:w="2493"/>
          </w:tcPr>
          <w:p>
            <w:pPr>
              <w:spacing w:after="0" w:line="240" w:lineRule="auto"/>
              <w:ind w:firstLine="0"/>
              <w:jc w:val="center"/>
            </w:pPr>
            <w:r>
              <w:rPr>
                <w:b w:val="0"/>
                <w:i w:val="0"/>
                <w:sz w:val="20"/>
              </w:rPr>
              <w:t>интеграция направления</w:t>
            </w:r>
          </w:p>
        </w:tc>
        <w:tc>
          <w:tcPr>
            <w:tcW w:type="dxa" w:w="2493"/>
          </w:tcPr>
          <w:p>
            <w:pPr>
              <w:spacing w:after="0" w:line="240" w:lineRule="auto"/>
              <w:ind w:firstLine="0"/>
              <w:jc w:val="center"/>
            </w:pPr>
            <w:r>
              <w:rPr>
                <w:b w:val="0"/>
                <w:i w:val="0"/>
                <w:sz w:val="20"/>
              </w:rPr>
              <w:t>—</w:t>
            </w:r>
          </w:p>
        </w:tc>
      </w:tr>
    </w:tbl>
    <w:p>
      <w:pPr>
        <w:spacing w:after="180"/>
        <w:ind w:firstLine="0"/>
      </w:pPr>
      <w:r>
        <w:rPr>
          <w:i/>
          <w:sz w:val="20"/>
        </w:rPr>
        <w:t>Источник: аналитический центр по данным корпоративных сообщений ГК «Росатом»</w:t>
      </w:r>
    </w:p>
    <w:p>
      <w:r>
        <w:rPr>
          <w:b w:val="0"/>
          <w:i w:val="0"/>
        </w:rPr>
        <w:t xml:space="preserve">Консолидация отрасли в контуре одной госкорпорации имеет как преимущества, так и риски. </w:t>
      </w:r>
      <w:r>
        <w:rPr>
          <w:b/>
          <w:i w:val="0"/>
        </w:rPr>
        <w:t>Преимущества:</w:t>
      </w:r>
      <w:r>
        <w:rPr>
          <w:b w:val="0"/>
          <w:i w:val="0"/>
        </w:rPr>
        <w:t xml:space="preserve"> возможность сквозного планирования цепочки, доступ к инвестиционному ресурсу, наличие компетенций в радиохимии (критично при работе с торийсодержащим сырьём), способность выступать гарантированным потребителем продукции внутри контура. </w:t>
      </w:r>
      <w:r>
        <w:rPr>
          <w:b/>
          <w:i w:val="0"/>
        </w:rPr>
        <w:t>Риски:</w:t>
      </w:r>
      <w:r>
        <w:rPr>
          <w:b w:val="0"/>
          <w:i w:val="0"/>
        </w:rPr>
        <w:t xml:space="preserve"> монопольная структура снижает стимулы к эффективности; отсутствие конкурентного давления затрудняет объективную оценку издержек; концентрация всех проектов в одном центре принятия решений создаёт риск системного сдвига сроков.</w:t>
      </w:r>
    </w:p>
    <w:p>
      <w:pPr>
        <w:pStyle w:val="Heading2"/>
      </w:pPr>
      <w:r>
        <w:rPr>
          <w:b w:val="0"/>
          <w:i w:val="0"/>
        </w:rPr>
        <w:t>11.4. ООО «Скайград» и группа компаний «Скайград»</w:t>
      </w:r>
    </w:p>
    <w:p>
      <w:r>
        <w:rPr>
          <w:b/>
          <w:i w:val="0"/>
        </w:rPr>
        <w:t>Общие сведения.</w:t>
      </w:r>
      <w:r>
        <w:rPr>
          <w:b w:val="0"/>
          <w:i w:val="0"/>
        </w:rPr>
        <w:t xml:space="preserve"> Расположение: Московская область, г. Королёв. Частная компания, с 2010-х гг. развивающая направление извлечения редкоземельных элементов из нетрадиционного сырья — прежде всего фосфогипса.</w:t>
      </w:r>
    </w:p>
    <w:p>
      <w:r>
        <w:rPr>
          <w:b/>
          <w:i w:val="0"/>
        </w:rPr>
        <w:t>Технология.</w:t>
      </w:r>
      <w:r>
        <w:rPr>
          <w:b w:val="0"/>
          <w:i w:val="0"/>
        </w:rPr>
        <w:t xml:space="preserve"> Разработана и доведена до опытно-промышленного уровня схема азотнокислотного выщелачивания фосфогипса с последующей сорбционной концентрацией и экстракционным разделением. Особенность подхода — комплексное использование материала: помимо редких земель, производятся гипсовое вяжущее и очищенный гипс строительного назначения, что улучшает экономику.</w:t>
      </w:r>
    </w:p>
    <w:p>
      <w:r>
        <w:rPr>
          <w:b/>
          <w:i w:val="0"/>
        </w:rPr>
        <w:t>Производственные мощности.</w:t>
      </w:r>
      <w:r>
        <w:rPr>
          <w:b w:val="0"/>
          <w:i w:val="0"/>
        </w:rPr>
        <w:t xml:space="preserve"> Опытно-промышленная установка по разделению в Королёве; заявленная мощность по разделённой продукции — до 300–800 т TREO в год с расширением. Компания производит индивидуальные оксиды лантана, церия, неодима, празеодима, самария, а также концентраты средней группы.</w:t>
      </w:r>
    </w:p>
    <w:p>
      <w:r>
        <w:rPr>
          <w:b/>
          <w:i w:val="0"/>
        </w:rPr>
        <w:t>Значение проекта.</w:t>
      </w:r>
      <w:r>
        <w:rPr>
          <w:b w:val="0"/>
          <w:i w:val="0"/>
        </w:rPr>
        <w:t xml:space="preserve"> «Скайград» является единственным примером в России, когда частная компания самостоятельно создала действующее разделительное производство. Технологически проект важен как демонстрация возможности использования вторичного сырья, ресурс которого в стране практически неограничен. Экономически проект ограничен масштабом: объёмы переработки фосфогипса, необходимые для получения промышленно значимых количеств TREO, требуют размещения производства непосредственно на площадках производителей удобрений.</w:t>
      </w:r>
    </w:p>
    <w:p>
      <w:pPr>
        <w:pStyle w:val="Heading2"/>
      </w:pPr>
      <w:r>
        <w:rPr>
          <w:b w:val="0"/>
          <w:i w:val="0"/>
        </w:rPr>
        <w:t>11.5. Проектные компании и перспективные проекты</w:t>
      </w:r>
    </w:p>
    <w:p>
      <w:pPr>
        <w:pStyle w:val="Heading3"/>
      </w:pPr>
      <w:r>
        <w:rPr>
          <w:b w:val="0"/>
          <w:i w:val="0"/>
        </w:rPr>
        <w:t>11.5.1. Томторский проект</w:t>
      </w:r>
    </w:p>
    <w:p>
      <w:r>
        <w:rPr>
          <w:b/>
          <w:i w:val="0"/>
        </w:rPr>
        <w:t>ООО «Восток Инжиниринг»</w:t>
      </w:r>
      <w:r>
        <w:rPr>
          <w:b w:val="0"/>
          <w:i w:val="0"/>
        </w:rPr>
        <w:t xml:space="preserve"> (ранее — ООО «ТриАрк Майнинг», совместное предприятие структур ПАО «Полюс» и ГК «Ростех») — владелец лицензии на участок Буранный Томторского месторождения.</w:t>
      </w:r>
    </w:p>
    <w:p>
      <w:r>
        <w:rPr>
          <w:b w:val="0"/>
          <w:i w:val="0"/>
        </w:rPr>
        <w:t>История проекта включает несколько итераций проектных решений:</w:t>
      </w:r>
    </w:p>
    <w:p>
      <w:pPr>
        <w:pStyle w:val="ListBullet"/>
        <w:spacing w:after="20"/>
        <w:ind w:firstLine="0"/>
      </w:pPr>
      <w:r>
        <w:rPr>
          <w:b/>
          <w:i w:val="0"/>
        </w:rPr>
        <w:t>первоначальная концепция (2014–2018 гг.):</w:t>
      </w:r>
      <w:r>
        <w:rPr>
          <w:b w:val="0"/>
          <w:i w:val="0"/>
        </w:rPr>
        <w:t xml:space="preserve"> добыча руды на Томторе, вывоз по Севморпути и Оби, переработка на площадке в Краснокаменске (Забайкальский край) с использованием инфраструктуры Приаргунского производственного горно-химического объединения. Проектная мощность — 160 тыс. т руды в год;</w:t>
      </w:r>
    </w:p>
    <w:p>
      <w:pPr>
        <w:pStyle w:val="ListBullet"/>
        <w:spacing w:after="20"/>
        <w:ind w:firstLine="0"/>
      </w:pPr>
      <w:r>
        <w:rPr>
          <w:b/>
          <w:i w:val="0"/>
        </w:rPr>
        <w:t>пересмотр (2019–2022 гг.):</w:t>
      </w:r>
      <w:r>
        <w:rPr>
          <w:b w:val="0"/>
          <w:i w:val="0"/>
        </w:rPr>
        <w:t xml:space="preserve"> проработка альтернативных площадок переработки, в том числе в Забайкалье и на Урале;</w:t>
      </w:r>
    </w:p>
    <w:p>
      <w:pPr>
        <w:pStyle w:val="ListBullet"/>
        <w:spacing w:after="20"/>
        <w:ind w:firstLine="0"/>
      </w:pPr>
      <w:r>
        <w:rPr>
          <w:b/>
          <w:i w:val="0"/>
        </w:rPr>
        <w:t>текущий этап (2023–2025 гг.):</w:t>
      </w:r>
      <w:r>
        <w:rPr>
          <w:b w:val="0"/>
          <w:i w:val="0"/>
        </w:rPr>
        <w:t xml:space="preserve"> рассмотрение проекта в рамках федеральной программы развития отрасли; обсуждение размещения гидрометаллургического передела на действующих площадках Росатома.</w:t>
      </w:r>
    </w:p>
    <w:p>
      <w:r>
        <w:rPr>
          <w:b/>
          <w:i w:val="0"/>
        </w:rPr>
        <w:t>Оценка.</w:t>
      </w:r>
      <w:r>
        <w:rPr>
          <w:b w:val="0"/>
          <w:i w:val="0"/>
        </w:rPr>
        <w:t xml:space="preserve"> Томтор остаётся единственным российским объектом, способным при освоении обеспечить масштаб производства, соответствующий заявленным целевым показателям. Одновременно он является наиболее капиталоёмким и технологически рискованным. Ключевые нерешённые вопросы: выбор и подтверждение технологии вскрытия в промышленном масштабе, обращение с торием, транспортная схема, сбыт избыточных объёмов лёгкой группы.</w:t>
      </w:r>
    </w:p>
    <w:p>
      <w:pPr>
        <w:keepNext/>
        <w:spacing w:before="160" w:after="60"/>
        <w:ind w:firstLine="0"/>
        <w:jc w:val="left"/>
      </w:pPr>
      <w:r>
        <w:rPr>
          <w:b/>
          <w:sz w:val="22"/>
        </w:rPr>
        <w:t>Таблица 78. Основные параметры Томторского проекта (участок Буранный)</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Параметр</w:t>
            </w:r>
          </w:p>
        </w:tc>
        <w:tc>
          <w:tcPr>
            <w:tcW w:type="dxa" w:w="3324"/>
            <w:shd w:val="clear" w:fill="DCE6F1"/>
          </w:tcPr>
          <w:p>
            <w:pPr>
              <w:spacing w:after="0" w:line="240" w:lineRule="auto"/>
              <w:ind w:firstLine="0"/>
              <w:jc w:val="center"/>
            </w:pPr>
            <w:r>
              <w:rPr>
                <w:b/>
                <w:i w:val="0"/>
                <w:sz w:val="20"/>
              </w:rPr>
              <w:t>Значение</w:t>
            </w:r>
          </w:p>
        </w:tc>
        <w:tc>
          <w:tcPr>
            <w:tcW w:type="dxa" w:w="3324"/>
            <w:shd w:val="clear" w:fill="DCE6F1"/>
          </w:tcPr>
          <w:p>
            <w:pPr>
              <w:spacing w:after="0" w:line="240" w:lineRule="auto"/>
              <w:ind w:firstLine="0"/>
              <w:jc w:val="center"/>
            </w:pPr>
            <w:r>
              <w:rPr>
                <w:b/>
                <w:i w:val="0"/>
                <w:sz w:val="20"/>
              </w:rPr>
              <w:t>Примечание</w:t>
            </w:r>
          </w:p>
        </w:tc>
      </w:tr>
      <w:tr>
        <w:tc>
          <w:tcPr>
            <w:tcW w:type="dxa" w:w="3324"/>
          </w:tcPr>
          <w:p>
            <w:pPr>
              <w:spacing w:after="0" w:line="240" w:lineRule="auto"/>
              <w:ind w:firstLine="0"/>
              <w:jc w:val="left"/>
            </w:pPr>
            <w:r>
              <w:rPr>
                <w:b w:val="0"/>
                <w:i w:val="0"/>
                <w:sz w:val="20"/>
              </w:rPr>
              <w:t>Балансовые запасы руды</w:t>
            </w:r>
          </w:p>
        </w:tc>
        <w:tc>
          <w:tcPr>
            <w:tcW w:type="dxa" w:w="3324"/>
          </w:tcPr>
          <w:p>
            <w:pPr>
              <w:spacing w:after="0" w:line="240" w:lineRule="auto"/>
              <w:ind w:firstLine="0"/>
              <w:jc w:val="center"/>
            </w:pPr>
            <w:r>
              <w:rPr>
                <w:b w:val="0"/>
                <w:i w:val="0"/>
                <w:sz w:val="20"/>
              </w:rPr>
              <w:t>42–45 млн т</w:t>
            </w:r>
          </w:p>
        </w:tc>
        <w:tc>
          <w:tcPr>
            <w:tcW w:type="dxa" w:w="3324"/>
          </w:tcPr>
          <w:p>
            <w:pPr>
              <w:spacing w:after="0" w:line="240" w:lineRule="auto"/>
              <w:ind w:firstLine="0"/>
              <w:jc w:val="center"/>
            </w:pPr>
            <w:r>
              <w:rPr>
                <w:b w:val="0"/>
                <w:i w:val="0"/>
                <w:sz w:val="20"/>
              </w:rPr>
              <w:t>категории B+C₁+C₂</w:t>
            </w:r>
          </w:p>
        </w:tc>
      </w:tr>
      <w:tr>
        <w:tc>
          <w:tcPr>
            <w:tcW w:type="dxa" w:w="3324"/>
          </w:tcPr>
          <w:p>
            <w:pPr>
              <w:spacing w:after="0" w:line="240" w:lineRule="auto"/>
              <w:ind w:firstLine="0"/>
              <w:jc w:val="left"/>
            </w:pPr>
            <w:r>
              <w:rPr>
                <w:b w:val="0"/>
                <w:i w:val="0"/>
                <w:sz w:val="20"/>
              </w:rPr>
              <w:t>Среднее содержание TREO</w:t>
            </w:r>
          </w:p>
        </w:tc>
        <w:tc>
          <w:tcPr>
            <w:tcW w:type="dxa" w:w="3324"/>
          </w:tcPr>
          <w:p>
            <w:pPr>
              <w:spacing w:after="0" w:line="240" w:lineRule="auto"/>
              <w:ind w:firstLine="0"/>
              <w:jc w:val="center"/>
            </w:pPr>
            <w:r>
              <w:rPr>
                <w:b w:val="0"/>
                <w:i w:val="0"/>
                <w:sz w:val="20"/>
              </w:rPr>
              <w:t>9,5%</w:t>
            </w:r>
          </w:p>
        </w:tc>
        <w:tc>
          <w:tcPr>
            <w:tcW w:type="dxa" w:w="3324"/>
          </w:tcPr>
          <w:p>
            <w:pPr>
              <w:spacing w:after="0" w:line="240" w:lineRule="auto"/>
              <w:ind w:firstLine="0"/>
              <w:jc w:val="center"/>
            </w:pPr>
            <w:r>
              <w:rPr>
                <w:b w:val="0"/>
                <w:i w:val="0"/>
                <w:sz w:val="20"/>
              </w:rPr>
              <w:t>одно из высших в мире</w:t>
            </w:r>
          </w:p>
        </w:tc>
      </w:tr>
      <w:tr>
        <w:tc>
          <w:tcPr>
            <w:tcW w:type="dxa" w:w="3324"/>
          </w:tcPr>
          <w:p>
            <w:pPr>
              <w:spacing w:after="0" w:line="240" w:lineRule="auto"/>
              <w:ind w:firstLine="0"/>
              <w:jc w:val="left"/>
            </w:pPr>
            <w:r>
              <w:rPr>
                <w:b w:val="0"/>
                <w:i w:val="0"/>
                <w:sz w:val="20"/>
              </w:rPr>
              <w:t>Среднее содержание Nb₂O₅</w:t>
            </w:r>
          </w:p>
        </w:tc>
        <w:tc>
          <w:tcPr>
            <w:tcW w:type="dxa" w:w="3324"/>
          </w:tcPr>
          <w:p>
            <w:pPr>
              <w:spacing w:after="0" w:line="240" w:lineRule="auto"/>
              <w:ind w:firstLine="0"/>
              <w:jc w:val="center"/>
            </w:pPr>
            <w:r>
              <w:rPr>
                <w:b w:val="0"/>
                <w:i w:val="0"/>
                <w:sz w:val="20"/>
              </w:rPr>
              <w:t>6,7%</w:t>
            </w:r>
          </w:p>
        </w:tc>
        <w:tc>
          <w:tcPr>
            <w:tcW w:type="dxa" w:w="3324"/>
          </w:tcPr>
          <w:p>
            <w:pPr>
              <w:spacing w:after="0" w:line="240" w:lineRule="auto"/>
              <w:ind w:firstLine="0"/>
              <w:jc w:val="center"/>
            </w:pPr>
            <w:r>
              <w:rPr>
                <w:b w:val="0"/>
                <w:i w:val="0"/>
                <w:sz w:val="20"/>
              </w:rPr>
              <w:t>попутный компонент</w:t>
            </w:r>
          </w:p>
        </w:tc>
      </w:tr>
      <w:tr>
        <w:tc>
          <w:tcPr>
            <w:tcW w:type="dxa" w:w="3324"/>
          </w:tcPr>
          <w:p>
            <w:pPr>
              <w:spacing w:after="0" w:line="240" w:lineRule="auto"/>
              <w:ind w:firstLine="0"/>
              <w:jc w:val="left"/>
            </w:pPr>
            <w:r>
              <w:rPr>
                <w:b w:val="0"/>
                <w:i w:val="0"/>
                <w:sz w:val="20"/>
              </w:rPr>
              <w:t>Проектная мощность по руде</w:t>
            </w:r>
          </w:p>
        </w:tc>
        <w:tc>
          <w:tcPr>
            <w:tcW w:type="dxa" w:w="3324"/>
          </w:tcPr>
          <w:p>
            <w:pPr>
              <w:spacing w:after="0" w:line="240" w:lineRule="auto"/>
              <w:ind w:firstLine="0"/>
              <w:jc w:val="center"/>
            </w:pPr>
            <w:r>
              <w:rPr>
                <w:b w:val="0"/>
                <w:i w:val="0"/>
                <w:sz w:val="20"/>
              </w:rPr>
              <w:t>160–200 тыс. т/год</w:t>
            </w:r>
          </w:p>
        </w:tc>
        <w:tc>
          <w:tcPr>
            <w:tcW w:type="dxa" w:w="3324"/>
          </w:tcPr>
          <w:p>
            <w:pPr>
              <w:spacing w:after="0" w:line="240" w:lineRule="auto"/>
              <w:ind w:firstLine="0"/>
              <w:jc w:val="center"/>
            </w:pPr>
            <w:r>
              <w:rPr>
                <w:b w:val="0"/>
                <w:i w:val="0"/>
                <w:sz w:val="20"/>
              </w:rPr>
              <w:t>обсуждаемый диапазон</w:t>
            </w:r>
          </w:p>
        </w:tc>
      </w:tr>
      <w:tr>
        <w:tc>
          <w:tcPr>
            <w:tcW w:type="dxa" w:w="3324"/>
          </w:tcPr>
          <w:p>
            <w:pPr>
              <w:spacing w:after="0" w:line="240" w:lineRule="auto"/>
              <w:ind w:firstLine="0"/>
              <w:jc w:val="left"/>
            </w:pPr>
            <w:r>
              <w:rPr>
                <w:b w:val="0"/>
                <w:i w:val="0"/>
                <w:sz w:val="20"/>
              </w:rPr>
              <w:t>Расчётный выпуск TREO</w:t>
            </w:r>
          </w:p>
        </w:tc>
        <w:tc>
          <w:tcPr>
            <w:tcW w:type="dxa" w:w="3324"/>
          </w:tcPr>
          <w:p>
            <w:pPr>
              <w:spacing w:after="0" w:line="240" w:lineRule="auto"/>
              <w:ind w:firstLine="0"/>
              <w:jc w:val="center"/>
            </w:pPr>
            <w:r>
              <w:rPr>
                <w:b w:val="0"/>
                <w:i w:val="0"/>
                <w:sz w:val="20"/>
              </w:rPr>
              <w:t>15–19 тыс. т/год</w:t>
            </w:r>
          </w:p>
        </w:tc>
        <w:tc>
          <w:tcPr>
            <w:tcW w:type="dxa" w:w="3324"/>
          </w:tcPr>
          <w:p>
            <w:pPr>
              <w:spacing w:after="0" w:line="240" w:lineRule="auto"/>
              <w:ind w:firstLine="0"/>
              <w:jc w:val="center"/>
            </w:pPr>
            <w:r>
              <w:rPr>
                <w:b w:val="0"/>
                <w:i w:val="0"/>
                <w:sz w:val="20"/>
              </w:rPr>
              <w:t>при извлечении 90%</w:t>
            </w:r>
          </w:p>
        </w:tc>
      </w:tr>
      <w:tr>
        <w:tc>
          <w:tcPr>
            <w:tcW w:type="dxa" w:w="3324"/>
          </w:tcPr>
          <w:p>
            <w:pPr>
              <w:spacing w:after="0" w:line="240" w:lineRule="auto"/>
              <w:ind w:firstLine="0"/>
              <w:jc w:val="left"/>
            </w:pPr>
            <w:r>
              <w:rPr>
                <w:b w:val="0"/>
                <w:i w:val="0"/>
                <w:sz w:val="20"/>
              </w:rPr>
              <w:t>Расчётный выпуск Nb₂O₅</w:t>
            </w:r>
          </w:p>
        </w:tc>
        <w:tc>
          <w:tcPr>
            <w:tcW w:type="dxa" w:w="3324"/>
          </w:tcPr>
          <w:p>
            <w:pPr>
              <w:spacing w:after="0" w:line="240" w:lineRule="auto"/>
              <w:ind w:firstLine="0"/>
              <w:jc w:val="center"/>
            </w:pPr>
            <w:r>
              <w:rPr>
                <w:b w:val="0"/>
                <w:i w:val="0"/>
                <w:sz w:val="20"/>
              </w:rPr>
              <w:t>10–13 тыс. т/год</w:t>
            </w:r>
          </w:p>
        </w:tc>
        <w:tc>
          <w:tcPr>
            <w:tcW w:type="dxa" w:w="3324"/>
          </w:tcPr>
          <w:p>
            <w:pPr>
              <w:spacing w:after="0" w:line="240" w:lineRule="auto"/>
              <w:ind w:firstLine="0"/>
              <w:jc w:val="center"/>
            </w:pPr>
            <w:r>
              <w:rPr>
                <w:b w:val="0"/>
                <w:i w:val="0"/>
                <w:sz w:val="20"/>
              </w:rPr>
              <w:t>сопоставим с мировым спросом</w:t>
            </w:r>
          </w:p>
        </w:tc>
      </w:tr>
      <w:tr>
        <w:tc>
          <w:tcPr>
            <w:tcW w:type="dxa" w:w="3324"/>
          </w:tcPr>
          <w:p>
            <w:pPr>
              <w:spacing w:after="0" w:line="240" w:lineRule="auto"/>
              <w:ind w:firstLine="0"/>
              <w:jc w:val="left"/>
            </w:pPr>
            <w:r>
              <w:rPr>
                <w:b w:val="0"/>
                <w:i w:val="0"/>
                <w:sz w:val="20"/>
              </w:rPr>
              <w:t>Оценка капитальных затрат</w:t>
            </w:r>
          </w:p>
        </w:tc>
        <w:tc>
          <w:tcPr>
            <w:tcW w:type="dxa" w:w="3324"/>
          </w:tcPr>
          <w:p>
            <w:pPr>
              <w:spacing w:after="0" w:line="240" w:lineRule="auto"/>
              <w:ind w:firstLine="0"/>
              <w:jc w:val="center"/>
            </w:pPr>
            <w:r>
              <w:rPr>
                <w:b w:val="0"/>
                <w:i w:val="0"/>
                <w:sz w:val="20"/>
              </w:rPr>
              <w:t>90–150 млрд руб.</w:t>
            </w:r>
          </w:p>
        </w:tc>
        <w:tc>
          <w:tcPr>
            <w:tcW w:type="dxa" w:w="3324"/>
          </w:tcPr>
          <w:p>
            <w:pPr>
              <w:spacing w:after="0" w:line="240" w:lineRule="auto"/>
              <w:ind w:firstLine="0"/>
              <w:jc w:val="center"/>
            </w:pPr>
            <w:r>
              <w:rPr>
                <w:b w:val="0"/>
                <w:i w:val="0"/>
                <w:sz w:val="20"/>
              </w:rPr>
              <w:t>включая передел</w:t>
            </w:r>
          </w:p>
        </w:tc>
      </w:tr>
      <w:tr>
        <w:tc>
          <w:tcPr>
            <w:tcW w:type="dxa" w:w="3324"/>
          </w:tcPr>
          <w:p>
            <w:pPr>
              <w:spacing w:after="0" w:line="240" w:lineRule="auto"/>
              <w:ind w:firstLine="0"/>
              <w:jc w:val="left"/>
            </w:pPr>
            <w:r>
              <w:rPr>
                <w:b w:val="0"/>
                <w:i w:val="0"/>
                <w:sz w:val="20"/>
              </w:rPr>
              <w:t>Транспортное плечо</w:t>
            </w:r>
          </w:p>
        </w:tc>
        <w:tc>
          <w:tcPr>
            <w:tcW w:type="dxa" w:w="3324"/>
          </w:tcPr>
          <w:p>
            <w:pPr>
              <w:spacing w:after="0" w:line="240" w:lineRule="auto"/>
              <w:ind w:firstLine="0"/>
              <w:jc w:val="center"/>
            </w:pPr>
            <w:r>
              <w:rPr>
                <w:b w:val="0"/>
                <w:i w:val="0"/>
                <w:sz w:val="20"/>
              </w:rPr>
              <w:t>&gt;4 000 км</w:t>
            </w:r>
          </w:p>
        </w:tc>
        <w:tc>
          <w:tcPr>
            <w:tcW w:type="dxa" w:w="3324"/>
          </w:tcPr>
          <w:p>
            <w:pPr>
              <w:spacing w:after="0" w:line="240" w:lineRule="auto"/>
              <w:ind w:firstLine="0"/>
              <w:jc w:val="center"/>
            </w:pPr>
            <w:r>
              <w:rPr>
                <w:b w:val="0"/>
                <w:i w:val="0"/>
                <w:sz w:val="20"/>
              </w:rPr>
              <w:t>зимник + СМП/река</w:t>
            </w:r>
          </w:p>
        </w:tc>
      </w:tr>
      <w:tr>
        <w:tc>
          <w:tcPr>
            <w:tcW w:type="dxa" w:w="3324"/>
          </w:tcPr>
          <w:p>
            <w:pPr>
              <w:spacing w:after="0" w:line="240" w:lineRule="auto"/>
              <w:ind w:firstLine="0"/>
              <w:jc w:val="left"/>
            </w:pPr>
            <w:r>
              <w:rPr>
                <w:b w:val="0"/>
                <w:i w:val="0"/>
                <w:sz w:val="20"/>
              </w:rPr>
              <w:t>Содержание ThO₂</w:t>
            </w:r>
          </w:p>
        </w:tc>
        <w:tc>
          <w:tcPr>
            <w:tcW w:type="dxa" w:w="3324"/>
          </w:tcPr>
          <w:p>
            <w:pPr>
              <w:spacing w:after="0" w:line="240" w:lineRule="auto"/>
              <w:ind w:firstLine="0"/>
              <w:jc w:val="center"/>
            </w:pPr>
            <w:r>
              <w:rPr>
                <w:b w:val="0"/>
                <w:i w:val="0"/>
                <w:sz w:val="20"/>
              </w:rPr>
              <w:t>0,6–1,2%</w:t>
            </w:r>
          </w:p>
        </w:tc>
        <w:tc>
          <w:tcPr>
            <w:tcW w:type="dxa" w:w="3324"/>
          </w:tcPr>
          <w:p>
            <w:pPr>
              <w:spacing w:after="0" w:line="240" w:lineRule="auto"/>
              <w:ind w:firstLine="0"/>
              <w:jc w:val="center"/>
            </w:pPr>
            <w:r>
              <w:rPr>
                <w:b w:val="0"/>
                <w:i w:val="0"/>
                <w:sz w:val="20"/>
              </w:rPr>
              <w:t>радиационное регулирование</w:t>
            </w:r>
          </w:p>
        </w:tc>
      </w:tr>
    </w:tbl>
    <w:p>
      <w:pPr>
        <w:spacing w:after="180"/>
        <w:ind w:firstLine="0"/>
      </w:pPr>
      <w:r>
        <w:rPr>
          <w:i/>
          <w:sz w:val="20"/>
        </w:rPr>
        <w:t>Источник: аналитический центр по данным корпоративных сообщений, публикаций и материалов государственной экспертизы</w:t>
      </w:r>
    </w:p>
    <w:p>
      <w:r>
        <w:rPr>
          <w:b w:val="0"/>
          <w:i w:val="0"/>
        </w:rPr>
        <w:t>Особого внимания заслуживает вопрос ниобия. При выходе на проектную мощность Томтор произведёт 10–13 тыс. т Nb₂O₅ в год, что составляет 12–15% мирового рынка ниобия, находящегося под контролем бразильской CBMM. Реализация такого объёма потребует либо вытеснения существующих поставщиков ценовой конкуренцией, либо принятия решения о неизвлечении ниобия, что ухудшит экономику проекта.</w:t>
      </w:r>
    </w:p>
    <w:p>
      <w:pPr>
        <w:pStyle w:val="Heading3"/>
      </w:pPr>
      <w:r>
        <w:rPr>
          <w:b w:val="0"/>
          <w:i w:val="0"/>
        </w:rPr>
        <w:t>11.5.2. Зашихинский проект</w:t>
      </w:r>
    </w:p>
    <w:p>
      <w:r>
        <w:rPr>
          <w:b/>
          <w:i w:val="0"/>
        </w:rPr>
        <w:t>ООО «Техноинвест Альянс»</w:t>
      </w:r>
      <w:r>
        <w:rPr>
          <w:b w:val="0"/>
          <w:i w:val="0"/>
        </w:rPr>
        <w:t xml:space="preserve"> — владелец лицензии на Зашихинское тантал-ниобий-редкоземельное месторождение (Иркутская область). Проект предусматривает создание горно-обогатительного комбината производительностью до 1 млн т руды в год с выпуском коллективного концентрата.</w:t>
      </w:r>
    </w:p>
    <w:p>
      <w:r>
        <w:rPr>
          <w:b w:val="0"/>
          <w:i w:val="0"/>
        </w:rPr>
        <w:t>Ценность объекта — благоприятная корзина с высокой долей тяжёлой группы (свыше 20%) и иттрия. Ограничение — низкое содержание TREO в руде (0,3%), что при заявленной производительности даёт лишь 0,8–1,2 тыс. т TREO в год.</w:t>
      </w:r>
    </w:p>
    <w:p>
      <w:pPr>
        <w:pStyle w:val="Heading3"/>
      </w:pPr>
      <w:r>
        <w:rPr>
          <w:b w:val="0"/>
          <w:i w:val="0"/>
        </w:rPr>
        <w:t>11.5.3. Проект «Африканда»</w:t>
      </w:r>
    </w:p>
    <w:p>
      <w:r>
        <w:rPr>
          <w:b/>
          <w:i w:val="0"/>
        </w:rPr>
        <w:t>АО «Аркминерал-Ресурс»</w:t>
      </w:r>
      <w:r>
        <w:rPr>
          <w:b w:val="0"/>
          <w:i w:val="0"/>
        </w:rPr>
        <w:t xml:space="preserve"> — освоение Африкандского месторождения перовскит-титаномагнетитовых руд (Мурманская область). Основная продукция — титановое сырьё, редкие земли и ниобий извлекаются попутно. Расчётный выпуск TREO — 1,5–2,0 тыс. т в год. Преимущества: развитая инфраструктура Мурманской области, открытая отработка, отсутствие значимой радиоактивности.</w:t>
      </w:r>
    </w:p>
    <w:p>
      <w:pPr>
        <w:pStyle w:val="Heading3"/>
      </w:pPr>
      <w:r>
        <w:rPr>
          <w:b w:val="0"/>
          <w:i w:val="0"/>
        </w:rPr>
        <w:t>11.5.4. Прочие проекты</w:t>
      </w:r>
    </w:p>
    <w:p>
      <w:r>
        <w:rPr>
          <w:b/>
          <w:i w:val="0"/>
        </w:rPr>
        <w:t>Чуктуконское месторождение</w:t>
      </w:r>
      <w:r>
        <w:rPr>
          <w:b w:val="0"/>
          <w:i w:val="0"/>
        </w:rPr>
        <w:t xml:space="preserve"> (Красноярский край) — рассматривалось в рамках проектов Красноярского края и структур, связанных с ГМК «Норильский никель» и Росатомом. Ключевое преимущество перед Томтором — инфраструктурная доступность.</w:t>
      </w:r>
    </w:p>
    <w:p>
      <w:r>
        <w:rPr>
          <w:b/>
          <w:i w:val="0"/>
        </w:rPr>
        <w:t>Извлечение из апатитового сырья.</w:t>
      </w:r>
      <w:r>
        <w:rPr>
          <w:b w:val="0"/>
          <w:i w:val="0"/>
        </w:rPr>
        <w:t xml:space="preserve"> Проекты ПАО «ФосАгро», АО «Апатит», АО «ЕвроХим», ПАО «Акрон» находятся на стадии НИОКР и опытных установок. Наиболее продвинутые работы связаны с сорбционным извлечением из экстракционной фосфорной кислоты.</w:t>
      </w:r>
    </w:p>
    <w:p>
      <w:r>
        <w:rPr>
          <w:b/>
          <w:i w:val="0"/>
        </w:rPr>
        <w:t>Скандиевое направление.</w:t>
      </w:r>
      <w:r>
        <w:rPr>
          <w:b w:val="0"/>
          <w:i w:val="0"/>
        </w:rPr>
        <w:t xml:space="preserve"> ОК «РУСАЛ» реализует проект извлечения скандия из красных шламов глинозёмного производства (Каменск-Уральский, Ачинск); заявленная мощность — до 10 т Sc₂O₃ в год. Проект имеет самостоятельное значение, поскольку скандий обладает отдельным рынком и высокой удельной стоимостью.</w:t>
      </w:r>
    </w:p>
    <w:p>
      <w:pPr>
        <w:keepNext/>
        <w:spacing w:before="160" w:after="60"/>
        <w:ind w:firstLine="0"/>
        <w:jc w:val="left"/>
      </w:pPr>
      <w:r>
        <w:rPr>
          <w:b/>
          <w:sz w:val="22"/>
        </w:rPr>
        <w:t>Таблица 79. Перспективные редкоземельные проекты Российской Федерации</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Проект</w:t>
            </w:r>
          </w:p>
        </w:tc>
        <w:tc>
          <w:tcPr>
            <w:tcW w:type="dxa" w:w="1662"/>
            <w:shd w:val="clear" w:fill="DCE6F1"/>
          </w:tcPr>
          <w:p>
            <w:pPr>
              <w:spacing w:after="0" w:line="240" w:lineRule="auto"/>
              <w:ind w:firstLine="0"/>
              <w:jc w:val="center"/>
            </w:pPr>
            <w:r>
              <w:rPr>
                <w:b/>
                <w:i w:val="0"/>
                <w:sz w:val="20"/>
              </w:rPr>
              <w:t>Оператор</w:t>
            </w:r>
          </w:p>
        </w:tc>
        <w:tc>
          <w:tcPr>
            <w:tcW w:type="dxa" w:w="1662"/>
            <w:shd w:val="clear" w:fill="DCE6F1"/>
          </w:tcPr>
          <w:p>
            <w:pPr>
              <w:spacing w:after="0" w:line="240" w:lineRule="auto"/>
              <w:ind w:firstLine="0"/>
              <w:jc w:val="center"/>
            </w:pPr>
            <w:r>
              <w:rPr>
                <w:b/>
                <w:i w:val="0"/>
                <w:sz w:val="20"/>
              </w:rPr>
              <w:t>TREO, тыс. т/год</w:t>
            </w:r>
          </w:p>
        </w:tc>
        <w:tc>
          <w:tcPr>
            <w:tcW w:type="dxa" w:w="1662"/>
            <w:shd w:val="clear" w:fill="DCE6F1"/>
          </w:tcPr>
          <w:p>
            <w:pPr>
              <w:spacing w:after="0" w:line="240" w:lineRule="auto"/>
              <w:ind w:firstLine="0"/>
              <w:jc w:val="center"/>
            </w:pPr>
            <w:r>
              <w:rPr>
                <w:b/>
                <w:i w:val="0"/>
                <w:sz w:val="20"/>
              </w:rPr>
              <w:t>CAPEX, млрд руб.</w:t>
            </w:r>
          </w:p>
        </w:tc>
        <w:tc>
          <w:tcPr>
            <w:tcW w:type="dxa" w:w="1662"/>
            <w:shd w:val="clear" w:fill="DCE6F1"/>
          </w:tcPr>
          <w:p>
            <w:pPr>
              <w:spacing w:after="0" w:line="240" w:lineRule="auto"/>
              <w:ind w:firstLine="0"/>
              <w:jc w:val="center"/>
            </w:pPr>
            <w:r>
              <w:rPr>
                <w:b/>
                <w:i w:val="0"/>
                <w:sz w:val="20"/>
              </w:rPr>
              <w:t>Срок пуска</w:t>
            </w:r>
          </w:p>
        </w:tc>
        <w:tc>
          <w:tcPr>
            <w:tcW w:type="dxa" w:w="1662"/>
            <w:shd w:val="clear" w:fill="DCE6F1"/>
          </w:tcPr>
          <w:p>
            <w:pPr>
              <w:spacing w:after="0" w:line="240" w:lineRule="auto"/>
              <w:ind w:firstLine="0"/>
              <w:jc w:val="center"/>
            </w:pPr>
            <w:r>
              <w:rPr>
                <w:b/>
                <w:i w:val="0"/>
                <w:sz w:val="20"/>
              </w:rPr>
              <w:t>Вероятность</w:t>
            </w:r>
          </w:p>
        </w:tc>
      </w:tr>
      <w:tr>
        <w:tc>
          <w:tcPr>
            <w:tcW w:type="dxa" w:w="1662"/>
          </w:tcPr>
          <w:p>
            <w:pPr>
              <w:spacing w:after="0" w:line="240" w:lineRule="auto"/>
              <w:ind w:firstLine="0"/>
              <w:jc w:val="left"/>
            </w:pPr>
            <w:r>
              <w:rPr>
                <w:b w:val="0"/>
                <w:i w:val="0"/>
                <w:sz w:val="20"/>
              </w:rPr>
              <w:t>Томтор (Буранный)</w:t>
            </w:r>
          </w:p>
        </w:tc>
        <w:tc>
          <w:tcPr>
            <w:tcW w:type="dxa" w:w="1662"/>
          </w:tcPr>
          <w:p>
            <w:pPr>
              <w:spacing w:after="0" w:line="240" w:lineRule="auto"/>
              <w:ind w:firstLine="0"/>
              <w:jc w:val="center"/>
            </w:pPr>
            <w:r>
              <w:rPr>
                <w:b w:val="0"/>
                <w:i w:val="0"/>
                <w:sz w:val="20"/>
              </w:rPr>
              <w:t>Восток Инжиниринг</w:t>
            </w:r>
          </w:p>
        </w:tc>
        <w:tc>
          <w:tcPr>
            <w:tcW w:type="dxa" w:w="1662"/>
          </w:tcPr>
          <w:p>
            <w:pPr>
              <w:spacing w:after="0" w:line="240" w:lineRule="auto"/>
              <w:ind w:firstLine="0"/>
              <w:jc w:val="center"/>
            </w:pPr>
            <w:r>
              <w:rPr>
                <w:b w:val="0"/>
                <w:i w:val="0"/>
                <w:sz w:val="20"/>
              </w:rPr>
              <w:t>15–19</w:t>
            </w:r>
          </w:p>
        </w:tc>
        <w:tc>
          <w:tcPr>
            <w:tcW w:type="dxa" w:w="1662"/>
          </w:tcPr>
          <w:p>
            <w:pPr>
              <w:spacing w:after="0" w:line="240" w:lineRule="auto"/>
              <w:ind w:firstLine="0"/>
              <w:jc w:val="center"/>
            </w:pPr>
            <w:r>
              <w:rPr>
                <w:b w:val="0"/>
                <w:i w:val="0"/>
                <w:sz w:val="20"/>
              </w:rPr>
              <w:t>90–150</w:t>
            </w:r>
          </w:p>
        </w:tc>
        <w:tc>
          <w:tcPr>
            <w:tcW w:type="dxa" w:w="1662"/>
          </w:tcPr>
          <w:p>
            <w:pPr>
              <w:spacing w:after="0" w:line="240" w:lineRule="auto"/>
              <w:ind w:firstLine="0"/>
              <w:jc w:val="center"/>
            </w:pPr>
            <w:r>
              <w:rPr>
                <w:b w:val="0"/>
                <w:i w:val="0"/>
                <w:sz w:val="20"/>
              </w:rPr>
              <w:t>2030–2032</w:t>
            </w:r>
          </w:p>
        </w:tc>
        <w:tc>
          <w:tcPr>
            <w:tcW w:type="dxa" w:w="1662"/>
          </w:tcPr>
          <w:p>
            <w:pPr>
              <w:spacing w:after="0" w:line="240" w:lineRule="auto"/>
              <w:ind w:firstLine="0"/>
              <w:jc w:val="center"/>
            </w:pPr>
            <w:r>
              <w:rPr>
                <w:b w:val="0"/>
                <w:i w:val="0"/>
                <w:sz w:val="20"/>
              </w:rPr>
              <w:t>средняя</w:t>
            </w:r>
          </w:p>
        </w:tc>
      </w:tr>
      <w:tr>
        <w:tc>
          <w:tcPr>
            <w:tcW w:type="dxa" w:w="1662"/>
          </w:tcPr>
          <w:p>
            <w:pPr>
              <w:spacing w:after="0" w:line="240" w:lineRule="auto"/>
              <w:ind w:firstLine="0"/>
              <w:jc w:val="left"/>
            </w:pPr>
            <w:r>
              <w:rPr>
                <w:b w:val="0"/>
                <w:i w:val="0"/>
                <w:sz w:val="20"/>
              </w:rPr>
              <w:t>Ловозеро (расширение)</w:t>
            </w:r>
          </w:p>
        </w:tc>
        <w:tc>
          <w:tcPr>
            <w:tcW w:type="dxa" w:w="1662"/>
          </w:tcPr>
          <w:p>
            <w:pPr>
              <w:spacing w:after="0" w:line="240" w:lineRule="auto"/>
              <w:ind w:firstLine="0"/>
              <w:jc w:val="center"/>
            </w:pPr>
            <w:r>
              <w:rPr>
                <w:b w:val="0"/>
                <w:i w:val="0"/>
                <w:sz w:val="20"/>
              </w:rPr>
              <w:t>Ловозёрский ГОК</w:t>
            </w:r>
          </w:p>
        </w:tc>
        <w:tc>
          <w:tcPr>
            <w:tcW w:type="dxa" w:w="1662"/>
          </w:tcPr>
          <w:p>
            <w:pPr>
              <w:spacing w:after="0" w:line="240" w:lineRule="auto"/>
              <w:ind w:firstLine="0"/>
              <w:jc w:val="center"/>
            </w:pPr>
            <w:r>
              <w:rPr>
                <w:b w:val="0"/>
                <w:i w:val="0"/>
                <w:sz w:val="20"/>
              </w:rPr>
              <w:t>4–5</w:t>
            </w:r>
          </w:p>
        </w:tc>
        <w:tc>
          <w:tcPr>
            <w:tcW w:type="dxa" w:w="1662"/>
          </w:tcPr>
          <w:p>
            <w:pPr>
              <w:spacing w:after="0" w:line="240" w:lineRule="auto"/>
              <w:ind w:firstLine="0"/>
              <w:jc w:val="center"/>
            </w:pPr>
            <w:r>
              <w:rPr>
                <w:b w:val="0"/>
                <w:i w:val="0"/>
                <w:sz w:val="20"/>
              </w:rPr>
              <w:t>15–25</w:t>
            </w:r>
          </w:p>
        </w:tc>
        <w:tc>
          <w:tcPr>
            <w:tcW w:type="dxa" w:w="1662"/>
          </w:tcPr>
          <w:p>
            <w:pPr>
              <w:spacing w:after="0" w:line="240" w:lineRule="auto"/>
              <w:ind w:firstLine="0"/>
              <w:jc w:val="center"/>
            </w:pPr>
            <w:r>
              <w:rPr>
                <w:b w:val="0"/>
                <w:i w:val="0"/>
                <w:sz w:val="20"/>
              </w:rPr>
              <w:t>2027–2028</w:t>
            </w:r>
          </w:p>
        </w:tc>
        <w:tc>
          <w:tcPr>
            <w:tcW w:type="dxa" w:w="1662"/>
          </w:tcPr>
          <w:p>
            <w:pPr>
              <w:spacing w:after="0" w:line="240" w:lineRule="auto"/>
              <w:ind w:firstLine="0"/>
              <w:jc w:val="center"/>
            </w:pPr>
            <w:r>
              <w:rPr>
                <w:b w:val="0"/>
                <w:i w:val="0"/>
                <w:sz w:val="20"/>
              </w:rPr>
              <w:t>высокая</w:t>
            </w:r>
          </w:p>
        </w:tc>
      </w:tr>
      <w:tr>
        <w:tc>
          <w:tcPr>
            <w:tcW w:type="dxa" w:w="1662"/>
          </w:tcPr>
          <w:p>
            <w:pPr>
              <w:spacing w:after="0" w:line="240" w:lineRule="auto"/>
              <w:ind w:firstLine="0"/>
              <w:jc w:val="left"/>
            </w:pPr>
            <w:r>
              <w:rPr>
                <w:b w:val="0"/>
                <w:i w:val="0"/>
                <w:sz w:val="20"/>
              </w:rPr>
              <w:t>Африканда</w:t>
            </w:r>
          </w:p>
        </w:tc>
        <w:tc>
          <w:tcPr>
            <w:tcW w:type="dxa" w:w="1662"/>
          </w:tcPr>
          <w:p>
            <w:pPr>
              <w:spacing w:after="0" w:line="240" w:lineRule="auto"/>
              <w:ind w:firstLine="0"/>
              <w:jc w:val="center"/>
            </w:pPr>
            <w:r>
              <w:rPr>
                <w:b w:val="0"/>
                <w:i w:val="0"/>
                <w:sz w:val="20"/>
              </w:rPr>
              <w:t>Аркминерал-Ресурс</w:t>
            </w:r>
          </w:p>
        </w:tc>
        <w:tc>
          <w:tcPr>
            <w:tcW w:type="dxa" w:w="1662"/>
          </w:tcPr>
          <w:p>
            <w:pPr>
              <w:spacing w:after="0" w:line="240" w:lineRule="auto"/>
              <w:ind w:firstLine="0"/>
              <w:jc w:val="center"/>
            </w:pPr>
            <w:r>
              <w:rPr>
                <w:b w:val="0"/>
                <w:i w:val="0"/>
                <w:sz w:val="20"/>
              </w:rPr>
              <w:t>1,5–2,0</w:t>
            </w:r>
          </w:p>
        </w:tc>
        <w:tc>
          <w:tcPr>
            <w:tcW w:type="dxa" w:w="1662"/>
          </w:tcPr>
          <w:p>
            <w:pPr>
              <w:spacing w:after="0" w:line="240" w:lineRule="auto"/>
              <w:ind w:firstLine="0"/>
              <w:jc w:val="center"/>
            </w:pPr>
            <w:r>
              <w:rPr>
                <w:b w:val="0"/>
                <w:i w:val="0"/>
                <w:sz w:val="20"/>
              </w:rPr>
              <w:t>30–45</w:t>
            </w:r>
          </w:p>
        </w:tc>
        <w:tc>
          <w:tcPr>
            <w:tcW w:type="dxa" w:w="1662"/>
          </w:tcPr>
          <w:p>
            <w:pPr>
              <w:spacing w:after="0" w:line="240" w:lineRule="auto"/>
              <w:ind w:firstLine="0"/>
              <w:jc w:val="center"/>
            </w:pPr>
            <w:r>
              <w:rPr>
                <w:b w:val="0"/>
                <w:i w:val="0"/>
                <w:sz w:val="20"/>
              </w:rPr>
              <w:t>2029–2030</w:t>
            </w:r>
          </w:p>
        </w:tc>
        <w:tc>
          <w:tcPr>
            <w:tcW w:type="dxa" w:w="1662"/>
          </w:tcPr>
          <w:p>
            <w:pPr>
              <w:spacing w:after="0" w:line="240" w:lineRule="auto"/>
              <w:ind w:firstLine="0"/>
              <w:jc w:val="center"/>
            </w:pPr>
            <w:r>
              <w:rPr>
                <w:b w:val="0"/>
                <w:i w:val="0"/>
                <w:sz w:val="20"/>
              </w:rPr>
              <w:t>средняя</w:t>
            </w:r>
          </w:p>
        </w:tc>
      </w:tr>
      <w:tr>
        <w:tc>
          <w:tcPr>
            <w:tcW w:type="dxa" w:w="1662"/>
          </w:tcPr>
          <w:p>
            <w:pPr>
              <w:spacing w:after="0" w:line="240" w:lineRule="auto"/>
              <w:ind w:firstLine="0"/>
              <w:jc w:val="left"/>
            </w:pPr>
            <w:r>
              <w:rPr>
                <w:b w:val="0"/>
                <w:i w:val="0"/>
                <w:sz w:val="20"/>
              </w:rPr>
              <w:t>Зашихинское</w:t>
            </w:r>
          </w:p>
        </w:tc>
        <w:tc>
          <w:tcPr>
            <w:tcW w:type="dxa" w:w="1662"/>
          </w:tcPr>
          <w:p>
            <w:pPr>
              <w:spacing w:after="0" w:line="240" w:lineRule="auto"/>
              <w:ind w:firstLine="0"/>
              <w:jc w:val="center"/>
            </w:pPr>
            <w:r>
              <w:rPr>
                <w:b w:val="0"/>
                <w:i w:val="0"/>
                <w:sz w:val="20"/>
              </w:rPr>
              <w:t>Техноинвест Альянс</w:t>
            </w:r>
          </w:p>
        </w:tc>
        <w:tc>
          <w:tcPr>
            <w:tcW w:type="dxa" w:w="1662"/>
          </w:tcPr>
          <w:p>
            <w:pPr>
              <w:spacing w:after="0" w:line="240" w:lineRule="auto"/>
              <w:ind w:firstLine="0"/>
              <w:jc w:val="center"/>
            </w:pPr>
            <w:r>
              <w:rPr>
                <w:b w:val="0"/>
                <w:i w:val="0"/>
                <w:sz w:val="20"/>
              </w:rPr>
              <w:t>0,8–1,2</w:t>
            </w:r>
          </w:p>
        </w:tc>
        <w:tc>
          <w:tcPr>
            <w:tcW w:type="dxa" w:w="1662"/>
          </w:tcPr>
          <w:p>
            <w:pPr>
              <w:spacing w:after="0" w:line="240" w:lineRule="auto"/>
              <w:ind w:firstLine="0"/>
              <w:jc w:val="center"/>
            </w:pPr>
            <w:r>
              <w:rPr>
                <w:b w:val="0"/>
                <w:i w:val="0"/>
                <w:sz w:val="20"/>
              </w:rPr>
              <w:t>20–30</w:t>
            </w:r>
          </w:p>
        </w:tc>
        <w:tc>
          <w:tcPr>
            <w:tcW w:type="dxa" w:w="1662"/>
          </w:tcPr>
          <w:p>
            <w:pPr>
              <w:spacing w:after="0" w:line="240" w:lineRule="auto"/>
              <w:ind w:firstLine="0"/>
              <w:jc w:val="center"/>
            </w:pPr>
            <w:r>
              <w:rPr>
                <w:b w:val="0"/>
                <w:i w:val="0"/>
                <w:sz w:val="20"/>
              </w:rPr>
              <w:t>2029–2031</w:t>
            </w:r>
          </w:p>
        </w:tc>
        <w:tc>
          <w:tcPr>
            <w:tcW w:type="dxa" w:w="1662"/>
          </w:tcPr>
          <w:p>
            <w:pPr>
              <w:spacing w:after="0" w:line="240" w:lineRule="auto"/>
              <w:ind w:firstLine="0"/>
              <w:jc w:val="center"/>
            </w:pPr>
            <w:r>
              <w:rPr>
                <w:b w:val="0"/>
                <w:i w:val="0"/>
                <w:sz w:val="20"/>
              </w:rPr>
              <w:t>средняя</w:t>
            </w:r>
          </w:p>
        </w:tc>
      </w:tr>
      <w:tr>
        <w:tc>
          <w:tcPr>
            <w:tcW w:type="dxa" w:w="1662"/>
          </w:tcPr>
          <w:p>
            <w:pPr>
              <w:spacing w:after="0" w:line="240" w:lineRule="auto"/>
              <w:ind w:firstLine="0"/>
              <w:jc w:val="left"/>
            </w:pPr>
            <w:r>
              <w:rPr>
                <w:b w:val="0"/>
                <w:i w:val="0"/>
                <w:sz w:val="20"/>
              </w:rPr>
              <w:t>Апатит / фосфогипс</w:t>
            </w:r>
          </w:p>
        </w:tc>
        <w:tc>
          <w:tcPr>
            <w:tcW w:type="dxa" w:w="1662"/>
          </w:tcPr>
          <w:p>
            <w:pPr>
              <w:spacing w:after="0" w:line="240" w:lineRule="auto"/>
              <w:ind w:firstLine="0"/>
              <w:jc w:val="center"/>
            </w:pPr>
            <w:r>
              <w:rPr>
                <w:b w:val="0"/>
                <w:i w:val="0"/>
                <w:sz w:val="20"/>
              </w:rPr>
              <w:t>ФосАгро, Скайград</w:t>
            </w:r>
          </w:p>
        </w:tc>
        <w:tc>
          <w:tcPr>
            <w:tcW w:type="dxa" w:w="1662"/>
          </w:tcPr>
          <w:p>
            <w:pPr>
              <w:spacing w:after="0" w:line="240" w:lineRule="auto"/>
              <w:ind w:firstLine="0"/>
              <w:jc w:val="center"/>
            </w:pPr>
            <w:r>
              <w:rPr>
                <w:b w:val="0"/>
                <w:i w:val="0"/>
                <w:sz w:val="20"/>
              </w:rPr>
              <w:t>3–6</w:t>
            </w:r>
          </w:p>
        </w:tc>
        <w:tc>
          <w:tcPr>
            <w:tcW w:type="dxa" w:w="1662"/>
          </w:tcPr>
          <w:p>
            <w:pPr>
              <w:spacing w:after="0" w:line="240" w:lineRule="auto"/>
              <w:ind w:firstLine="0"/>
              <w:jc w:val="center"/>
            </w:pPr>
            <w:r>
              <w:rPr>
                <w:b w:val="0"/>
                <w:i w:val="0"/>
                <w:sz w:val="20"/>
              </w:rPr>
              <w:t>25–40</w:t>
            </w:r>
          </w:p>
        </w:tc>
        <w:tc>
          <w:tcPr>
            <w:tcW w:type="dxa" w:w="1662"/>
          </w:tcPr>
          <w:p>
            <w:pPr>
              <w:spacing w:after="0" w:line="240" w:lineRule="auto"/>
              <w:ind w:firstLine="0"/>
              <w:jc w:val="center"/>
            </w:pPr>
            <w:r>
              <w:rPr>
                <w:b w:val="0"/>
                <w:i w:val="0"/>
                <w:sz w:val="20"/>
              </w:rPr>
              <w:t>2028–2031</w:t>
            </w:r>
          </w:p>
        </w:tc>
        <w:tc>
          <w:tcPr>
            <w:tcW w:type="dxa" w:w="1662"/>
          </w:tcPr>
          <w:p>
            <w:pPr>
              <w:spacing w:after="0" w:line="240" w:lineRule="auto"/>
              <w:ind w:firstLine="0"/>
              <w:jc w:val="center"/>
            </w:pPr>
            <w:r>
              <w:rPr>
                <w:b w:val="0"/>
                <w:i w:val="0"/>
                <w:sz w:val="20"/>
              </w:rPr>
              <w:t>средняя</w:t>
            </w:r>
          </w:p>
        </w:tc>
      </w:tr>
      <w:tr>
        <w:tc>
          <w:tcPr>
            <w:tcW w:type="dxa" w:w="1662"/>
          </w:tcPr>
          <w:p>
            <w:pPr>
              <w:spacing w:after="0" w:line="240" w:lineRule="auto"/>
              <w:ind w:firstLine="0"/>
              <w:jc w:val="left"/>
            </w:pPr>
            <w:r>
              <w:rPr>
                <w:b w:val="0"/>
                <w:i w:val="0"/>
                <w:sz w:val="20"/>
              </w:rPr>
              <w:t>Чуктуконское</w:t>
            </w:r>
          </w:p>
        </w:tc>
        <w:tc>
          <w:tcPr>
            <w:tcW w:type="dxa" w:w="1662"/>
          </w:tcPr>
          <w:p>
            <w:pPr>
              <w:spacing w:after="0" w:line="240" w:lineRule="auto"/>
              <w:ind w:firstLine="0"/>
              <w:jc w:val="center"/>
            </w:pPr>
            <w:r>
              <w:rPr>
                <w:b w:val="0"/>
                <w:i w:val="0"/>
                <w:sz w:val="20"/>
              </w:rPr>
              <w:t>не определён</w:t>
            </w:r>
          </w:p>
        </w:tc>
        <w:tc>
          <w:tcPr>
            <w:tcW w:type="dxa" w:w="1662"/>
          </w:tcPr>
          <w:p>
            <w:pPr>
              <w:spacing w:after="0" w:line="240" w:lineRule="auto"/>
              <w:ind w:firstLine="0"/>
              <w:jc w:val="center"/>
            </w:pPr>
            <w:r>
              <w:rPr>
                <w:b w:val="0"/>
                <w:i w:val="0"/>
                <w:sz w:val="20"/>
              </w:rPr>
              <w:t>5–8</w:t>
            </w:r>
          </w:p>
        </w:tc>
        <w:tc>
          <w:tcPr>
            <w:tcW w:type="dxa" w:w="1662"/>
          </w:tcPr>
          <w:p>
            <w:pPr>
              <w:spacing w:after="0" w:line="240" w:lineRule="auto"/>
              <w:ind w:firstLine="0"/>
              <w:jc w:val="center"/>
            </w:pPr>
            <w:r>
              <w:rPr>
                <w:b w:val="0"/>
                <w:i w:val="0"/>
                <w:sz w:val="20"/>
              </w:rPr>
              <w:t>60–90</w:t>
            </w:r>
          </w:p>
        </w:tc>
        <w:tc>
          <w:tcPr>
            <w:tcW w:type="dxa" w:w="1662"/>
          </w:tcPr>
          <w:p>
            <w:pPr>
              <w:spacing w:after="0" w:line="240" w:lineRule="auto"/>
              <w:ind w:firstLine="0"/>
              <w:jc w:val="center"/>
            </w:pPr>
            <w:r>
              <w:rPr>
                <w:b w:val="0"/>
                <w:i w:val="0"/>
                <w:sz w:val="20"/>
              </w:rPr>
              <w:t>после 2033</w:t>
            </w:r>
          </w:p>
        </w:tc>
        <w:tc>
          <w:tcPr>
            <w:tcW w:type="dxa" w:w="1662"/>
          </w:tcPr>
          <w:p>
            <w:pPr>
              <w:spacing w:after="0" w:line="240" w:lineRule="auto"/>
              <w:ind w:firstLine="0"/>
              <w:jc w:val="center"/>
            </w:pPr>
            <w:r>
              <w:rPr>
                <w:b w:val="0"/>
                <w:i w:val="0"/>
                <w:sz w:val="20"/>
              </w:rPr>
              <w:t>низкая</w:t>
            </w:r>
          </w:p>
        </w:tc>
      </w:tr>
      <w:tr>
        <w:tc>
          <w:tcPr>
            <w:tcW w:type="dxa" w:w="1662"/>
          </w:tcPr>
          <w:p>
            <w:pPr>
              <w:spacing w:after="0" w:line="240" w:lineRule="auto"/>
              <w:ind w:firstLine="0"/>
              <w:jc w:val="left"/>
            </w:pPr>
            <w:r>
              <w:rPr>
                <w:b w:val="0"/>
                <w:i w:val="0"/>
                <w:sz w:val="20"/>
              </w:rPr>
              <w:t>Эвдиалит Ловозера</w:t>
            </w:r>
          </w:p>
        </w:tc>
        <w:tc>
          <w:tcPr>
            <w:tcW w:type="dxa" w:w="1662"/>
          </w:tcPr>
          <w:p>
            <w:pPr>
              <w:spacing w:after="0" w:line="240" w:lineRule="auto"/>
              <w:ind w:firstLine="0"/>
              <w:jc w:val="center"/>
            </w:pPr>
            <w:r>
              <w:rPr>
                <w:b w:val="0"/>
                <w:i w:val="0"/>
                <w:sz w:val="20"/>
              </w:rPr>
              <w:t>Ловозёрский ГОК</w:t>
            </w:r>
          </w:p>
        </w:tc>
        <w:tc>
          <w:tcPr>
            <w:tcW w:type="dxa" w:w="1662"/>
          </w:tcPr>
          <w:p>
            <w:pPr>
              <w:spacing w:after="0" w:line="240" w:lineRule="auto"/>
              <w:ind w:firstLine="0"/>
              <w:jc w:val="center"/>
            </w:pPr>
            <w:r>
              <w:rPr>
                <w:b w:val="0"/>
                <w:i w:val="0"/>
                <w:sz w:val="20"/>
              </w:rPr>
              <w:t>3–5</w:t>
            </w:r>
          </w:p>
        </w:tc>
        <w:tc>
          <w:tcPr>
            <w:tcW w:type="dxa" w:w="1662"/>
          </w:tcPr>
          <w:p>
            <w:pPr>
              <w:spacing w:after="0" w:line="240" w:lineRule="auto"/>
              <w:ind w:firstLine="0"/>
              <w:jc w:val="center"/>
            </w:pPr>
            <w:r>
              <w:rPr>
                <w:b w:val="0"/>
                <w:i w:val="0"/>
                <w:sz w:val="20"/>
              </w:rPr>
              <w:t>40–60</w:t>
            </w:r>
          </w:p>
        </w:tc>
        <w:tc>
          <w:tcPr>
            <w:tcW w:type="dxa" w:w="1662"/>
          </w:tcPr>
          <w:p>
            <w:pPr>
              <w:spacing w:after="0" w:line="240" w:lineRule="auto"/>
              <w:ind w:firstLine="0"/>
              <w:jc w:val="center"/>
            </w:pPr>
            <w:r>
              <w:rPr>
                <w:b w:val="0"/>
                <w:i w:val="0"/>
                <w:sz w:val="20"/>
              </w:rPr>
              <w:t>после 2033</w:t>
            </w:r>
          </w:p>
        </w:tc>
        <w:tc>
          <w:tcPr>
            <w:tcW w:type="dxa" w:w="1662"/>
          </w:tcPr>
          <w:p>
            <w:pPr>
              <w:spacing w:after="0" w:line="240" w:lineRule="auto"/>
              <w:ind w:firstLine="0"/>
              <w:jc w:val="center"/>
            </w:pPr>
            <w:r>
              <w:rPr>
                <w:b w:val="0"/>
                <w:i w:val="0"/>
                <w:sz w:val="20"/>
              </w:rPr>
              <w:t>низкая</w:t>
            </w:r>
          </w:p>
        </w:tc>
      </w:tr>
      <w:tr>
        <w:tc>
          <w:tcPr>
            <w:tcW w:type="dxa" w:w="1662"/>
          </w:tcPr>
          <w:p>
            <w:pPr>
              <w:spacing w:after="0" w:line="240" w:lineRule="auto"/>
              <w:ind w:firstLine="0"/>
              <w:jc w:val="left"/>
            </w:pPr>
            <w:r>
              <w:rPr>
                <w:b w:val="0"/>
                <w:i w:val="0"/>
                <w:sz w:val="20"/>
              </w:rPr>
              <w:t>Катугинское</w:t>
            </w:r>
          </w:p>
        </w:tc>
        <w:tc>
          <w:tcPr>
            <w:tcW w:type="dxa" w:w="1662"/>
          </w:tcPr>
          <w:p>
            <w:pPr>
              <w:spacing w:after="0" w:line="240" w:lineRule="auto"/>
              <w:ind w:firstLine="0"/>
              <w:jc w:val="center"/>
            </w:pPr>
            <w:r>
              <w:rPr>
                <w:b w:val="0"/>
                <w:i w:val="0"/>
                <w:sz w:val="20"/>
              </w:rPr>
              <w:t>не определён</w:t>
            </w:r>
          </w:p>
        </w:tc>
        <w:tc>
          <w:tcPr>
            <w:tcW w:type="dxa" w:w="1662"/>
          </w:tcPr>
          <w:p>
            <w:pPr>
              <w:spacing w:after="0" w:line="240" w:lineRule="auto"/>
              <w:ind w:firstLine="0"/>
              <w:jc w:val="center"/>
            </w:pPr>
            <w:r>
              <w:rPr>
                <w:b w:val="0"/>
                <w:i w:val="0"/>
                <w:sz w:val="20"/>
              </w:rPr>
              <w:t>3–5</w:t>
            </w:r>
          </w:p>
        </w:tc>
        <w:tc>
          <w:tcPr>
            <w:tcW w:type="dxa" w:w="1662"/>
          </w:tcPr>
          <w:p>
            <w:pPr>
              <w:spacing w:after="0" w:line="240" w:lineRule="auto"/>
              <w:ind w:firstLine="0"/>
              <w:jc w:val="center"/>
            </w:pPr>
            <w:r>
              <w:rPr>
                <w:b w:val="0"/>
                <w:i w:val="0"/>
                <w:sz w:val="20"/>
              </w:rPr>
              <w:t>70–110</w:t>
            </w:r>
          </w:p>
        </w:tc>
        <w:tc>
          <w:tcPr>
            <w:tcW w:type="dxa" w:w="1662"/>
          </w:tcPr>
          <w:p>
            <w:pPr>
              <w:spacing w:after="0" w:line="240" w:lineRule="auto"/>
              <w:ind w:firstLine="0"/>
              <w:jc w:val="center"/>
            </w:pPr>
            <w:r>
              <w:rPr>
                <w:b w:val="0"/>
                <w:i w:val="0"/>
                <w:sz w:val="20"/>
              </w:rPr>
              <w:t>после 2035</w:t>
            </w:r>
          </w:p>
        </w:tc>
        <w:tc>
          <w:tcPr>
            <w:tcW w:type="dxa" w:w="1662"/>
          </w:tcPr>
          <w:p>
            <w:pPr>
              <w:spacing w:after="0" w:line="240" w:lineRule="auto"/>
              <w:ind w:firstLine="0"/>
              <w:jc w:val="center"/>
            </w:pPr>
            <w:r>
              <w:rPr>
                <w:b w:val="0"/>
                <w:i w:val="0"/>
                <w:sz w:val="20"/>
              </w:rPr>
              <w:t>низкая</w:t>
            </w:r>
          </w:p>
        </w:tc>
      </w:tr>
      <w:tr>
        <w:tc>
          <w:tcPr>
            <w:tcW w:type="dxa" w:w="1662"/>
          </w:tcPr>
          <w:p>
            <w:pPr>
              <w:spacing w:after="0" w:line="240" w:lineRule="auto"/>
              <w:ind w:firstLine="0"/>
              <w:jc w:val="left"/>
            </w:pPr>
            <w:r>
              <w:rPr>
                <w:b w:val="0"/>
                <w:i w:val="0"/>
                <w:sz w:val="20"/>
              </w:rPr>
              <w:t>Скандий (красные шламы)</w:t>
            </w:r>
          </w:p>
        </w:tc>
        <w:tc>
          <w:tcPr>
            <w:tcW w:type="dxa" w:w="1662"/>
          </w:tcPr>
          <w:p>
            <w:pPr>
              <w:spacing w:after="0" w:line="240" w:lineRule="auto"/>
              <w:ind w:firstLine="0"/>
              <w:jc w:val="center"/>
            </w:pPr>
            <w:r>
              <w:rPr>
                <w:b w:val="0"/>
                <w:i w:val="0"/>
                <w:sz w:val="20"/>
              </w:rPr>
              <w:t>РУСАЛ</w:t>
            </w:r>
          </w:p>
        </w:tc>
        <w:tc>
          <w:tcPr>
            <w:tcW w:type="dxa" w:w="1662"/>
          </w:tcPr>
          <w:p>
            <w:pPr>
              <w:spacing w:after="0" w:line="240" w:lineRule="auto"/>
              <w:ind w:firstLine="0"/>
              <w:jc w:val="center"/>
            </w:pPr>
            <w:r>
              <w:rPr>
                <w:b w:val="0"/>
                <w:i w:val="0"/>
                <w:sz w:val="20"/>
              </w:rPr>
              <w:t>0,01 (Sc)</w:t>
            </w:r>
          </w:p>
        </w:tc>
        <w:tc>
          <w:tcPr>
            <w:tcW w:type="dxa" w:w="1662"/>
          </w:tcPr>
          <w:p>
            <w:pPr>
              <w:spacing w:after="0" w:line="240" w:lineRule="auto"/>
              <w:ind w:firstLine="0"/>
              <w:jc w:val="center"/>
            </w:pPr>
            <w:r>
              <w:rPr>
                <w:b w:val="0"/>
                <w:i w:val="0"/>
                <w:sz w:val="20"/>
              </w:rPr>
              <w:t>3–5</w:t>
            </w:r>
          </w:p>
        </w:tc>
        <w:tc>
          <w:tcPr>
            <w:tcW w:type="dxa" w:w="1662"/>
          </w:tcPr>
          <w:p>
            <w:pPr>
              <w:spacing w:after="0" w:line="240" w:lineRule="auto"/>
              <w:ind w:firstLine="0"/>
              <w:jc w:val="center"/>
            </w:pPr>
            <w:r>
              <w:rPr>
                <w:b w:val="0"/>
                <w:i w:val="0"/>
                <w:sz w:val="20"/>
              </w:rPr>
              <w:t>2027</w:t>
            </w:r>
          </w:p>
        </w:tc>
        <w:tc>
          <w:tcPr>
            <w:tcW w:type="dxa" w:w="1662"/>
          </w:tcPr>
          <w:p>
            <w:pPr>
              <w:spacing w:after="0" w:line="240" w:lineRule="auto"/>
              <w:ind w:firstLine="0"/>
              <w:jc w:val="center"/>
            </w:pPr>
            <w:r>
              <w:rPr>
                <w:b w:val="0"/>
                <w:i w:val="0"/>
                <w:sz w:val="20"/>
              </w:rPr>
              <w:t>высокая</w:t>
            </w:r>
          </w:p>
        </w:tc>
      </w:tr>
    </w:tbl>
    <w:p>
      <w:pPr>
        <w:spacing w:after="180"/>
        <w:ind w:firstLine="0"/>
      </w:pPr>
      <w:r>
        <w:rPr>
          <w:i/>
          <w:sz w:val="20"/>
        </w:rPr>
        <w:t>Источник: аналитический центр по данным корпоративных сообщений, отраслевой прессы и материалов государственных органов</w:t>
      </w:r>
    </w:p>
    <w:p>
      <w:pPr>
        <w:keepNext/>
        <w:spacing w:before="160" w:after="60"/>
        <w:ind w:firstLine="0"/>
        <w:jc w:val="left"/>
      </w:pPr>
      <w:r>
        <w:rPr>
          <w:b/>
          <w:sz w:val="22"/>
        </w:rPr>
        <w:t>Рисунок 61. Потенциальный вклад российских проектов в производство TREO, тыс. т/год</w:t>
      </w:r>
    </w:p>
    <w:p>
      <w:pPr>
        <w:ind w:firstLine="0"/>
        <w:jc w:val="center"/>
      </w:pPr>
      <w:r>
        <w:drawing>
          <wp:inline xmlns:a="http://schemas.openxmlformats.org/drawingml/2006/main" xmlns:pic="http://schemas.openxmlformats.org/drawingml/2006/picture">
            <wp:extent cx="5580000" cy="2403568"/>
            <wp:docPr id="61" name="Picture 61"/>
            <wp:cNvGraphicFramePr>
              <a:graphicFrameLocks noChangeAspect="1"/>
            </wp:cNvGraphicFramePr>
            <a:graphic>
              <a:graphicData uri="http://schemas.openxmlformats.org/drawingml/2006/picture">
                <pic:pic>
                  <pic:nvPicPr>
                    <pic:cNvPr id="0" name="fig61.png"/>
                    <pic:cNvPicPr/>
                  </pic:nvPicPr>
                  <pic:blipFill>
                    <a:blip r:embed="rId71"/>
                    <a:stretch>
                      <a:fillRect/>
                    </a:stretch>
                  </pic:blipFill>
                  <pic:spPr>
                    <a:xfrm>
                      <a:off x="0" y="0"/>
                      <a:ext cx="5580000" cy="2403568"/>
                    </a:xfrm>
                    <a:prstGeom prst="rect"/>
                  </pic:spPr>
                </pic:pic>
              </a:graphicData>
            </a:graphic>
          </wp:inline>
        </w:drawing>
      </w:r>
    </w:p>
    <w:p>
      <w:pPr>
        <w:spacing w:after="180"/>
        <w:ind w:firstLine="0"/>
      </w:pPr>
      <w:r>
        <w:rPr>
          <w:i/>
          <w:sz w:val="20"/>
        </w:rPr>
        <w:t>Источник: аналитический центр (табл. 79)</w:t>
      </w:r>
    </w:p>
    <w:p>
      <w:pPr>
        <w:pStyle w:val="Heading2"/>
      </w:pPr>
      <w:r>
        <w:rPr>
          <w:b w:val="0"/>
          <w:i w:val="0"/>
        </w:rPr>
        <w:t>11.6. Производство постоянных магнитов в Российской Федерации</w:t>
      </w:r>
    </w:p>
    <w:p>
      <w:r>
        <w:rPr>
          <w:b w:val="0"/>
          <w:i w:val="0"/>
        </w:rPr>
        <w:t>Производство постоянных магнитов на основе редкоземельных металлов является наиболее уязвимым звеном российской цепочки. В советский период существовало несколько предприятий, выпускавших магниты SmCo и NdFeB суммарной мощностью порядка 1,0–1,5 тыс. т в год (в том числе на площадках в Москве, Санкт-Петербурге, Новосибирске). К 2000-м гг. эти производства были в основном утрачены.</w:t>
      </w:r>
    </w:p>
    <w:p>
      <w:r>
        <w:rPr>
          <w:b w:val="0"/>
          <w:i w:val="0"/>
        </w:rPr>
        <w:t>По состоянию на 2025 г. в стране действуют:</w:t>
      </w:r>
    </w:p>
    <w:p>
      <w:pPr>
        <w:pStyle w:val="ListBullet"/>
        <w:spacing w:after="20"/>
        <w:ind w:firstLine="0"/>
      </w:pPr>
      <w:r>
        <w:rPr>
          <w:b/>
          <w:i w:val="0"/>
        </w:rPr>
        <w:t>опытные и мелкосерийные производства</w:t>
      </w:r>
      <w:r>
        <w:rPr>
          <w:b w:val="0"/>
          <w:i w:val="0"/>
        </w:rPr>
        <w:t xml:space="preserve"> при научных организациях и предприятиях ОПК, суммарный выпуск которых оценивается в 50–80 т в год;</w:t>
      </w:r>
    </w:p>
    <w:p>
      <w:pPr>
        <w:pStyle w:val="ListBullet"/>
        <w:spacing w:after="20"/>
        <w:ind w:firstLine="0"/>
      </w:pPr>
      <w:r>
        <w:rPr>
          <w:b/>
          <w:i w:val="0"/>
        </w:rPr>
        <w:t>производства связанных магнитов</w:t>
      </w:r>
      <w:r>
        <w:rPr>
          <w:b w:val="0"/>
          <w:i w:val="0"/>
        </w:rPr>
        <w:t xml:space="preserve"> из импортных порошков;</w:t>
      </w:r>
    </w:p>
    <w:p>
      <w:pPr>
        <w:pStyle w:val="ListBullet"/>
        <w:spacing w:after="20"/>
        <w:ind w:firstLine="0"/>
      </w:pPr>
      <w:r>
        <w:rPr>
          <w:b/>
          <w:i w:val="0"/>
        </w:rPr>
        <w:t>производства магнитных систем и сборок</w:t>
      </w:r>
      <w:r>
        <w:rPr>
          <w:b w:val="0"/>
          <w:i w:val="0"/>
        </w:rPr>
        <w:t xml:space="preserve"> из импортных магнитов (наиболее распространённая модель).</w:t>
      </w:r>
    </w:p>
    <w:p>
      <w:r>
        <w:rPr>
          <w:b w:val="0"/>
          <w:i w:val="0"/>
        </w:rPr>
        <w:t>Основной объём потребности покрывается импортом из КНР. Согласно данным раздела 13.3, импорт постоянных магнитов в Россию оценивается в 4,5–6,0 тыс. т в год.</w:t>
      </w:r>
    </w:p>
    <w:p>
      <w:r>
        <w:rPr>
          <w:b w:val="0"/>
          <w:i w:val="0"/>
        </w:rPr>
        <w:t>Реализуемые проекты создания промышленного производства:</w:t>
      </w:r>
    </w:p>
    <w:p>
      <w:pPr>
        <w:keepNext/>
        <w:spacing w:before="160" w:after="60"/>
        <w:ind w:firstLine="0"/>
        <w:jc w:val="left"/>
      </w:pPr>
      <w:r>
        <w:rPr>
          <w:b/>
          <w:sz w:val="22"/>
        </w:rPr>
        <w:t>Таблица 80. Проекты создания производства постоянных магнитов в Российской Федерации</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Проект</w:t>
            </w:r>
          </w:p>
        </w:tc>
        <w:tc>
          <w:tcPr>
            <w:tcW w:type="dxa" w:w="1995"/>
            <w:shd w:val="clear" w:fill="DCE6F1"/>
          </w:tcPr>
          <w:p>
            <w:pPr>
              <w:spacing w:after="0" w:line="240" w:lineRule="auto"/>
              <w:ind w:firstLine="0"/>
              <w:jc w:val="center"/>
            </w:pPr>
            <w:r>
              <w:rPr>
                <w:b/>
                <w:i w:val="0"/>
                <w:sz w:val="20"/>
              </w:rPr>
              <w:t>Оператор</w:t>
            </w:r>
          </w:p>
        </w:tc>
        <w:tc>
          <w:tcPr>
            <w:tcW w:type="dxa" w:w="1995"/>
            <w:shd w:val="clear" w:fill="DCE6F1"/>
          </w:tcPr>
          <w:p>
            <w:pPr>
              <w:spacing w:after="0" w:line="240" w:lineRule="auto"/>
              <w:ind w:firstLine="0"/>
              <w:jc w:val="center"/>
            </w:pPr>
            <w:r>
              <w:rPr>
                <w:b/>
                <w:i w:val="0"/>
                <w:sz w:val="20"/>
              </w:rPr>
              <w:t>Мощность, т/год</w:t>
            </w:r>
          </w:p>
        </w:tc>
        <w:tc>
          <w:tcPr>
            <w:tcW w:type="dxa" w:w="1995"/>
            <w:shd w:val="clear" w:fill="DCE6F1"/>
          </w:tcPr>
          <w:p>
            <w:pPr>
              <w:spacing w:after="0" w:line="240" w:lineRule="auto"/>
              <w:ind w:firstLine="0"/>
              <w:jc w:val="center"/>
            </w:pPr>
            <w:r>
              <w:rPr>
                <w:b/>
                <w:i w:val="0"/>
                <w:sz w:val="20"/>
              </w:rPr>
              <w:t>Срок</w:t>
            </w:r>
          </w:p>
        </w:tc>
        <w:tc>
          <w:tcPr>
            <w:tcW w:type="dxa" w:w="1995"/>
            <w:shd w:val="clear" w:fill="DCE6F1"/>
          </w:tcPr>
          <w:p>
            <w:pPr>
              <w:spacing w:after="0" w:line="240" w:lineRule="auto"/>
              <w:ind w:firstLine="0"/>
              <w:jc w:val="center"/>
            </w:pPr>
            <w:r>
              <w:rPr>
                <w:b/>
                <w:i w:val="0"/>
                <w:sz w:val="20"/>
              </w:rPr>
              <w:t>Состояние</w:t>
            </w:r>
          </w:p>
        </w:tc>
      </w:tr>
      <w:tr>
        <w:tc>
          <w:tcPr>
            <w:tcW w:type="dxa" w:w="1995"/>
          </w:tcPr>
          <w:p>
            <w:pPr>
              <w:spacing w:after="0" w:line="240" w:lineRule="auto"/>
              <w:ind w:firstLine="0"/>
              <w:jc w:val="left"/>
            </w:pPr>
            <w:r>
              <w:rPr>
                <w:b w:val="0"/>
                <w:i w:val="0"/>
                <w:sz w:val="20"/>
              </w:rPr>
              <w:t>Элемаш Магнит (1-я очередь)</w:t>
            </w:r>
          </w:p>
        </w:tc>
        <w:tc>
          <w:tcPr>
            <w:tcW w:type="dxa" w:w="1995"/>
          </w:tcPr>
          <w:p>
            <w:pPr>
              <w:spacing w:after="0" w:line="240" w:lineRule="auto"/>
              <w:ind w:firstLine="0"/>
              <w:jc w:val="center"/>
            </w:pPr>
            <w:r>
              <w:rPr>
                <w:b w:val="0"/>
                <w:i w:val="0"/>
                <w:sz w:val="20"/>
              </w:rPr>
              <w:t>ГК «Росатом»</w:t>
            </w:r>
          </w:p>
        </w:tc>
        <w:tc>
          <w:tcPr>
            <w:tcW w:type="dxa" w:w="1995"/>
          </w:tcPr>
          <w:p>
            <w:pPr>
              <w:spacing w:after="0" w:line="240" w:lineRule="auto"/>
              <w:ind w:firstLine="0"/>
              <w:jc w:val="center"/>
            </w:pPr>
            <w:r>
              <w:rPr>
                <w:b w:val="0"/>
                <w:i w:val="0"/>
                <w:sz w:val="20"/>
              </w:rPr>
              <w:t>1 000</w:t>
            </w:r>
          </w:p>
        </w:tc>
        <w:tc>
          <w:tcPr>
            <w:tcW w:type="dxa" w:w="1995"/>
          </w:tcPr>
          <w:p>
            <w:pPr>
              <w:spacing w:after="0" w:line="240" w:lineRule="auto"/>
              <w:ind w:firstLine="0"/>
              <w:jc w:val="center"/>
            </w:pPr>
            <w:r>
              <w:rPr>
                <w:b w:val="0"/>
                <w:i w:val="0"/>
                <w:sz w:val="20"/>
              </w:rPr>
              <w:t>2026–2027</w:t>
            </w:r>
          </w:p>
        </w:tc>
        <w:tc>
          <w:tcPr>
            <w:tcW w:type="dxa" w:w="1995"/>
          </w:tcPr>
          <w:p>
            <w:pPr>
              <w:spacing w:after="0" w:line="240" w:lineRule="auto"/>
              <w:ind w:firstLine="0"/>
              <w:jc w:val="center"/>
            </w:pPr>
            <w:r>
              <w:rPr>
                <w:b w:val="0"/>
                <w:i w:val="0"/>
                <w:sz w:val="20"/>
              </w:rPr>
              <w:t>строительство</w:t>
            </w:r>
          </w:p>
        </w:tc>
      </w:tr>
      <w:tr>
        <w:tc>
          <w:tcPr>
            <w:tcW w:type="dxa" w:w="1995"/>
          </w:tcPr>
          <w:p>
            <w:pPr>
              <w:spacing w:after="0" w:line="240" w:lineRule="auto"/>
              <w:ind w:firstLine="0"/>
              <w:jc w:val="left"/>
            </w:pPr>
            <w:r>
              <w:rPr>
                <w:b w:val="0"/>
                <w:i w:val="0"/>
                <w:sz w:val="20"/>
              </w:rPr>
              <w:t>Элемаш Магнит (2-я очередь)</w:t>
            </w:r>
          </w:p>
        </w:tc>
        <w:tc>
          <w:tcPr>
            <w:tcW w:type="dxa" w:w="1995"/>
          </w:tcPr>
          <w:p>
            <w:pPr>
              <w:spacing w:after="0" w:line="240" w:lineRule="auto"/>
              <w:ind w:firstLine="0"/>
              <w:jc w:val="center"/>
            </w:pPr>
            <w:r>
              <w:rPr>
                <w:b w:val="0"/>
                <w:i w:val="0"/>
                <w:sz w:val="20"/>
              </w:rPr>
              <w:t>ГК «Росатом»</w:t>
            </w:r>
          </w:p>
        </w:tc>
        <w:tc>
          <w:tcPr>
            <w:tcW w:type="dxa" w:w="1995"/>
          </w:tcPr>
          <w:p>
            <w:pPr>
              <w:spacing w:after="0" w:line="240" w:lineRule="auto"/>
              <w:ind w:firstLine="0"/>
              <w:jc w:val="center"/>
            </w:pPr>
            <w:r>
              <w:rPr>
                <w:b w:val="0"/>
                <w:i w:val="0"/>
                <w:sz w:val="20"/>
              </w:rPr>
              <w:t>3 000</w:t>
            </w:r>
          </w:p>
        </w:tc>
        <w:tc>
          <w:tcPr>
            <w:tcW w:type="dxa" w:w="1995"/>
          </w:tcPr>
          <w:p>
            <w:pPr>
              <w:spacing w:after="0" w:line="240" w:lineRule="auto"/>
              <w:ind w:firstLine="0"/>
              <w:jc w:val="center"/>
            </w:pPr>
            <w:r>
              <w:rPr>
                <w:b w:val="0"/>
                <w:i w:val="0"/>
                <w:sz w:val="20"/>
              </w:rPr>
              <w:t>2030</w:t>
            </w:r>
          </w:p>
        </w:tc>
        <w:tc>
          <w:tcPr>
            <w:tcW w:type="dxa" w:w="1995"/>
          </w:tcPr>
          <w:p>
            <w:pPr>
              <w:spacing w:after="0" w:line="240" w:lineRule="auto"/>
              <w:ind w:firstLine="0"/>
              <w:jc w:val="center"/>
            </w:pPr>
            <w:r>
              <w:rPr>
                <w:b w:val="0"/>
                <w:i w:val="0"/>
                <w:sz w:val="20"/>
              </w:rPr>
              <w:t>проектирование</w:t>
            </w:r>
          </w:p>
        </w:tc>
      </w:tr>
      <w:tr>
        <w:tc>
          <w:tcPr>
            <w:tcW w:type="dxa" w:w="1995"/>
          </w:tcPr>
          <w:p>
            <w:pPr>
              <w:spacing w:after="0" w:line="240" w:lineRule="auto"/>
              <w:ind w:firstLine="0"/>
              <w:jc w:val="left"/>
            </w:pPr>
            <w:r>
              <w:rPr>
                <w:b w:val="0"/>
                <w:i w:val="0"/>
                <w:sz w:val="20"/>
              </w:rPr>
              <w:t>Магнитное производство ЧМЗ</w:t>
            </w:r>
          </w:p>
        </w:tc>
        <w:tc>
          <w:tcPr>
            <w:tcW w:type="dxa" w:w="1995"/>
          </w:tcPr>
          <w:p>
            <w:pPr>
              <w:spacing w:after="0" w:line="240" w:lineRule="auto"/>
              <w:ind w:firstLine="0"/>
              <w:jc w:val="center"/>
            </w:pPr>
            <w:r>
              <w:rPr>
                <w:b w:val="0"/>
                <w:i w:val="0"/>
                <w:sz w:val="20"/>
              </w:rPr>
              <w:t>ГК «Росатом»</w:t>
            </w:r>
          </w:p>
        </w:tc>
        <w:tc>
          <w:tcPr>
            <w:tcW w:type="dxa" w:w="1995"/>
          </w:tcPr>
          <w:p>
            <w:pPr>
              <w:spacing w:after="0" w:line="240" w:lineRule="auto"/>
              <w:ind w:firstLine="0"/>
              <w:jc w:val="center"/>
            </w:pPr>
            <w:r>
              <w:rPr>
                <w:b w:val="0"/>
                <w:i w:val="0"/>
                <w:sz w:val="20"/>
              </w:rPr>
              <w:t>300–500</w:t>
            </w:r>
          </w:p>
        </w:tc>
        <w:tc>
          <w:tcPr>
            <w:tcW w:type="dxa" w:w="1995"/>
          </w:tcPr>
          <w:p>
            <w:pPr>
              <w:spacing w:after="0" w:line="240" w:lineRule="auto"/>
              <w:ind w:firstLine="0"/>
              <w:jc w:val="center"/>
            </w:pPr>
            <w:r>
              <w:rPr>
                <w:b w:val="0"/>
                <w:i w:val="0"/>
                <w:sz w:val="20"/>
              </w:rPr>
              <w:t>2027</w:t>
            </w:r>
          </w:p>
        </w:tc>
        <w:tc>
          <w:tcPr>
            <w:tcW w:type="dxa" w:w="1995"/>
          </w:tcPr>
          <w:p>
            <w:pPr>
              <w:spacing w:after="0" w:line="240" w:lineRule="auto"/>
              <w:ind w:firstLine="0"/>
              <w:jc w:val="center"/>
            </w:pPr>
            <w:r>
              <w:rPr>
                <w:b w:val="0"/>
                <w:i w:val="0"/>
                <w:sz w:val="20"/>
              </w:rPr>
              <w:t>подготовка</w:t>
            </w:r>
          </w:p>
        </w:tc>
      </w:tr>
      <w:tr>
        <w:tc>
          <w:tcPr>
            <w:tcW w:type="dxa" w:w="1995"/>
          </w:tcPr>
          <w:p>
            <w:pPr>
              <w:spacing w:after="0" w:line="240" w:lineRule="auto"/>
              <w:ind w:firstLine="0"/>
              <w:jc w:val="left"/>
            </w:pPr>
            <w:r>
              <w:rPr>
                <w:b w:val="0"/>
                <w:i w:val="0"/>
                <w:sz w:val="20"/>
              </w:rPr>
              <w:t>Опытные производства ОПК</w:t>
            </w:r>
          </w:p>
        </w:tc>
        <w:tc>
          <w:tcPr>
            <w:tcW w:type="dxa" w:w="1995"/>
          </w:tcPr>
          <w:p>
            <w:pPr>
              <w:spacing w:after="0" w:line="240" w:lineRule="auto"/>
              <w:ind w:firstLine="0"/>
              <w:jc w:val="center"/>
            </w:pPr>
            <w:r>
              <w:rPr>
                <w:b w:val="0"/>
                <w:i w:val="0"/>
                <w:sz w:val="20"/>
              </w:rPr>
              <w:t>различные</w:t>
            </w:r>
          </w:p>
        </w:tc>
        <w:tc>
          <w:tcPr>
            <w:tcW w:type="dxa" w:w="1995"/>
          </w:tcPr>
          <w:p>
            <w:pPr>
              <w:spacing w:after="0" w:line="240" w:lineRule="auto"/>
              <w:ind w:firstLine="0"/>
              <w:jc w:val="center"/>
            </w:pPr>
            <w:r>
              <w:rPr>
                <w:b w:val="0"/>
                <w:i w:val="0"/>
                <w:sz w:val="20"/>
              </w:rPr>
              <w:t>50–80</w:t>
            </w:r>
          </w:p>
        </w:tc>
        <w:tc>
          <w:tcPr>
            <w:tcW w:type="dxa" w:w="1995"/>
          </w:tcPr>
          <w:p>
            <w:pPr>
              <w:spacing w:after="0" w:line="240" w:lineRule="auto"/>
              <w:ind w:firstLine="0"/>
              <w:jc w:val="center"/>
            </w:pPr>
            <w:r>
              <w:rPr>
                <w:b w:val="0"/>
                <w:i w:val="0"/>
                <w:sz w:val="20"/>
              </w:rPr>
              <w:t>действует</w:t>
            </w:r>
          </w:p>
        </w:tc>
        <w:tc>
          <w:tcPr>
            <w:tcW w:type="dxa" w:w="1995"/>
          </w:tcPr>
          <w:p>
            <w:pPr>
              <w:spacing w:after="0" w:line="240" w:lineRule="auto"/>
              <w:ind w:firstLine="0"/>
              <w:jc w:val="center"/>
            </w:pPr>
            <w:r>
              <w:rPr>
                <w:b w:val="0"/>
                <w:i w:val="0"/>
                <w:sz w:val="20"/>
              </w:rPr>
              <w:t>мелкосерийное</w:t>
            </w:r>
          </w:p>
        </w:tc>
      </w:tr>
      <w:tr>
        <w:tc>
          <w:tcPr>
            <w:tcW w:type="dxa" w:w="1995"/>
          </w:tcPr>
          <w:p>
            <w:pPr>
              <w:spacing w:after="0" w:line="240" w:lineRule="auto"/>
              <w:ind w:firstLine="0"/>
              <w:jc w:val="left"/>
            </w:pPr>
            <w:r>
              <w:rPr>
                <w:b w:val="0"/>
                <w:i w:val="0"/>
                <w:sz w:val="20"/>
              </w:rPr>
              <w:t>Производство SmCo</w:t>
            </w:r>
          </w:p>
        </w:tc>
        <w:tc>
          <w:tcPr>
            <w:tcW w:type="dxa" w:w="1995"/>
          </w:tcPr>
          <w:p>
            <w:pPr>
              <w:spacing w:after="0" w:line="240" w:lineRule="auto"/>
              <w:ind w:firstLine="0"/>
              <w:jc w:val="center"/>
            </w:pPr>
            <w:r>
              <w:rPr>
                <w:b w:val="0"/>
                <w:i w:val="0"/>
                <w:sz w:val="20"/>
              </w:rPr>
              <w:t>различные</w:t>
            </w:r>
          </w:p>
        </w:tc>
        <w:tc>
          <w:tcPr>
            <w:tcW w:type="dxa" w:w="1995"/>
          </w:tcPr>
          <w:p>
            <w:pPr>
              <w:spacing w:after="0" w:line="240" w:lineRule="auto"/>
              <w:ind w:firstLine="0"/>
              <w:jc w:val="center"/>
            </w:pPr>
            <w:r>
              <w:rPr>
                <w:b w:val="0"/>
                <w:i w:val="0"/>
                <w:sz w:val="20"/>
              </w:rPr>
              <w:t>20–30</w:t>
            </w:r>
          </w:p>
        </w:tc>
        <w:tc>
          <w:tcPr>
            <w:tcW w:type="dxa" w:w="1995"/>
          </w:tcPr>
          <w:p>
            <w:pPr>
              <w:spacing w:after="0" w:line="240" w:lineRule="auto"/>
              <w:ind w:firstLine="0"/>
              <w:jc w:val="center"/>
            </w:pPr>
            <w:r>
              <w:rPr>
                <w:b w:val="0"/>
                <w:i w:val="0"/>
                <w:sz w:val="20"/>
              </w:rPr>
              <w:t>действует</w:t>
            </w:r>
          </w:p>
        </w:tc>
        <w:tc>
          <w:tcPr>
            <w:tcW w:type="dxa" w:w="1995"/>
          </w:tcPr>
          <w:p>
            <w:pPr>
              <w:spacing w:after="0" w:line="240" w:lineRule="auto"/>
              <w:ind w:firstLine="0"/>
              <w:jc w:val="center"/>
            </w:pPr>
            <w:r>
              <w:rPr>
                <w:b w:val="0"/>
                <w:i w:val="0"/>
                <w:sz w:val="20"/>
              </w:rPr>
              <w:t>мелкосерийное</w:t>
            </w:r>
          </w:p>
        </w:tc>
      </w:tr>
    </w:tbl>
    <w:p>
      <w:pPr>
        <w:spacing w:after="180"/>
        <w:ind w:firstLine="0"/>
      </w:pPr>
      <w:r>
        <w:rPr>
          <w:i/>
          <w:sz w:val="20"/>
        </w:rPr>
        <w:t>Источник: аналитический центр по данным корпоративных сообщений и отраслевой прессы</w:t>
      </w:r>
    </w:p>
    <w:p>
      <w:r>
        <w:rPr>
          <w:b/>
          <w:i w:val="0"/>
        </w:rPr>
        <w:t>Технологические вызовы создания магнитного производства:</w:t>
      </w:r>
    </w:p>
    <w:p>
      <w:pPr>
        <w:pStyle w:val="ListNumber"/>
        <w:spacing w:after="20"/>
        <w:ind w:firstLine="0"/>
      </w:pPr>
      <w:r>
        <w:rPr>
          <w:b/>
          <w:i w:val="0"/>
        </w:rPr>
        <w:t>Сырьевое обеспечение.</w:t>
      </w:r>
      <w:r>
        <w:rPr>
          <w:b w:val="0"/>
          <w:i w:val="0"/>
        </w:rPr>
        <w:t xml:space="preserve"> Производство 3 тыс. т магнитов требует около 950 т NdPr, 60–120 т диспрозия и 20–45 т тербия в год. NdPr может быть обеспечен внутренним производством; диспрозий и тербий в требуемом количестве в России не производятся и в ближайшие годы производиться не будут.</w:t>
      </w:r>
    </w:p>
    <w:p>
      <w:pPr>
        <w:pStyle w:val="ListNumber"/>
        <w:spacing w:after="20"/>
        <w:ind w:firstLine="0"/>
      </w:pPr>
      <w:r>
        <w:rPr>
          <w:b/>
          <w:i w:val="0"/>
        </w:rPr>
        <w:t>Технология зернограничной диффузии.</w:t>
      </w:r>
      <w:r>
        <w:rPr>
          <w:b w:val="0"/>
          <w:i w:val="0"/>
        </w:rPr>
        <w:t xml:space="preserve"> Без её освоения расход тяжёлых элементов возрастает в 2–4 раза, что делает задачу сырьевого обеспечения практически неразрешимой.</w:t>
      </w:r>
    </w:p>
    <w:p>
      <w:pPr>
        <w:pStyle w:val="ListNumber"/>
        <w:spacing w:after="20"/>
        <w:ind w:firstLine="0"/>
      </w:pPr>
      <w:r>
        <w:rPr>
          <w:b/>
          <w:i w:val="0"/>
        </w:rPr>
        <w:t>Качество металлов.</w:t>
      </w:r>
      <w:r>
        <w:rPr>
          <w:b w:val="0"/>
          <w:i w:val="0"/>
        </w:rPr>
        <w:t xml:space="preserve"> Требования к чистоте по кислороду, углероду, азоту для магнитного производства существенно выше, чем для прочих применений; освоение соответствующего металлургического передела является отдельной задачей.</w:t>
      </w:r>
    </w:p>
    <w:p>
      <w:pPr>
        <w:pStyle w:val="ListNumber"/>
        <w:spacing w:after="20"/>
        <w:ind w:firstLine="0"/>
      </w:pPr>
      <w:r>
        <w:rPr>
          <w:b/>
          <w:i w:val="0"/>
        </w:rPr>
        <w:t>Оборудование.</w:t>
      </w:r>
      <w:r>
        <w:rPr>
          <w:b w:val="0"/>
          <w:i w:val="0"/>
        </w:rPr>
        <w:t xml:space="preserve"> Ключевое оборудование (установки strip casting, вакуумные печи спекания, прессы в магнитном поле, установки нанесения покрытий) производится преимущественно в КНР и Японии; поставки в Россию ограничены.</w:t>
      </w:r>
    </w:p>
    <w:p>
      <w:pPr>
        <w:pStyle w:val="ListNumber"/>
        <w:spacing w:after="20"/>
        <w:ind w:firstLine="0"/>
      </w:pPr>
      <w:r>
        <w:rPr>
          <w:b/>
          <w:i w:val="0"/>
        </w:rPr>
        <w:t>Экономика масштаба.</w:t>
      </w:r>
      <w:r>
        <w:rPr>
          <w:b w:val="0"/>
          <w:i w:val="0"/>
        </w:rPr>
        <w:t xml:space="preserve"> Мировая практика показывает, что рентабельное производство спечённых магнитов начинается с мощности 1,5–2 тыс. т в год; при меньшем масштабе удельные издержки превышают цену китайской продукции в 1,8–2,5 раза.</w:t>
      </w:r>
    </w:p>
    <w:p>
      <w:pPr>
        <w:keepNext/>
        <w:spacing w:before="160" w:after="60"/>
        <w:ind w:firstLine="0"/>
        <w:jc w:val="left"/>
      </w:pPr>
      <w:r>
        <w:rPr>
          <w:b/>
          <w:sz w:val="22"/>
        </w:rPr>
        <w:t>Рисунок 62. Потребность в редкоземельном сырье для производства магнитов в РФ по сценариям мощности, т/год</w:t>
      </w:r>
    </w:p>
    <w:p>
      <w:pPr>
        <w:ind w:firstLine="0"/>
        <w:jc w:val="center"/>
      </w:pPr>
      <w:r>
        <w:drawing>
          <wp:inline xmlns:a="http://schemas.openxmlformats.org/drawingml/2006/main" xmlns:pic="http://schemas.openxmlformats.org/drawingml/2006/picture">
            <wp:extent cx="5580000" cy="2385652"/>
            <wp:docPr id="62" name="Picture 62"/>
            <wp:cNvGraphicFramePr>
              <a:graphicFrameLocks noChangeAspect="1"/>
            </wp:cNvGraphicFramePr>
            <a:graphic>
              <a:graphicData uri="http://schemas.openxmlformats.org/drawingml/2006/picture">
                <pic:pic>
                  <pic:nvPicPr>
                    <pic:cNvPr id="0" name="fig62.png"/>
                    <pic:cNvPicPr/>
                  </pic:nvPicPr>
                  <pic:blipFill>
                    <a:blip r:embed="rId72"/>
                    <a:stretch>
                      <a:fillRect/>
                    </a:stretch>
                  </pic:blipFill>
                  <pic:spPr>
                    <a:xfrm>
                      <a:off x="0" y="0"/>
                      <a:ext cx="5580000" cy="2385652"/>
                    </a:xfrm>
                    <a:prstGeom prst="rect"/>
                  </pic:spPr>
                </pic:pic>
              </a:graphicData>
            </a:graphic>
          </wp:inline>
        </w:drawing>
      </w:r>
    </w:p>
    <w:p>
      <w:pPr>
        <w:spacing w:after="180"/>
        <w:ind w:firstLine="0"/>
      </w:pPr>
      <w:r>
        <w:rPr>
          <w:i/>
          <w:sz w:val="20"/>
        </w:rPr>
        <w:t>Источник: расчёт аналитического центра</w:t>
      </w:r>
    </w:p>
    <w:p>
      <w:pPr>
        <w:pStyle w:val="Heading2"/>
      </w:pPr>
      <w:r>
        <w:rPr>
          <w:b w:val="0"/>
          <w:i w:val="0"/>
        </w:rPr>
        <w:t>11.7. Научные и проектные организации</w:t>
      </w:r>
    </w:p>
    <w:p>
      <w:r>
        <w:rPr>
          <w:b w:val="0"/>
          <w:i w:val="0"/>
        </w:rPr>
        <w:t>Технологическое обеспечение отрасли осуществляется рядом организаций, компетенции которых имеют критическое значение для реализации проектов.</w:t>
      </w:r>
    </w:p>
    <w:p>
      <w:pPr>
        <w:keepNext/>
        <w:spacing w:before="160" w:after="60"/>
        <w:ind w:firstLine="0"/>
        <w:jc w:val="left"/>
      </w:pPr>
      <w:r>
        <w:rPr>
          <w:b/>
          <w:sz w:val="22"/>
        </w:rPr>
        <w:t>Таблица 81. Ключевые научные и проектные организации редкоземельного профиля в Российской Федерации</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Организация</w:t>
            </w:r>
          </w:p>
        </w:tc>
        <w:tc>
          <w:tcPr>
            <w:tcW w:type="dxa" w:w="3324"/>
            <w:shd w:val="clear" w:fill="DCE6F1"/>
          </w:tcPr>
          <w:p>
            <w:pPr>
              <w:spacing w:after="0" w:line="240" w:lineRule="auto"/>
              <w:ind w:firstLine="0"/>
              <w:jc w:val="center"/>
            </w:pPr>
            <w:r>
              <w:rPr>
                <w:b/>
                <w:i w:val="0"/>
                <w:sz w:val="20"/>
              </w:rPr>
              <w:t>Расположение</w:t>
            </w:r>
          </w:p>
        </w:tc>
        <w:tc>
          <w:tcPr>
            <w:tcW w:type="dxa" w:w="3324"/>
            <w:shd w:val="clear" w:fill="DCE6F1"/>
          </w:tcPr>
          <w:p>
            <w:pPr>
              <w:spacing w:after="0" w:line="240" w:lineRule="auto"/>
              <w:ind w:firstLine="0"/>
              <w:jc w:val="center"/>
            </w:pPr>
            <w:r>
              <w:rPr>
                <w:b/>
                <w:i w:val="0"/>
                <w:sz w:val="20"/>
              </w:rPr>
              <w:t>Профиль компетенций</w:t>
            </w:r>
          </w:p>
        </w:tc>
      </w:tr>
      <w:tr>
        <w:tc>
          <w:tcPr>
            <w:tcW w:type="dxa" w:w="3324"/>
          </w:tcPr>
          <w:p>
            <w:pPr>
              <w:spacing w:after="0" w:line="240" w:lineRule="auto"/>
              <w:ind w:firstLine="0"/>
              <w:jc w:val="left"/>
            </w:pPr>
            <w:r>
              <w:rPr>
                <w:b w:val="0"/>
                <w:i w:val="0"/>
                <w:sz w:val="20"/>
              </w:rPr>
              <w:t>ФГБУ «ВИМС» им. Н. М. Федоровского</w:t>
            </w:r>
          </w:p>
        </w:tc>
        <w:tc>
          <w:tcPr>
            <w:tcW w:type="dxa" w:w="3324"/>
          </w:tcPr>
          <w:p>
            <w:pPr>
              <w:spacing w:after="0" w:line="240" w:lineRule="auto"/>
              <w:ind w:firstLine="0"/>
              <w:jc w:val="center"/>
            </w:pPr>
            <w:r>
              <w:rPr>
                <w:b w:val="0"/>
                <w:i w:val="0"/>
                <w:sz w:val="20"/>
              </w:rPr>
              <w:t>Москва</w:t>
            </w:r>
          </w:p>
        </w:tc>
        <w:tc>
          <w:tcPr>
            <w:tcW w:type="dxa" w:w="3324"/>
          </w:tcPr>
          <w:p>
            <w:pPr>
              <w:spacing w:after="0" w:line="240" w:lineRule="auto"/>
              <w:ind w:firstLine="0"/>
              <w:jc w:val="left"/>
            </w:pPr>
            <w:r>
              <w:rPr>
                <w:b w:val="0"/>
                <w:i w:val="0"/>
                <w:sz w:val="20"/>
              </w:rPr>
              <w:t>минералогия, технология обогащения, геология</w:t>
            </w:r>
          </w:p>
        </w:tc>
      </w:tr>
      <w:tr>
        <w:tc>
          <w:tcPr>
            <w:tcW w:type="dxa" w:w="3324"/>
          </w:tcPr>
          <w:p>
            <w:pPr>
              <w:spacing w:after="0" w:line="240" w:lineRule="auto"/>
              <w:ind w:firstLine="0"/>
              <w:jc w:val="left"/>
            </w:pPr>
            <w:r>
              <w:rPr>
                <w:b w:val="0"/>
                <w:i w:val="0"/>
                <w:sz w:val="20"/>
              </w:rPr>
              <w:t>АО «Гиредмет» (ГК «Росатом»)</w:t>
            </w:r>
          </w:p>
        </w:tc>
        <w:tc>
          <w:tcPr>
            <w:tcW w:type="dxa" w:w="3324"/>
          </w:tcPr>
          <w:p>
            <w:pPr>
              <w:spacing w:after="0" w:line="240" w:lineRule="auto"/>
              <w:ind w:firstLine="0"/>
              <w:jc w:val="center"/>
            </w:pPr>
            <w:r>
              <w:rPr>
                <w:b w:val="0"/>
                <w:i w:val="0"/>
                <w:sz w:val="20"/>
              </w:rPr>
              <w:t>Москва</w:t>
            </w:r>
          </w:p>
        </w:tc>
        <w:tc>
          <w:tcPr>
            <w:tcW w:type="dxa" w:w="3324"/>
          </w:tcPr>
          <w:p>
            <w:pPr>
              <w:spacing w:after="0" w:line="240" w:lineRule="auto"/>
              <w:ind w:firstLine="0"/>
              <w:jc w:val="left"/>
            </w:pPr>
            <w:r>
              <w:rPr>
                <w:b w:val="0"/>
                <w:i w:val="0"/>
                <w:sz w:val="20"/>
              </w:rPr>
              <w:t>технологии редких металлов, полупроводники</w:t>
            </w:r>
          </w:p>
        </w:tc>
      </w:tr>
      <w:tr>
        <w:tc>
          <w:tcPr>
            <w:tcW w:type="dxa" w:w="3324"/>
          </w:tcPr>
          <w:p>
            <w:pPr>
              <w:spacing w:after="0" w:line="240" w:lineRule="auto"/>
              <w:ind w:firstLine="0"/>
              <w:jc w:val="left"/>
            </w:pPr>
            <w:r>
              <w:rPr>
                <w:b w:val="0"/>
                <w:i w:val="0"/>
                <w:sz w:val="20"/>
              </w:rPr>
              <w:t>ИХТРЭМС КНЦ РАН</w:t>
            </w:r>
          </w:p>
        </w:tc>
        <w:tc>
          <w:tcPr>
            <w:tcW w:type="dxa" w:w="3324"/>
          </w:tcPr>
          <w:p>
            <w:pPr>
              <w:spacing w:after="0" w:line="240" w:lineRule="auto"/>
              <w:ind w:firstLine="0"/>
              <w:jc w:val="center"/>
            </w:pPr>
            <w:r>
              <w:rPr>
                <w:b w:val="0"/>
                <w:i w:val="0"/>
                <w:sz w:val="20"/>
              </w:rPr>
              <w:t>Апатиты</w:t>
            </w:r>
          </w:p>
        </w:tc>
        <w:tc>
          <w:tcPr>
            <w:tcW w:type="dxa" w:w="3324"/>
          </w:tcPr>
          <w:p>
            <w:pPr>
              <w:spacing w:after="0" w:line="240" w:lineRule="auto"/>
              <w:ind w:firstLine="0"/>
              <w:jc w:val="center"/>
            </w:pPr>
            <w:r>
              <w:rPr>
                <w:b w:val="0"/>
                <w:i w:val="0"/>
                <w:sz w:val="20"/>
              </w:rPr>
              <w:t>химия и технология редких элементов</w:t>
            </w:r>
          </w:p>
        </w:tc>
      </w:tr>
      <w:tr>
        <w:tc>
          <w:tcPr>
            <w:tcW w:type="dxa" w:w="3324"/>
          </w:tcPr>
          <w:p>
            <w:pPr>
              <w:spacing w:after="0" w:line="240" w:lineRule="auto"/>
              <w:ind w:firstLine="0"/>
              <w:jc w:val="left"/>
            </w:pPr>
            <w:r>
              <w:rPr>
                <w:b w:val="0"/>
                <w:i w:val="0"/>
                <w:sz w:val="20"/>
              </w:rPr>
              <w:t>ИМЕТ РАН им. А. А. Байкова</w:t>
            </w:r>
          </w:p>
        </w:tc>
        <w:tc>
          <w:tcPr>
            <w:tcW w:type="dxa" w:w="3324"/>
          </w:tcPr>
          <w:p>
            <w:pPr>
              <w:spacing w:after="0" w:line="240" w:lineRule="auto"/>
              <w:ind w:firstLine="0"/>
              <w:jc w:val="center"/>
            </w:pPr>
            <w:r>
              <w:rPr>
                <w:b w:val="0"/>
                <w:i w:val="0"/>
                <w:sz w:val="20"/>
              </w:rPr>
              <w:t>Москва</w:t>
            </w:r>
          </w:p>
        </w:tc>
        <w:tc>
          <w:tcPr>
            <w:tcW w:type="dxa" w:w="3324"/>
          </w:tcPr>
          <w:p>
            <w:pPr>
              <w:spacing w:after="0" w:line="240" w:lineRule="auto"/>
              <w:ind w:firstLine="0"/>
              <w:jc w:val="center"/>
            </w:pPr>
            <w:r>
              <w:rPr>
                <w:b w:val="0"/>
                <w:i w:val="0"/>
                <w:sz w:val="20"/>
              </w:rPr>
              <w:t>металлургия, материаловедение</w:t>
            </w:r>
          </w:p>
        </w:tc>
      </w:tr>
      <w:tr>
        <w:tc>
          <w:tcPr>
            <w:tcW w:type="dxa" w:w="3324"/>
          </w:tcPr>
          <w:p>
            <w:pPr>
              <w:spacing w:after="0" w:line="240" w:lineRule="auto"/>
              <w:ind w:firstLine="0"/>
              <w:jc w:val="left"/>
            </w:pPr>
            <w:r>
              <w:rPr>
                <w:b w:val="0"/>
                <w:i w:val="0"/>
                <w:sz w:val="20"/>
              </w:rPr>
              <w:t>ИФМ УрО РАН</w:t>
            </w:r>
          </w:p>
        </w:tc>
        <w:tc>
          <w:tcPr>
            <w:tcW w:type="dxa" w:w="3324"/>
          </w:tcPr>
          <w:p>
            <w:pPr>
              <w:spacing w:after="0" w:line="240" w:lineRule="auto"/>
              <w:ind w:firstLine="0"/>
              <w:jc w:val="center"/>
            </w:pPr>
            <w:r>
              <w:rPr>
                <w:b w:val="0"/>
                <w:i w:val="0"/>
                <w:sz w:val="20"/>
              </w:rPr>
              <w:t>Екатеринбург</w:t>
            </w:r>
          </w:p>
        </w:tc>
        <w:tc>
          <w:tcPr>
            <w:tcW w:type="dxa" w:w="3324"/>
          </w:tcPr>
          <w:p>
            <w:pPr>
              <w:spacing w:after="0" w:line="240" w:lineRule="auto"/>
              <w:ind w:firstLine="0"/>
              <w:jc w:val="center"/>
            </w:pPr>
            <w:r>
              <w:rPr>
                <w:b w:val="0"/>
                <w:i w:val="0"/>
                <w:sz w:val="20"/>
              </w:rPr>
              <w:t>магнитные материалы</w:t>
            </w:r>
          </w:p>
        </w:tc>
      </w:tr>
      <w:tr>
        <w:tc>
          <w:tcPr>
            <w:tcW w:type="dxa" w:w="3324"/>
          </w:tcPr>
          <w:p>
            <w:pPr>
              <w:spacing w:after="0" w:line="240" w:lineRule="auto"/>
              <w:ind w:firstLine="0"/>
              <w:jc w:val="left"/>
            </w:pPr>
            <w:r>
              <w:rPr>
                <w:b w:val="0"/>
                <w:i w:val="0"/>
                <w:sz w:val="20"/>
              </w:rPr>
              <w:t>ФГУП «ВНИИХТ» (ГК «Росатом»)</w:t>
            </w:r>
          </w:p>
        </w:tc>
        <w:tc>
          <w:tcPr>
            <w:tcW w:type="dxa" w:w="3324"/>
          </w:tcPr>
          <w:p>
            <w:pPr>
              <w:spacing w:after="0" w:line="240" w:lineRule="auto"/>
              <w:ind w:firstLine="0"/>
              <w:jc w:val="center"/>
            </w:pPr>
            <w:r>
              <w:rPr>
                <w:b w:val="0"/>
                <w:i w:val="0"/>
                <w:sz w:val="20"/>
              </w:rPr>
              <w:t>Москва</w:t>
            </w:r>
          </w:p>
        </w:tc>
        <w:tc>
          <w:tcPr>
            <w:tcW w:type="dxa" w:w="3324"/>
          </w:tcPr>
          <w:p>
            <w:pPr>
              <w:spacing w:after="0" w:line="240" w:lineRule="auto"/>
              <w:ind w:firstLine="0"/>
              <w:jc w:val="center"/>
            </w:pPr>
            <w:r>
              <w:rPr>
                <w:b w:val="0"/>
                <w:i w:val="0"/>
                <w:sz w:val="20"/>
              </w:rPr>
              <w:t>химическая технология, гидрометаллургия</w:t>
            </w:r>
          </w:p>
        </w:tc>
      </w:tr>
      <w:tr>
        <w:tc>
          <w:tcPr>
            <w:tcW w:type="dxa" w:w="3324"/>
          </w:tcPr>
          <w:p>
            <w:pPr>
              <w:spacing w:after="0" w:line="240" w:lineRule="auto"/>
              <w:ind w:firstLine="0"/>
              <w:jc w:val="left"/>
            </w:pPr>
            <w:r>
              <w:rPr>
                <w:b w:val="0"/>
                <w:i w:val="0"/>
                <w:sz w:val="20"/>
              </w:rPr>
              <w:t>ИГЕМ РАН</w:t>
            </w:r>
          </w:p>
        </w:tc>
        <w:tc>
          <w:tcPr>
            <w:tcW w:type="dxa" w:w="3324"/>
          </w:tcPr>
          <w:p>
            <w:pPr>
              <w:spacing w:after="0" w:line="240" w:lineRule="auto"/>
              <w:ind w:firstLine="0"/>
              <w:jc w:val="center"/>
            </w:pPr>
            <w:r>
              <w:rPr>
                <w:b w:val="0"/>
                <w:i w:val="0"/>
                <w:sz w:val="20"/>
              </w:rPr>
              <w:t>Москва</w:t>
            </w:r>
          </w:p>
        </w:tc>
        <w:tc>
          <w:tcPr>
            <w:tcW w:type="dxa" w:w="3324"/>
          </w:tcPr>
          <w:p>
            <w:pPr>
              <w:spacing w:after="0" w:line="240" w:lineRule="auto"/>
              <w:ind w:firstLine="0"/>
              <w:jc w:val="center"/>
            </w:pPr>
            <w:r>
              <w:rPr>
                <w:b w:val="0"/>
                <w:i w:val="0"/>
                <w:sz w:val="20"/>
              </w:rPr>
              <w:t>геология месторождений</w:t>
            </w:r>
          </w:p>
        </w:tc>
      </w:tr>
      <w:tr>
        <w:tc>
          <w:tcPr>
            <w:tcW w:type="dxa" w:w="3324"/>
          </w:tcPr>
          <w:p>
            <w:pPr>
              <w:spacing w:after="0" w:line="240" w:lineRule="auto"/>
              <w:ind w:firstLine="0"/>
              <w:jc w:val="left"/>
            </w:pPr>
            <w:r>
              <w:rPr>
                <w:b w:val="0"/>
                <w:i w:val="0"/>
                <w:sz w:val="20"/>
              </w:rPr>
              <w:t>НИТУ МИСИС</w:t>
            </w:r>
          </w:p>
        </w:tc>
        <w:tc>
          <w:tcPr>
            <w:tcW w:type="dxa" w:w="3324"/>
          </w:tcPr>
          <w:p>
            <w:pPr>
              <w:spacing w:after="0" w:line="240" w:lineRule="auto"/>
              <w:ind w:firstLine="0"/>
              <w:jc w:val="center"/>
            </w:pPr>
            <w:r>
              <w:rPr>
                <w:b w:val="0"/>
                <w:i w:val="0"/>
                <w:sz w:val="20"/>
              </w:rPr>
              <w:t>Москва</w:t>
            </w:r>
          </w:p>
        </w:tc>
        <w:tc>
          <w:tcPr>
            <w:tcW w:type="dxa" w:w="3324"/>
          </w:tcPr>
          <w:p>
            <w:pPr>
              <w:spacing w:after="0" w:line="240" w:lineRule="auto"/>
              <w:ind w:firstLine="0"/>
              <w:jc w:val="center"/>
            </w:pPr>
            <w:r>
              <w:rPr>
                <w:b w:val="0"/>
                <w:i w:val="0"/>
                <w:sz w:val="20"/>
              </w:rPr>
              <w:t>металлургия, материаловедение</w:t>
            </w:r>
          </w:p>
        </w:tc>
      </w:tr>
      <w:tr>
        <w:tc>
          <w:tcPr>
            <w:tcW w:type="dxa" w:w="3324"/>
          </w:tcPr>
          <w:p>
            <w:pPr>
              <w:spacing w:after="0" w:line="240" w:lineRule="auto"/>
              <w:ind w:firstLine="0"/>
              <w:jc w:val="left"/>
            </w:pPr>
            <w:r>
              <w:rPr>
                <w:b w:val="0"/>
                <w:i w:val="0"/>
                <w:sz w:val="20"/>
              </w:rPr>
              <w:t>ИНХ СО РАН</w:t>
            </w:r>
          </w:p>
        </w:tc>
        <w:tc>
          <w:tcPr>
            <w:tcW w:type="dxa" w:w="3324"/>
          </w:tcPr>
          <w:p>
            <w:pPr>
              <w:spacing w:after="0" w:line="240" w:lineRule="auto"/>
              <w:ind w:firstLine="0"/>
              <w:jc w:val="center"/>
            </w:pPr>
            <w:r>
              <w:rPr>
                <w:b w:val="0"/>
                <w:i w:val="0"/>
                <w:sz w:val="20"/>
              </w:rPr>
              <w:t>Новосибирск</w:t>
            </w:r>
          </w:p>
        </w:tc>
        <w:tc>
          <w:tcPr>
            <w:tcW w:type="dxa" w:w="3324"/>
          </w:tcPr>
          <w:p>
            <w:pPr>
              <w:spacing w:after="0" w:line="240" w:lineRule="auto"/>
              <w:ind w:firstLine="0"/>
              <w:jc w:val="center"/>
            </w:pPr>
            <w:r>
              <w:rPr>
                <w:b w:val="0"/>
                <w:i w:val="0"/>
                <w:sz w:val="20"/>
              </w:rPr>
              <w:t>неорганическая химия</w:t>
            </w:r>
          </w:p>
        </w:tc>
      </w:tr>
      <w:tr>
        <w:tc>
          <w:tcPr>
            <w:tcW w:type="dxa" w:w="3324"/>
          </w:tcPr>
          <w:p>
            <w:pPr>
              <w:spacing w:after="0" w:line="240" w:lineRule="auto"/>
              <w:ind w:firstLine="0"/>
              <w:jc w:val="left"/>
            </w:pPr>
            <w:r>
              <w:rPr>
                <w:b w:val="0"/>
                <w:i w:val="0"/>
                <w:sz w:val="20"/>
              </w:rPr>
              <w:t>АО «ВНИИНМ» им. А. А. Бочвара</w:t>
            </w:r>
          </w:p>
        </w:tc>
        <w:tc>
          <w:tcPr>
            <w:tcW w:type="dxa" w:w="3324"/>
          </w:tcPr>
          <w:p>
            <w:pPr>
              <w:spacing w:after="0" w:line="240" w:lineRule="auto"/>
              <w:ind w:firstLine="0"/>
              <w:jc w:val="center"/>
            </w:pPr>
            <w:r>
              <w:rPr>
                <w:b w:val="0"/>
                <w:i w:val="0"/>
                <w:sz w:val="20"/>
              </w:rPr>
              <w:t>Москва</w:t>
            </w:r>
          </w:p>
        </w:tc>
        <w:tc>
          <w:tcPr>
            <w:tcW w:type="dxa" w:w="3324"/>
          </w:tcPr>
          <w:p>
            <w:pPr>
              <w:spacing w:after="0" w:line="240" w:lineRule="auto"/>
              <w:ind w:firstLine="0"/>
              <w:jc w:val="center"/>
            </w:pPr>
            <w:r>
              <w:rPr>
                <w:b w:val="0"/>
                <w:i w:val="0"/>
                <w:sz w:val="20"/>
              </w:rPr>
              <w:t>неорганические материалы</w:t>
            </w:r>
          </w:p>
        </w:tc>
      </w:tr>
    </w:tbl>
    <w:p>
      <w:pPr>
        <w:spacing w:after="180"/>
        <w:ind w:firstLine="0"/>
      </w:pPr>
      <w:r>
        <w:rPr>
          <w:i/>
          <w:sz w:val="20"/>
        </w:rPr>
        <w:t>Источник: аналитический центр</w:t>
      </w:r>
    </w:p>
    <w:p>
      <w:r>
        <w:rPr>
          <w:b w:val="0"/>
          <w:i w:val="0"/>
        </w:rPr>
        <w:t>Сильными сторонами отечественной научной базы традиционно являются минералогия, технологии вскрытия сложного сырья и экстракционная химия — направления, по которым советская школа занимала передовые позиции. Слабыми — материаловедение постоянных магнитов, где разрыв с мировым уровнем накоплен за три десятилетия отсутствия промышленного заказа, и инжиниринг масштабирования, то есть перевод лабораторных решений в промышленные регламенты.</w:t>
      </w:r>
    </w:p>
    <w:p>
      <w:pPr>
        <w:keepNext/>
        <w:spacing w:before="160" w:after="60"/>
        <w:ind w:firstLine="0"/>
        <w:jc w:val="left"/>
      </w:pPr>
      <w:r>
        <w:rPr>
          <w:b/>
          <w:sz w:val="22"/>
        </w:rPr>
        <w:t>Таблица 82. Оценка технологической готовности российских решений по переделам (шкала TRL)</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Технологический передел</w:t>
            </w:r>
          </w:p>
        </w:tc>
        <w:tc>
          <w:tcPr>
            <w:tcW w:type="dxa" w:w="3324"/>
            <w:shd w:val="clear" w:fill="DCE6F1"/>
          </w:tcPr>
          <w:p>
            <w:pPr>
              <w:spacing w:after="0" w:line="240" w:lineRule="auto"/>
              <w:ind w:firstLine="0"/>
              <w:jc w:val="center"/>
            </w:pPr>
            <w:r>
              <w:rPr>
                <w:b/>
                <w:i w:val="0"/>
                <w:sz w:val="20"/>
              </w:rPr>
              <w:t>Уровень TRL</w:t>
            </w:r>
          </w:p>
        </w:tc>
        <w:tc>
          <w:tcPr>
            <w:tcW w:type="dxa" w:w="3324"/>
            <w:shd w:val="clear" w:fill="DCE6F1"/>
          </w:tcPr>
          <w:p>
            <w:pPr>
              <w:spacing w:after="0" w:line="240" w:lineRule="auto"/>
              <w:ind w:firstLine="0"/>
              <w:jc w:val="center"/>
            </w:pPr>
            <w:r>
              <w:rPr>
                <w:b/>
                <w:i w:val="0"/>
                <w:sz w:val="20"/>
              </w:rPr>
              <w:t>Комментарий</w:t>
            </w:r>
          </w:p>
        </w:tc>
      </w:tr>
      <w:tr>
        <w:tc>
          <w:tcPr>
            <w:tcW w:type="dxa" w:w="3324"/>
          </w:tcPr>
          <w:p>
            <w:pPr>
              <w:spacing w:after="0" w:line="240" w:lineRule="auto"/>
              <w:ind w:firstLine="0"/>
              <w:jc w:val="left"/>
            </w:pPr>
            <w:r>
              <w:rPr>
                <w:b w:val="0"/>
                <w:i w:val="0"/>
                <w:sz w:val="20"/>
              </w:rPr>
              <w:t>Добыча и обогащение лопарита</w:t>
            </w:r>
          </w:p>
        </w:tc>
        <w:tc>
          <w:tcPr>
            <w:tcW w:type="dxa" w:w="3324"/>
          </w:tcPr>
          <w:p>
            <w:pPr>
              <w:spacing w:after="0" w:line="240" w:lineRule="auto"/>
              <w:ind w:firstLine="0"/>
              <w:jc w:val="center"/>
            </w:pPr>
            <w:r>
              <w:rPr>
                <w:b w:val="0"/>
                <w:i w:val="0"/>
                <w:sz w:val="20"/>
              </w:rPr>
              <w:t>9</w:t>
            </w:r>
          </w:p>
        </w:tc>
        <w:tc>
          <w:tcPr>
            <w:tcW w:type="dxa" w:w="3324"/>
          </w:tcPr>
          <w:p>
            <w:pPr>
              <w:spacing w:after="0" w:line="240" w:lineRule="auto"/>
              <w:ind w:firstLine="0"/>
              <w:jc w:val="center"/>
            </w:pPr>
            <w:r>
              <w:rPr>
                <w:b w:val="0"/>
                <w:i w:val="0"/>
                <w:sz w:val="20"/>
              </w:rPr>
              <w:t>промышленная эксплуатация</w:t>
            </w:r>
          </w:p>
        </w:tc>
      </w:tr>
      <w:tr>
        <w:tc>
          <w:tcPr>
            <w:tcW w:type="dxa" w:w="3324"/>
          </w:tcPr>
          <w:p>
            <w:pPr>
              <w:spacing w:after="0" w:line="240" w:lineRule="auto"/>
              <w:ind w:firstLine="0"/>
              <w:jc w:val="left"/>
            </w:pPr>
            <w:r>
              <w:rPr>
                <w:b w:val="0"/>
                <w:i w:val="0"/>
                <w:sz w:val="20"/>
              </w:rPr>
              <w:t>Вскрытие лопарита (хлорная схема)</w:t>
            </w:r>
          </w:p>
        </w:tc>
        <w:tc>
          <w:tcPr>
            <w:tcW w:type="dxa" w:w="3324"/>
          </w:tcPr>
          <w:p>
            <w:pPr>
              <w:spacing w:after="0" w:line="240" w:lineRule="auto"/>
              <w:ind w:firstLine="0"/>
              <w:jc w:val="center"/>
            </w:pPr>
            <w:r>
              <w:rPr>
                <w:b w:val="0"/>
                <w:i w:val="0"/>
                <w:sz w:val="20"/>
              </w:rPr>
              <w:t>9</w:t>
            </w:r>
          </w:p>
        </w:tc>
        <w:tc>
          <w:tcPr>
            <w:tcW w:type="dxa" w:w="3324"/>
          </w:tcPr>
          <w:p>
            <w:pPr>
              <w:spacing w:after="0" w:line="240" w:lineRule="auto"/>
              <w:ind w:firstLine="0"/>
              <w:jc w:val="center"/>
            </w:pPr>
            <w:r>
              <w:rPr>
                <w:b w:val="0"/>
                <w:i w:val="0"/>
                <w:sz w:val="20"/>
              </w:rPr>
              <w:t>промышленная эксплуатация</w:t>
            </w:r>
          </w:p>
        </w:tc>
      </w:tr>
      <w:tr>
        <w:tc>
          <w:tcPr>
            <w:tcW w:type="dxa" w:w="3324"/>
          </w:tcPr>
          <w:p>
            <w:pPr>
              <w:spacing w:after="0" w:line="240" w:lineRule="auto"/>
              <w:ind w:firstLine="0"/>
              <w:jc w:val="left"/>
            </w:pPr>
            <w:r>
              <w:rPr>
                <w:b w:val="0"/>
                <w:i w:val="0"/>
                <w:sz w:val="20"/>
              </w:rPr>
              <w:t>Разделение лёгкой группы</w:t>
            </w:r>
          </w:p>
        </w:tc>
        <w:tc>
          <w:tcPr>
            <w:tcW w:type="dxa" w:w="3324"/>
          </w:tcPr>
          <w:p>
            <w:pPr>
              <w:spacing w:after="0" w:line="240" w:lineRule="auto"/>
              <w:ind w:firstLine="0"/>
              <w:jc w:val="center"/>
            </w:pPr>
            <w:r>
              <w:rPr>
                <w:b w:val="0"/>
                <w:i w:val="0"/>
                <w:sz w:val="20"/>
              </w:rPr>
              <w:t>7–8</w:t>
            </w:r>
          </w:p>
        </w:tc>
        <w:tc>
          <w:tcPr>
            <w:tcW w:type="dxa" w:w="3324"/>
          </w:tcPr>
          <w:p>
            <w:pPr>
              <w:spacing w:after="0" w:line="240" w:lineRule="auto"/>
              <w:ind w:firstLine="0"/>
              <w:jc w:val="center"/>
            </w:pPr>
            <w:r>
              <w:rPr>
                <w:b w:val="0"/>
                <w:i w:val="0"/>
                <w:sz w:val="20"/>
              </w:rPr>
              <w:t>опытно-промышленное производство</w:t>
            </w:r>
          </w:p>
        </w:tc>
      </w:tr>
      <w:tr>
        <w:tc>
          <w:tcPr>
            <w:tcW w:type="dxa" w:w="3324"/>
          </w:tcPr>
          <w:p>
            <w:pPr>
              <w:spacing w:after="0" w:line="240" w:lineRule="auto"/>
              <w:ind w:firstLine="0"/>
              <w:jc w:val="left"/>
            </w:pPr>
            <w:r>
              <w:rPr>
                <w:b w:val="0"/>
                <w:i w:val="0"/>
                <w:sz w:val="20"/>
              </w:rPr>
              <w:t>Разделение средней и тяжёлой групп</w:t>
            </w:r>
          </w:p>
        </w:tc>
        <w:tc>
          <w:tcPr>
            <w:tcW w:type="dxa" w:w="3324"/>
          </w:tcPr>
          <w:p>
            <w:pPr>
              <w:spacing w:after="0" w:line="240" w:lineRule="auto"/>
              <w:ind w:firstLine="0"/>
              <w:jc w:val="center"/>
            </w:pPr>
            <w:r>
              <w:rPr>
                <w:b w:val="0"/>
                <w:i w:val="0"/>
                <w:sz w:val="20"/>
              </w:rPr>
              <w:t>5–6</w:t>
            </w:r>
          </w:p>
        </w:tc>
        <w:tc>
          <w:tcPr>
            <w:tcW w:type="dxa" w:w="3324"/>
          </w:tcPr>
          <w:p>
            <w:pPr>
              <w:spacing w:after="0" w:line="240" w:lineRule="auto"/>
              <w:ind w:firstLine="0"/>
              <w:jc w:val="center"/>
            </w:pPr>
            <w:r>
              <w:rPr>
                <w:b w:val="0"/>
                <w:i w:val="0"/>
                <w:sz w:val="20"/>
              </w:rPr>
              <w:t>лабораторные и укрупнённые испытания</w:t>
            </w:r>
          </w:p>
        </w:tc>
      </w:tr>
      <w:tr>
        <w:tc>
          <w:tcPr>
            <w:tcW w:type="dxa" w:w="3324"/>
          </w:tcPr>
          <w:p>
            <w:pPr>
              <w:spacing w:after="0" w:line="240" w:lineRule="auto"/>
              <w:ind w:firstLine="0"/>
              <w:jc w:val="left"/>
            </w:pPr>
            <w:r>
              <w:rPr>
                <w:b w:val="0"/>
                <w:i w:val="0"/>
                <w:sz w:val="20"/>
              </w:rPr>
              <w:t>Извлечение из фосфогипса</w:t>
            </w:r>
          </w:p>
        </w:tc>
        <w:tc>
          <w:tcPr>
            <w:tcW w:type="dxa" w:w="3324"/>
          </w:tcPr>
          <w:p>
            <w:pPr>
              <w:spacing w:after="0" w:line="240" w:lineRule="auto"/>
              <w:ind w:firstLine="0"/>
              <w:jc w:val="center"/>
            </w:pPr>
            <w:r>
              <w:rPr>
                <w:b w:val="0"/>
                <w:i w:val="0"/>
                <w:sz w:val="20"/>
              </w:rPr>
              <w:t>6–7</w:t>
            </w:r>
          </w:p>
        </w:tc>
        <w:tc>
          <w:tcPr>
            <w:tcW w:type="dxa" w:w="3324"/>
          </w:tcPr>
          <w:p>
            <w:pPr>
              <w:spacing w:after="0" w:line="240" w:lineRule="auto"/>
              <w:ind w:firstLine="0"/>
              <w:jc w:val="center"/>
            </w:pPr>
            <w:r>
              <w:rPr>
                <w:b w:val="0"/>
                <w:i w:val="0"/>
                <w:sz w:val="20"/>
              </w:rPr>
              <w:t>опытно-промышленное производство</w:t>
            </w:r>
          </w:p>
        </w:tc>
      </w:tr>
      <w:tr>
        <w:tc>
          <w:tcPr>
            <w:tcW w:type="dxa" w:w="3324"/>
          </w:tcPr>
          <w:p>
            <w:pPr>
              <w:spacing w:after="0" w:line="240" w:lineRule="auto"/>
              <w:ind w:firstLine="0"/>
              <w:jc w:val="left"/>
            </w:pPr>
            <w:r>
              <w:rPr>
                <w:b w:val="0"/>
                <w:i w:val="0"/>
                <w:sz w:val="20"/>
              </w:rPr>
              <w:t>Извлечение из ЭФК</w:t>
            </w:r>
          </w:p>
        </w:tc>
        <w:tc>
          <w:tcPr>
            <w:tcW w:type="dxa" w:w="3324"/>
          </w:tcPr>
          <w:p>
            <w:pPr>
              <w:spacing w:after="0" w:line="240" w:lineRule="auto"/>
              <w:ind w:firstLine="0"/>
              <w:jc w:val="center"/>
            </w:pPr>
            <w:r>
              <w:rPr>
                <w:b w:val="0"/>
                <w:i w:val="0"/>
                <w:sz w:val="20"/>
              </w:rPr>
              <w:t>5–6</w:t>
            </w:r>
          </w:p>
        </w:tc>
        <w:tc>
          <w:tcPr>
            <w:tcW w:type="dxa" w:w="3324"/>
          </w:tcPr>
          <w:p>
            <w:pPr>
              <w:spacing w:after="0" w:line="240" w:lineRule="auto"/>
              <w:ind w:firstLine="0"/>
              <w:jc w:val="center"/>
            </w:pPr>
            <w:r>
              <w:rPr>
                <w:b w:val="0"/>
                <w:i w:val="0"/>
                <w:sz w:val="20"/>
              </w:rPr>
              <w:t>опытные установки</w:t>
            </w:r>
          </w:p>
        </w:tc>
      </w:tr>
      <w:tr>
        <w:tc>
          <w:tcPr>
            <w:tcW w:type="dxa" w:w="3324"/>
          </w:tcPr>
          <w:p>
            <w:pPr>
              <w:spacing w:after="0" w:line="240" w:lineRule="auto"/>
              <w:ind w:firstLine="0"/>
              <w:jc w:val="left"/>
            </w:pPr>
            <w:r>
              <w:rPr>
                <w:b w:val="0"/>
                <w:i w:val="0"/>
                <w:sz w:val="20"/>
              </w:rPr>
              <w:t>Переработка руд Томтора</w:t>
            </w:r>
          </w:p>
        </w:tc>
        <w:tc>
          <w:tcPr>
            <w:tcW w:type="dxa" w:w="3324"/>
          </w:tcPr>
          <w:p>
            <w:pPr>
              <w:spacing w:after="0" w:line="240" w:lineRule="auto"/>
              <w:ind w:firstLine="0"/>
              <w:jc w:val="center"/>
            </w:pPr>
            <w:r>
              <w:rPr>
                <w:b w:val="0"/>
                <w:i w:val="0"/>
                <w:sz w:val="20"/>
              </w:rPr>
              <w:t>5</w:t>
            </w:r>
          </w:p>
        </w:tc>
        <w:tc>
          <w:tcPr>
            <w:tcW w:type="dxa" w:w="3324"/>
          </w:tcPr>
          <w:p>
            <w:pPr>
              <w:spacing w:after="0" w:line="240" w:lineRule="auto"/>
              <w:ind w:firstLine="0"/>
              <w:jc w:val="center"/>
            </w:pPr>
            <w:r>
              <w:rPr>
                <w:b w:val="0"/>
                <w:i w:val="0"/>
                <w:sz w:val="20"/>
              </w:rPr>
              <w:t>укрупнённо-лабораторный уровень</w:t>
            </w:r>
          </w:p>
        </w:tc>
      </w:tr>
      <w:tr>
        <w:tc>
          <w:tcPr>
            <w:tcW w:type="dxa" w:w="3324"/>
          </w:tcPr>
          <w:p>
            <w:pPr>
              <w:spacing w:after="0" w:line="240" w:lineRule="auto"/>
              <w:ind w:firstLine="0"/>
              <w:jc w:val="left"/>
            </w:pPr>
            <w:r>
              <w:rPr>
                <w:b w:val="0"/>
                <w:i w:val="0"/>
                <w:sz w:val="20"/>
              </w:rPr>
              <w:t>Переработка эвдиалита</w:t>
            </w:r>
          </w:p>
        </w:tc>
        <w:tc>
          <w:tcPr>
            <w:tcW w:type="dxa" w:w="3324"/>
          </w:tcPr>
          <w:p>
            <w:pPr>
              <w:spacing w:after="0" w:line="240" w:lineRule="auto"/>
              <w:ind w:firstLine="0"/>
              <w:jc w:val="center"/>
            </w:pPr>
            <w:r>
              <w:rPr>
                <w:b w:val="0"/>
                <w:i w:val="0"/>
                <w:sz w:val="20"/>
              </w:rPr>
              <w:t>4–5</w:t>
            </w:r>
          </w:p>
        </w:tc>
        <w:tc>
          <w:tcPr>
            <w:tcW w:type="dxa" w:w="3324"/>
          </w:tcPr>
          <w:p>
            <w:pPr>
              <w:spacing w:after="0" w:line="240" w:lineRule="auto"/>
              <w:ind w:firstLine="0"/>
              <w:jc w:val="center"/>
            </w:pPr>
            <w:r>
              <w:rPr>
                <w:b w:val="0"/>
                <w:i w:val="0"/>
                <w:sz w:val="20"/>
              </w:rPr>
              <w:t>лабораторный уровень</w:t>
            </w:r>
          </w:p>
        </w:tc>
      </w:tr>
      <w:tr>
        <w:tc>
          <w:tcPr>
            <w:tcW w:type="dxa" w:w="3324"/>
          </w:tcPr>
          <w:p>
            <w:pPr>
              <w:spacing w:after="0" w:line="240" w:lineRule="auto"/>
              <w:ind w:firstLine="0"/>
              <w:jc w:val="left"/>
            </w:pPr>
            <w:r>
              <w:rPr>
                <w:b w:val="0"/>
                <w:i w:val="0"/>
                <w:sz w:val="20"/>
              </w:rPr>
              <w:t>Металлотермия РЗМ</w:t>
            </w:r>
          </w:p>
        </w:tc>
        <w:tc>
          <w:tcPr>
            <w:tcW w:type="dxa" w:w="3324"/>
          </w:tcPr>
          <w:p>
            <w:pPr>
              <w:spacing w:after="0" w:line="240" w:lineRule="auto"/>
              <w:ind w:firstLine="0"/>
              <w:jc w:val="center"/>
            </w:pPr>
            <w:r>
              <w:rPr>
                <w:b w:val="0"/>
                <w:i w:val="0"/>
                <w:sz w:val="20"/>
              </w:rPr>
              <w:t>6–7</w:t>
            </w:r>
          </w:p>
        </w:tc>
        <w:tc>
          <w:tcPr>
            <w:tcW w:type="dxa" w:w="3324"/>
          </w:tcPr>
          <w:p>
            <w:pPr>
              <w:spacing w:after="0" w:line="240" w:lineRule="auto"/>
              <w:ind w:firstLine="0"/>
              <w:jc w:val="center"/>
            </w:pPr>
            <w:r>
              <w:rPr>
                <w:b w:val="0"/>
                <w:i w:val="0"/>
                <w:sz w:val="20"/>
              </w:rPr>
              <w:t>опытное производство</w:t>
            </w:r>
          </w:p>
        </w:tc>
      </w:tr>
      <w:tr>
        <w:tc>
          <w:tcPr>
            <w:tcW w:type="dxa" w:w="3324"/>
          </w:tcPr>
          <w:p>
            <w:pPr>
              <w:spacing w:after="0" w:line="240" w:lineRule="auto"/>
              <w:ind w:firstLine="0"/>
              <w:jc w:val="left"/>
            </w:pPr>
            <w:r>
              <w:rPr>
                <w:b w:val="0"/>
                <w:i w:val="0"/>
                <w:sz w:val="20"/>
              </w:rPr>
              <w:t>Производство сплава NdFeB</w:t>
            </w:r>
          </w:p>
        </w:tc>
        <w:tc>
          <w:tcPr>
            <w:tcW w:type="dxa" w:w="3324"/>
          </w:tcPr>
          <w:p>
            <w:pPr>
              <w:spacing w:after="0" w:line="240" w:lineRule="auto"/>
              <w:ind w:firstLine="0"/>
              <w:jc w:val="center"/>
            </w:pPr>
            <w:r>
              <w:rPr>
                <w:b w:val="0"/>
                <w:i w:val="0"/>
                <w:sz w:val="20"/>
              </w:rPr>
              <w:t>5–6</w:t>
            </w:r>
          </w:p>
        </w:tc>
        <w:tc>
          <w:tcPr>
            <w:tcW w:type="dxa" w:w="3324"/>
          </w:tcPr>
          <w:p>
            <w:pPr>
              <w:spacing w:after="0" w:line="240" w:lineRule="auto"/>
              <w:ind w:firstLine="0"/>
              <w:jc w:val="center"/>
            </w:pPr>
            <w:r>
              <w:rPr>
                <w:b w:val="0"/>
                <w:i w:val="0"/>
                <w:sz w:val="20"/>
              </w:rPr>
              <w:t>опытное производство</w:t>
            </w:r>
          </w:p>
        </w:tc>
      </w:tr>
      <w:tr>
        <w:tc>
          <w:tcPr>
            <w:tcW w:type="dxa" w:w="3324"/>
          </w:tcPr>
          <w:p>
            <w:pPr>
              <w:spacing w:after="0" w:line="240" w:lineRule="auto"/>
              <w:ind w:firstLine="0"/>
              <w:jc w:val="left"/>
            </w:pPr>
            <w:r>
              <w:rPr>
                <w:b w:val="0"/>
                <w:i w:val="0"/>
                <w:sz w:val="20"/>
              </w:rPr>
              <w:t>Спечённые магниты NdFeB</w:t>
            </w:r>
          </w:p>
        </w:tc>
        <w:tc>
          <w:tcPr>
            <w:tcW w:type="dxa" w:w="3324"/>
          </w:tcPr>
          <w:p>
            <w:pPr>
              <w:spacing w:after="0" w:line="240" w:lineRule="auto"/>
              <w:ind w:firstLine="0"/>
              <w:jc w:val="center"/>
            </w:pPr>
            <w:r>
              <w:rPr>
                <w:b w:val="0"/>
                <w:i w:val="0"/>
                <w:sz w:val="20"/>
              </w:rPr>
              <w:t>5–6</w:t>
            </w:r>
          </w:p>
        </w:tc>
        <w:tc>
          <w:tcPr>
            <w:tcW w:type="dxa" w:w="3324"/>
          </w:tcPr>
          <w:p>
            <w:pPr>
              <w:spacing w:after="0" w:line="240" w:lineRule="auto"/>
              <w:ind w:firstLine="0"/>
              <w:jc w:val="center"/>
            </w:pPr>
            <w:r>
              <w:rPr>
                <w:b w:val="0"/>
                <w:i w:val="0"/>
                <w:sz w:val="20"/>
              </w:rPr>
              <w:t>опытное производство</w:t>
            </w:r>
          </w:p>
        </w:tc>
      </w:tr>
      <w:tr>
        <w:tc>
          <w:tcPr>
            <w:tcW w:type="dxa" w:w="3324"/>
          </w:tcPr>
          <w:p>
            <w:pPr>
              <w:spacing w:after="0" w:line="240" w:lineRule="auto"/>
              <w:ind w:firstLine="0"/>
              <w:jc w:val="left"/>
            </w:pPr>
            <w:r>
              <w:rPr>
                <w:b w:val="0"/>
                <w:i w:val="0"/>
                <w:sz w:val="20"/>
              </w:rPr>
              <w:t>Зернограничная диффузия</w:t>
            </w:r>
          </w:p>
        </w:tc>
        <w:tc>
          <w:tcPr>
            <w:tcW w:type="dxa" w:w="3324"/>
          </w:tcPr>
          <w:p>
            <w:pPr>
              <w:spacing w:after="0" w:line="240" w:lineRule="auto"/>
              <w:ind w:firstLine="0"/>
              <w:jc w:val="center"/>
            </w:pPr>
            <w:r>
              <w:rPr>
                <w:b w:val="0"/>
                <w:i w:val="0"/>
                <w:sz w:val="20"/>
              </w:rPr>
              <w:t>3–4</w:t>
            </w:r>
          </w:p>
        </w:tc>
        <w:tc>
          <w:tcPr>
            <w:tcW w:type="dxa" w:w="3324"/>
          </w:tcPr>
          <w:p>
            <w:pPr>
              <w:spacing w:after="0" w:line="240" w:lineRule="auto"/>
              <w:ind w:firstLine="0"/>
              <w:jc w:val="center"/>
            </w:pPr>
            <w:r>
              <w:rPr>
                <w:b w:val="0"/>
                <w:i w:val="0"/>
                <w:sz w:val="20"/>
              </w:rPr>
              <w:t>исследования</w:t>
            </w:r>
          </w:p>
        </w:tc>
      </w:tr>
      <w:tr>
        <w:tc>
          <w:tcPr>
            <w:tcW w:type="dxa" w:w="3324"/>
          </w:tcPr>
          <w:p>
            <w:pPr>
              <w:spacing w:after="0" w:line="240" w:lineRule="auto"/>
              <w:ind w:firstLine="0"/>
              <w:jc w:val="left"/>
            </w:pPr>
            <w:r>
              <w:rPr>
                <w:b w:val="0"/>
                <w:i w:val="0"/>
                <w:sz w:val="20"/>
              </w:rPr>
              <w:t>Рециклинг магнитов</w:t>
            </w:r>
          </w:p>
        </w:tc>
        <w:tc>
          <w:tcPr>
            <w:tcW w:type="dxa" w:w="3324"/>
          </w:tcPr>
          <w:p>
            <w:pPr>
              <w:spacing w:after="0" w:line="240" w:lineRule="auto"/>
              <w:ind w:firstLine="0"/>
              <w:jc w:val="center"/>
            </w:pPr>
            <w:r>
              <w:rPr>
                <w:b w:val="0"/>
                <w:i w:val="0"/>
                <w:sz w:val="20"/>
              </w:rPr>
              <w:t>4–5</w:t>
            </w:r>
          </w:p>
        </w:tc>
        <w:tc>
          <w:tcPr>
            <w:tcW w:type="dxa" w:w="3324"/>
          </w:tcPr>
          <w:p>
            <w:pPr>
              <w:spacing w:after="0" w:line="240" w:lineRule="auto"/>
              <w:ind w:firstLine="0"/>
              <w:jc w:val="center"/>
            </w:pPr>
            <w:r>
              <w:rPr>
                <w:b w:val="0"/>
                <w:i w:val="0"/>
                <w:sz w:val="20"/>
              </w:rPr>
              <w:t>лабораторный уровень</w:t>
            </w:r>
          </w:p>
        </w:tc>
      </w:tr>
    </w:tbl>
    <w:p>
      <w:pPr>
        <w:spacing w:after="180"/>
        <w:ind w:firstLine="0"/>
      </w:pPr>
      <w:r>
        <w:rPr>
          <w:i/>
          <w:sz w:val="20"/>
        </w:rPr>
        <w:t>Источник: оценка аналитического центра</w:t>
      </w:r>
    </w:p>
    <w:p>
      <w:pPr>
        <w:keepNext/>
        <w:spacing w:before="160" w:after="60"/>
        <w:ind w:firstLine="0"/>
        <w:jc w:val="left"/>
      </w:pPr>
      <w:r>
        <w:rPr>
          <w:b/>
          <w:sz w:val="22"/>
        </w:rPr>
        <w:t>Рисунок 63. Уровень технологической готовности (TRL) российских решений по переделам редкоземельной цепочки</w:t>
      </w:r>
    </w:p>
    <w:p>
      <w:pPr>
        <w:ind w:firstLine="0"/>
        <w:jc w:val="center"/>
      </w:pPr>
      <w:r>
        <w:drawing>
          <wp:inline xmlns:a="http://schemas.openxmlformats.org/drawingml/2006/main" xmlns:pic="http://schemas.openxmlformats.org/drawingml/2006/picture">
            <wp:extent cx="5580000" cy="2749565"/>
            <wp:docPr id="63" name="Picture 63"/>
            <wp:cNvGraphicFramePr>
              <a:graphicFrameLocks noChangeAspect="1"/>
            </wp:cNvGraphicFramePr>
            <a:graphic>
              <a:graphicData uri="http://schemas.openxmlformats.org/drawingml/2006/picture">
                <pic:pic>
                  <pic:nvPicPr>
                    <pic:cNvPr id="0" name="fig63.png"/>
                    <pic:cNvPicPr/>
                  </pic:nvPicPr>
                  <pic:blipFill>
                    <a:blip r:embed="rId73"/>
                    <a:stretch>
                      <a:fillRect/>
                    </a:stretch>
                  </pic:blipFill>
                  <pic:spPr>
                    <a:xfrm>
                      <a:off x="0" y="0"/>
                      <a:ext cx="5580000" cy="2749565"/>
                    </a:xfrm>
                    <a:prstGeom prst="rect"/>
                  </pic:spPr>
                </pic:pic>
              </a:graphicData>
            </a:graphic>
          </wp:inline>
        </w:drawing>
      </w:r>
    </w:p>
    <w:p>
      <w:pPr>
        <w:spacing w:after="180"/>
        <w:ind w:firstLine="0"/>
      </w:pPr>
      <w:r>
        <w:rPr>
          <w:i/>
          <w:sz w:val="20"/>
        </w:rPr>
        <w:t>Источник: оценка аналитического центра (табл. 82)</w:t>
      </w:r>
    </w:p>
    <w:p>
      <w:r>
        <w:rPr>
          <w:b w:val="0"/>
          <w:i w:val="0"/>
        </w:rPr>
        <w:t>Данные таблицы 82 и рисунка 63 указывают на характер основного технологического разрыва. Российская отрасль обладает промышленно освоенными технологиями на входе цепочки (добыча, вскрытие) и не имеет их на выходе (магниты, зернограничная диффузия, рециклинг). Между тем именно выходные переделы формируют основную добавленную стоимость и определяют потребительскую ценность всей цепочки. Инвестиции, направляемые преимущественно в расширение добычи без параллельного форсированного закрытия технологического разрыва на конечных переделах, воспроизведут сложившуюся за два десятилетия модель: экспорт полупродуктов при импорте конечных изделий.</w:t>
      </w:r>
    </w:p>
    <w:p>
      <w:r>
        <w:br w:type="page"/>
      </w:r>
    </w:p>
    <w:p>
      <w:pPr>
        <w:pStyle w:val="Heading1"/>
      </w:pPr>
      <w:r>
        <w:rPr>
          <w:b w:val="0"/>
          <w:i w:val="0"/>
        </w:rPr>
        <w:t>12. Технологии переработки редкоземельного сырья и научно-технический задел</w:t>
      </w:r>
    </w:p>
    <w:p>
      <w:pPr>
        <w:pStyle w:val="Heading2"/>
      </w:pPr>
      <w:r>
        <w:rPr>
          <w:b w:val="0"/>
          <w:i w:val="0"/>
        </w:rPr>
        <w:t>12.1. Общая схема технологического передела</w:t>
      </w:r>
    </w:p>
    <w:p>
      <w:r>
        <w:rPr>
          <w:b w:val="0"/>
          <w:i w:val="0"/>
        </w:rPr>
        <w:t>Переработка редкоземельного сырья представляет собой последовательность из четырёх принципиально разных по физико-химической природе стадий, каждая из которых требует самостоятельных компетенций, оборудования и регламентов.</w:t>
      </w:r>
    </w:p>
    <w:p>
      <w:r>
        <w:rPr>
          <w:b/>
          <w:i w:val="0"/>
        </w:rPr>
        <w:t>Стадия 1. Обогащение.</w:t>
      </w:r>
      <w:r>
        <w:rPr>
          <w:b w:val="0"/>
          <w:i w:val="0"/>
        </w:rPr>
        <w:t xml:space="preserve"> Получение минерального концентрата из руды. Применяемые методы зависят от типа сырья: флотация (бастнезит, монацит, апатит), гравитация (лопарит, россыпи), магнитная и электростатическая сепарация (россыпи), а для ионно-адсорбционных руд стадия отсутствует — выщелачивание ведётся непосредственно из руды.</w:t>
      </w:r>
    </w:p>
    <w:p>
      <w:r>
        <w:rPr>
          <w:b w:val="0"/>
          <w:i w:val="0"/>
        </w:rPr>
        <w:t>Ключевые показатели стадии — извлечение (для лопарита 75–78%, для бастнезита 65–75%, для апатита при попутном извлечении — определяется схемой основного продукта) и качество концентрата.</w:t>
      </w:r>
    </w:p>
    <w:p>
      <w:r>
        <w:rPr>
          <w:b/>
          <w:i w:val="0"/>
        </w:rPr>
        <w:t>Стадия 2. Вскрытие (декомпозиция).</w:t>
      </w:r>
      <w:r>
        <w:rPr>
          <w:b w:val="0"/>
          <w:i w:val="0"/>
        </w:rPr>
        <w:t xml:space="preserve"> Перевод редких земель из минеральной формы в растворимую. Основные методы:</w:t>
      </w:r>
    </w:p>
    <w:p>
      <w:pPr>
        <w:pStyle w:val="ListBullet"/>
        <w:spacing w:after="20"/>
        <w:ind w:firstLine="0"/>
      </w:pPr>
      <w:r>
        <w:rPr>
          <w:b/>
          <w:i w:val="0"/>
        </w:rPr>
        <w:t>сернокислотное вскрытие</w:t>
      </w:r>
      <w:r>
        <w:rPr>
          <w:b w:val="0"/>
          <w:i w:val="0"/>
        </w:rPr>
        <w:t xml:space="preserve"> — обжиг с концентрированной серной кислотой при 200–600 °C с последующим водным выщелачиванием. Применяется для бастнезита (Mount Weld/LAMP, Mountain Pass), монацита, апатита. Достоинства: универсальность, освоенность. Недостатки: большое количество отходов, необходимость обращения с фтористыми и сернистыми газами;</w:t>
      </w:r>
    </w:p>
    <w:p>
      <w:pPr>
        <w:pStyle w:val="ListBullet"/>
        <w:spacing w:after="20"/>
        <w:ind w:firstLine="0"/>
      </w:pPr>
      <w:r>
        <w:rPr>
          <w:b/>
          <w:i w:val="0"/>
        </w:rPr>
        <w:t>щелочное вскрытие</w:t>
      </w:r>
      <w:r>
        <w:rPr>
          <w:b w:val="0"/>
          <w:i w:val="0"/>
        </w:rPr>
        <w:t xml:space="preserve"> — обработка раствором или расплавом гидроксида натрия. Применяется для монацита (позволяет отделить фосфат в виде тринатрийфосфата — товарного продукта). Достоинства: относительная чистота процесса. Недостатки: высокий расход реагента;</w:t>
      </w:r>
    </w:p>
    <w:p>
      <w:pPr>
        <w:pStyle w:val="ListBullet"/>
        <w:spacing w:after="20"/>
        <w:ind w:firstLine="0"/>
      </w:pPr>
      <w:r>
        <w:rPr>
          <w:b/>
          <w:i w:val="0"/>
        </w:rPr>
        <w:t>хлорное вскрытие</w:t>
      </w:r>
      <w:r>
        <w:rPr>
          <w:b w:val="0"/>
          <w:i w:val="0"/>
        </w:rPr>
        <w:t xml:space="preserve"> — хлорирование в расплаве солей. Применяется на АО «СМЗ» для лопарита. Достоинство: комплексность (одновременное вскрытие титановой, ниобиевой, танталовой и редкоземельной составляющих). Недостаток: сложность аппаратурного оформления, коррозионная агрессивность;</w:t>
      </w:r>
    </w:p>
    <w:p>
      <w:pPr>
        <w:pStyle w:val="ListBullet"/>
        <w:spacing w:after="20"/>
        <w:ind w:firstLine="0"/>
      </w:pPr>
      <w:r>
        <w:rPr>
          <w:b/>
          <w:i w:val="0"/>
        </w:rPr>
        <w:t>автоклавное вскрытие</w:t>
      </w:r>
      <w:r>
        <w:rPr>
          <w:b w:val="0"/>
          <w:i w:val="0"/>
        </w:rPr>
        <w:t xml:space="preserve"> — обработка при повышенных температуре и давлении. Рассматривается для руд Томтора и эвдиалита;</w:t>
      </w:r>
    </w:p>
    <w:p>
      <w:pPr>
        <w:pStyle w:val="ListBullet"/>
        <w:spacing w:after="20"/>
        <w:ind w:firstLine="0"/>
      </w:pPr>
      <w:r>
        <w:rPr>
          <w:b/>
          <w:i w:val="0"/>
        </w:rPr>
        <w:t>азотнокислотное вскрытие</w:t>
      </w:r>
      <w:r>
        <w:rPr>
          <w:b w:val="0"/>
          <w:i w:val="0"/>
        </w:rPr>
        <w:t xml:space="preserve"> — применяется для апатита и фосфогипса; позволяет получать в качестве побочного продукта нитрат кальция.</w:t>
      </w:r>
    </w:p>
    <w:p>
      <w:r>
        <w:rPr>
          <w:b/>
          <w:i w:val="0"/>
        </w:rPr>
        <w:t>Стадия 3. Разделение.</w:t>
      </w:r>
      <w:r>
        <w:rPr>
          <w:b w:val="0"/>
          <w:i w:val="0"/>
        </w:rPr>
        <w:t xml:space="preserve"> Получение индивидуальных соединений. Основной промышленный метод — многоступенчатая противоточная жидкостная экстракция в каскадах смесителей-отстойников. Экстрагенты: ди-2-этилгексилфосфорная кислота (Д2ЭГФК), 2-этилгексилфосфоновая кислота (P507), трибутилфосфат (ТБФ), карбоновые кислоты, четвертичные аммониевые основания.</w:t>
      </w:r>
    </w:p>
    <w:p>
      <w:r>
        <w:rPr>
          <w:b w:val="0"/>
          <w:i w:val="0"/>
        </w:rPr>
        <w:t>Ключевые характеристики стадии: число ступеней (50–100 для чистоты 99,9%, до 300–500 для 99,999%), время выхода каскада на режим (2–8 недель), объём органической фазы в обороте (сотни кубометров), потери экстрагента.</w:t>
      </w:r>
    </w:p>
    <w:p>
      <w:r>
        <w:rPr>
          <w:b w:val="0"/>
          <w:i w:val="0"/>
        </w:rPr>
        <w:t>Вспомогательные методы: селективное окисление церия до Ce(IV) с последующим осаждением; восстановление европия до Eu(II) с осаждением сульфата; ионный обмен и экстракционная хроматография для получения продуктов особой чистоты и разделения тяжёлой группы.</w:t>
      </w:r>
    </w:p>
    <w:p>
      <w:r>
        <w:rPr>
          <w:b/>
          <w:i w:val="0"/>
        </w:rPr>
        <w:t>Стадия 4. Восстановление до металла.</w:t>
      </w:r>
      <w:r>
        <w:rPr>
          <w:b w:val="0"/>
          <w:i w:val="0"/>
        </w:rPr>
        <w:t xml:space="preserve"> Для лёгких элементов — электролиз расплава фторидов и оксидов в графитовых или молибденовых ваннах при 1 000–1 100 °C. Для тяжёлых элементов, обладающих высокими температурами плавления, — металлотермическое восстановление фторидов кальцием в вакууме с последующей дистилляционной очисткой.</w:t>
      </w:r>
    </w:p>
    <w:p>
      <w:pPr>
        <w:keepNext/>
        <w:spacing w:before="160" w:after="60"/>
        <w:ind w:firstLine="0"/>
        <w:jc w:val="left"/>
      </w:pPr>
      <w:r>
        <w:rPr>
          <w:b/>
          <w:sz w:val="22"/>
        </w:rPr>
        <w:t>Таблица 83. Технологические схемы переработки редкоземельного сырья различных типов</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Тип сырья</w:t>
            </w:r>
          </w:p>
        </w:tc>
        <w:tc>
          <w:tcPr>
            <w:tcW w:type="dxa" w:w="1995"/>
            <w:shd w:val="clear" w:fill="DCE6F1"/>
          </w:tcPr>
          <w:p>
            <w:pPr>
              <w:spacing w:after="0" w:line="240" w:lineRule="auto"/>
              <w:ind w:firstLine="0"/>
              <w:jc w:val="center"/>
            </w:pPr>
            <w:r>
              <w:rPr>
                <w:b/>
                <w:i w:val="0"/>
                <w:sz w:val="20"/>
              </w:rPr>
              <w:t>Обогащение</w:t>
            </w:r>
          </w:p>
        </w:tc>
        <w:tc>
          <w:tcPr>
            <w:tcW w:type="dxa" w:w="1995"/>
            <w:shd w:val="clear" w:fill="DCE6F1"/>
          </w:tcPr>
          <w:p>
            <w:pPr>
              <w:spacing w:after="0" w:line="240" w:lineRule="auto"/>
              <w:ind w:firstLine="0"/>
              <w:jc w:val="center"/>
            </w:pPr>
            <w:r>
              <w:rPr>
                <w:b/>
                <w:i w:val="0"/>
                <w:sz w:val="20"/>
              </w:rPr>
              <w:t>Вскрытие</w:t>
            </w:r>
          </w:p>
        </w:tc>
        <w:tc>
          <w:tcPr>
            <w:tcW w:type="dxa" w:w="1995"/>
            <w:shd w:val="clear" w:fill="DCE6F1"/>
          </w:tcPr>
          <w:p>
            <w:pPr>
              <w:spacing w:after="0" w:line="240" w:lineRule="auto"/>
              <w:ind w:firstLine="0"/>
              <w:jc w:val="center"/>
            </w:pPr>
            <w:r>
              <w:rPr>
                <w:b/>
                <w:i w:val="0"/>
                <w:sz w:val="20"/>
              </w:rPr>
              <w:t>Извлечение TREO, %</w:t>
            </w:r>
          </w:p>
        </w:tc>
        <w:tc>
          <w:tcPr>
            <w:tcW w:type="dxa" w:w="1995"/>
            <w:shd w:val="clear" w:fill="DCE6F1"/>
          </w:tcPr>
          <w:p>
            <w:pPr>
              <w:spacing w:after="0" w:line="240" w:lineRule="auto"/>
              <w:ind w:firstLine="0"/>
              <w:jc w:val="center"/>
            </w:pPr>
            <w:r>
              <w:rPr>
                <w:b/>
                <w:i w:val="0"/>
                <w:sz w:val="20"/>
              </w:rPr>
              <w:t>Уд. расход реагентов</w:t>
            </w:r>
          </w:p>
        </w:tc>
      </w:tr>
      <w:tr>
        <w:tc>
          <w:tcPr>
            <w:tcW w:type="dxa" w:w="1995"/>
          </w:tcPr>
          <w:p>
            <w:pPr>
              <w:spacing w:after="0" w:line="240" w:lineRule="auto"/>
              <w:ind w:firstLine="0"/>
              <w:jc w:val="left"/>
            </w:pPr>
            <w:r>
              <w:rPr>
                <w:b w:val="0"/>
                <w:i w:val="0"/>
                <w:sz w:val="20"/>
              </w:rPr>
              <w:t>Бастнезит</w:t>
            </w:r>
          </w:p>
        </w:tc>
        <w:tc>
          <w:tcPr>
            <w:tcW w:type="dxa" w:w="1995"/>
          </w:tcPr>
          <w:p>
            <w:pPr>
              <w:spacing w:after="0" w:line="240" w:lineRule="auto"/>
              <w:ind w:firstLine="0"/>
              <w:jc w:val="center"/>
            </w:pPr>
            <w:r>
              <w:rPr>
                <w:b w:val="0"/>
                <w:i w:val="0"/>
                <w:sz w:val="20"/>
              </w:rPr>
              <w:t>флотация</w:t>
            </w:r>
          </w:p>
        </w:tc>
        <w:tc>
          <w:tcPr>
            <w:tcW w:type="dxa" w:w="1995"/>
          </w:tcPr>
          <w:p>
            <w:pPr>
              <w:spacing w:after="0" w:line="240" w:lineRule="auto"/>
              <w:ind w:firstLine="0"/>
              <w:jc w:val="center"/>
            </w:pPr>
            <w:r>
              <w:rPr>
                <w:b w:val="0"/>
                <w:i w:val="0"/>
                <w:sz w:val="20"/>
              </w:rPr>
              <w:t>сернокислотный обжиг</w:t>
            </w:r>
          </w:p>
        </w:tc>
        <w:tc>
          <w:tcPr>
            <w:tcW w:type="dxa" w:w="1995"/>
          </w:tcPr>
          <w:p>
            <w:pPr>
              <w:spacing w:after="0" w:line="240" w:lineRule="auto"/>
              <w:ind w:firstLine="0"/>
              <w:jc w:val="center"/>
            </w:pPr>
            <w:r>
              <w:rPr>
                <w:b w:val="0"/>
                <w:i w:val="0"/>
                <w:sz w:val="20"/>
              </w:rPr>
              <w:t>65–75</w:t>
            </w:r>
          </w:p>
        </w:tc>
        <w:tc>
          <w:tcPr>
            <w:tcW w:type="dxa" w:w="1995"/>
          </w:tcPr>
          <w:p>
            <w:pPr>
              <w:spacing w:after="0" w:line="240" w:lineRule="auto"/>
              <w:ind w:firstLine="0"/>
              <w:jc w:val="center"/>
            </w:pPr>
            <w:r>
              <w:rPr>
                <w:b w:val="0"/>
                <w:i w:val="0"/>
                <w:sz w:val="20"/>
              </w:rPr>
              <w:t>H₂SO₄ 1,2–1,8 т/т конц.</w:t>
            </w:r>
          </w:p>
        </w:tc>
      </w:tr>
      <w:tr>
        <w:tc>
          <w:tcPr>
            <w:tcW w:type="dxa" w:w="1995"/>
          </w:tcPr>
          <w:p>
            <w:pPr>
              <w:spacing w:after="0" w:line="240" w:lineRule="auto"/>
              <w:ind w:firstLine="0"/>
              <w:jc w:val="left"/>
            </w:pPr>
            <w:r>
              <w:rPr>
                <w:b w:val="0"/>
                <w:i w:val="0"/>
                <w:sz w:val="20"/>
              </w:rPr>
              <w:t>Монацит</w:t>
            </w:r>
          </w:p>
        </w:tc>
        <w:tc>
          <w:tcPr>
            <w:tcW w:type="dxa" w:w="1995"/>
          </w:tcPr>
          <w:p>
            <w:pPr>
              <w:spacing w:after="0" w:line="240" w:lineRule="auto"/>
              <w:ind w:firstLine="0"/>
              <w:jc w:val="center"/>
            </w:pPr>
            <w:r>
              <w:rPr>
                <w:b w:val="0"/>
                <w:i w:val="0"/>
                <w:sz w:val="20"/>
              </w:rPr>
              <w:t>гравитация, магн. сеп.</w:t>
            </w:r>
          </w:p>
        </w:tc>
        <w:tc>
          <w:tcPr>
            <w:tcW w:type="dxa" w:w="1995"/>
          </w:tcPr>
          <w:p>
            <w:pPr>
              <w:spacing w:after="0" w:line="240" w:lineRule="auto"/>
              <w:ind w:firstLine="0"/>
              <w:jc w:val="center"/>
            </w:pPr>
            <w:r>
              <w:rPr>
                <w:b w:val="0"/>
                <w:i w:val="0"/>
                <w:sz w:val="20"/>
              </w:rPr>
              <w:t>щелочное или сернокислотное</w:t>
            </w:r>
          </w:p>
        </w:tc>
        <w:tc>
          <w:tcPr>
            <w:tcW w:type="dxa" w:w="1995"/>
          </w:tcPr>
          <w:p>
            <w:pPr>
              <w:spacing w:after="0" w:line="240" w:lineRule="auto"/>
              <w:ind w:firstLine="0"/>
              <w:jc w:val="center"/>
            </w:pPr>
            <w:r>
              <w:rPr>
                <w:b w:val="0"/>
                <w:i w:val="0"/>
                <w:sz w:val="20"/>
              </w:rPr>
              <w:t>85–92</w:t>
            </w:r>
          </w:p>
        </w:tc>
        <w:tc>
          <w:tcPr>
            <w:tcW w:type="dxa" w:w="1995"/>
          </w:tcPr>
          <w:p>
            <w:pPr>
              <w:spacing w:after="0" w:line="240" w:lineRule="auto"/>
              <w:ind w:firstLine="0"/>
              <w:jc w:val="center"/>
            </w:pPr>
            <w:r>
              <w:rPr>
                <w:b w:val="0"/>
                <w:i w:val="0"/>
                <w:sz w:val="20"/>
              </w:rPr>
              <w:t>NaOH 0,9–1,3 т/т конц.</w:t>
            </w:r>
          </w:p>
        </w:tc>
      </w:tr>
      <w:tr>
        <w:tc>
          <w:tcPr>
            <w:tcW w:type="dxa" w:w="1995"/>
          </w:tcPr>
          <w:p>
            <w:pPr>
              <w:spacing w:after="0" w:line="240" w:lineRule="auto"/>
              <w:ind w:firstLine="0"/>
              <w:jc w:val="left"/>
            </w:pPr>
            <w:r>
              <w:rPr>
                <w:b w:val="0"/>
                <w:i w:val="0"/>
                <w:sz w:val="20"/>
              </w:rPr>
              <w:t>Ионно-адсорбц. глины</w:t>
            </w:r>
          </w:p>
        </w:tc>
        <w:tc>
          <w:tcPr>
            <w:tcW w:type="dxa" w:w="1995"/>
          </w:tcPr>
          <w:p>
            <w:pPr>
              <w:spacing w:after="0" w:line="240" w:lineRule="auto"/>
              <w:ind w:firstLine="0"/>
              <w:jc w:val="center"/>
            </w:pPr>
            <w:r>
              <w:rPr>
                <w:b w:val="0"/>
                <w:i w:val="0"/>
                <w:sz w:val="20"/>
              </w:rPr>
              <w:t>не требуется</w:t>
            </w:r>
          </w:p>
        </w:tc>
        <w:tc>
          <w:tcPr>
            <w:tcW w:type="dxa" w:w="1995"/>
          </w:tcPr>
          <w:p>
            <w:pPr>
              <w:spacing w:after="0" w:line="240" w:lineRule="auto"/>
              <w:ind w:firstLine="0"/>
              <w:jc w:val="center"/>
            </w:pPr>
            <w:r>
              <w:rPr>
                <w:b w:val="0"/>
                <w:i w:val="0"/>
                <w:sz w:val="20"/>
              </w:rPr>
              <w:t>выщелачивание (NH₄)₂SO₄</w:t>
            </w:r>
          </w:p>
        </w:tc>
        <w:tc>
          <w:tcPr>
            <w:tcW w:type="dxa" w:w="1995"/>
          </w:tcPr>
          <w:p>
            <w:pPr>
              <w:spacing w:after="0" w:line="240" w:lineRule="auto"/>
              <w:ind w:firstLine="0"/>
              <w:jc w:val="center"/>
            </w:pPr>
            <w:r>
              <w:rPr>
                <w:b w:val="0"/>
                <w:i w:val="0"/>
                <w:sz w:val="20"/>
              </w:rPr>
              <w:t>75–90</w:t>
            </w:r>
          </w:p>
        </w:tc>
        <w:tc>
          <w:tcPr>
            <w:tcW w:type="dxa" w:w="1995"/>
          </w:tcPr>
          <w:p>
            <w:pPr>
              <w:spacing w:after="0" w:line="240" w:lineRule="auto"/>
              <w:ind w:firstLine="0"/>
              <w:jc w:val="center"/>
            </w:pPr>
            <w:r>
              <w:rPr>
                <w:b w:val="0"/>
                <w:i w:val="0"/>
                <w:sz w:val="20"/>
              </w:rPr>
              <w:t>соль 5–9 кг/т руды</w:t>
            </w:r>
          </w:p>
        </w:tc>
      </w:tr>
      <w:tr>
        <w:tc>
          <w:tcPr>
            <w:tcW w:type="dxa" w:w="1995"/>
          </w:tcPr>
          <w:p>
            <w:pPr>
              <w:spacing w:after="0" w:line="240" w:lineRule="auto"/>
              <w:ind w:firstLine="0"/>
              <w:jc w:val="left"/>
            </w:pPr>
            <w:r>
              <w:rPr>
                <w:b w:val="0"/>
                <w:i w:val="0"/>
                <w:sz w:val="20"/>
              </w:rPr>
              <w:t>Лопарит</w:t>
            </w:r>
          </w:p>
        </w:tc>
        <w:tc>
          <w:tcPr>
            <w:tcW w:type="dxa" w:w="1995"/>
          </w:tcPr>
          <w:p>
            <w:pPr>
              <w:spacing w:after="0" w:line="240" w:lineRule="auto"/>
              <w:ind w:firstLine="0"/>
              <w:jc w:val="center"/>
            </w:pPr>
            <w:r>
              <w:rPr>
                <w:b w:val="0"/>
                <w:i w:val="0"/>
                <w:sz w:val="20"/>
              </w:rPr>
              <w:t>гравитация, флотация</w:t>
            </w:r>
          </w:p>
        </w:tc>
        <w:tc>
          <w:tcPr>
            <w:tcW w:type="dxa" w:w="1995"/>
          </w:tcPr>
          <w:p>
            <w:pPr>
              <w:spacing w:after="0" w:line="240" w:lineRule="auto"/>
              <w:ind w:firstLine="0"/>
              <w:jc w:val="center"/>
            </w:pPr>
            <w:r>
              <w:rPr>
                <w:b w:val="0"/>
                <w:i w:val="0"/>
                <w:sz w:val="20"/>
              </w:rPr>
              <w:t>хлорирование в расплаве</w:t>
            </w:r>
          </w:p>
        </w:tc>
        <w:tc>
          <w:tcPr>
            <w:tcW w:type="dxa" w:w="1995"/>
          </w:tcPr>
          <w:p>
            <w:pPr>
              <w:spacing w:after="0" w:line="240" w:lineRule="auto"/>
              <w:ind w:firstLine="0"/>
              <w:jc w:val="center"/>
            </w:pPr>
            <w:r>
              <w:rPr>
                <w:b w:val="0"/>
                <w:i w:val="0"/>
                <w:sz w:val="20"/>
              </w:rPr>
              <w:t>88–93</w:t>
            </w:r>
          </w:p>
        </w:tc>
        <w:tc>
          <w:tcPr>
            <w:tcW w:type="dxa" w:w="1995"/>
          </w:tcPr>
          <w:p>
            <w:pPr>
              <w:spacing w:after="0" w:line="240" w:lineRule="auto"/>
              <w:ind w:firstLine="0"/>
              <w:jc w:val="center"/>
            </w:pPr>
            <w:r>
              <w:rPr>
                <w:b w:val="0"/>
                <w:i w:val="0"/>
                <w:sz w:val="20"/>
              </w:rPr>
              <w:t>Cl₂ 0,55 т/т конц.</w:t>
            </w:r>
          </w:p>
        </w:tc>
      </w:tr>
      <w:tr>
        <w:tc>
          <w:tcPr>
            <w:tcW w:type="dxa" w:w="1995"/>
          </w:tcPr>
          <w:p>
            <w:pPr>
              <w:spacing w:after="0" w:line="240" w:lineRule="auto"/>
              <w:ind w:firstLine="0"/>
              <w:jc w:val="left"/>
            </w:pPr>
            <w:r>
              <w:rPr>
                <w:b w:val="0"/>
                <w:i w:val="0"/>
                <w:sz w:val="20"/>
              </w:rPr>
              <w:t>Эвдиалит</w:t>
            </w:r>
          </w:p>
        </w:tc>
        <w:tc>
          <w:tcPr>
            <w:tcW w:type="dxa" w:w="1995"/>
          </w:tcPr>
          <w:p>
            <w:pPr>
              <w:spacing w:after="0" w:line="240" w:lineRule="auto"/>
              <w:ind w:firstLine="0"/>
              <w:jc w:val="center"/>
            </w:pPr>
            <w:r>
              <w:rPr>
                <w:b w:val="0"/>
                <w:i w:val="0"/>
                <w:sz w:val="20"/>
              </w:rPr>
              <w:t>магнитная сепарация</w:t>
            </w:r>
          </w:p>
        </w:tc>
        <w:tc>
          <w:tcPr>
            <w:tcW w:type="dxa" w:w="1995"/>
          </w:tcPr>
          <w:p>
            <w:pPr>
              <w:spacing w:after="0" w:line="240" w:lineRule="auto"/>
              <w:ind w:firstLine="0"/>
              <w:jc w:val="center"/>
            </w:pPr>
            <w:r>
              <w:rPr>
                <w:b w:val="0"/>
                <w:i w:val="0"/>
                <w:sz w:val="20"/>
              </w:rPr>
              <w:t>кислотное (HCl, HNO₃)</w:t>
            </w:r>
          </w:p>
        </w:tc>
        <w:tc>
          <w:tcPr>
            <w:tcW w:type="dxa" w:w="1995"/>
          </w:tcPr>
          <w:p>
            <w:pPr>
              <w:spacing w:after="0" w:line="240" w:lineRule="auto"/>
              <w:ind w:firstLine="0"/>
              <w:jc w:val="center"/>
            </w:pPr>
            <w:r>
              <w:rPr>
                <w:b w:val="0"/>
                <w:i w:val="0"/>
                <w:sz w:val="20"/>
              </w:rPr>
              <w:t>70–85</w:t>
            </w:r>
          </w:p>
        </w:tc>
        <w:tc>
          <w:tcPr>
            <w:tcW w:type="dxa" w:w="1995"/>
          </w:tcPr>
          <w:p>
            <w:pPr>
              <w:spacing w:after="0" w:line="240" w:lineRule="auto"/>
              <w:ind w:firstLine="0"/>
              <w:jc w:val="center"/>
            </w:pPr>
            <w:r>
              <w:rPr>
                <w:b w:val="0"/>
                <w:i w:val="0"/>
                <w:sz w:val="20"/>
              </w:rPr>
              <w:t>кислота 2,5–4,0 т/т конц.</w:t>
            </w:r>
          </w:p>
        </w:tc>
      </w:tr>
      <w:tr>
        <w:tc>
          <w:tcPr>
            <w:tcW w:type="dxa" w:w="1995"/>
          </w:tcPr>
          <w:p>
            <w:pPr>
              <w:spacing w:after="0" w:line="240" w:lineRule="auto"/>
              <w:ind w:firstLine="0"/>
              <w:jc w:val="left"/>
            </w:pPr>
            <w:r>
              <w:rPr>
                <w:b w:val="0"/>
                <w:i w:val="0"/>
                <w:sz w:val="20"/>
              </w:rPr>
              <w:t>Апатит</w:t>
            </w:r>
          </w:p>
        </w:tc>
        <w:tc>
          <w:tcPr>
            <w:tcW w:type="dxa" w:w="1995"/>
          </w:tcPr>
          <w:p>
            <w:pPr>
              <w:spacing w:after="0" w:line="240" w:lineRule="auto"/>
              <w:ind w:firstLine="0"/>
              <w:jc w:val="center"/>
            </w:pPr>
            <w:r>
              <w:rPr>
                <w:b w:val="0"/>
                <w:i w:val="0"/>
                <w:sz w:val="20"/>
              </w:rPr>
              <w:t>флотация</w:t>
            </w:r>
          </w:p>
        </w:tc>
        <w:tc>
          <w:tcPr>
            <w:tcW w:type="dxa" w:w="1995"/>
          </w:tcPr>
          <w:p>
            <w:pPr>
              <w:spacing w:after="0" w:line="240" w:lineRule="auto"/>
              <w:ind w:firstLine="0"/>
              <w:jc w:val="center"/>
            </w:pPr>
            <w:r>
              <w:rPr>
                <w:b w:val="0"/>
                <w:i w:val="0"/>
                <w:sz w:val="20"/>
              </w:rPr>
              <w:t>азотнокислотное, сернокислотное</w:t>
            </w:r>
          </w:p>
        </w:tc>
        <w:tc>
          <w:tcPr>
            <w:tcW w:type="dxa" w:w="1995"/>
          </w:tcPr>
          <w:p>
            <w:pPr>
              <w:spacing w:after="0" w:line="240" w:lineRule="auto"/>
              <w:ind w:firstLine="0"/>
              <w:jc w:val="center"/>
            </w:pPr>
            <w:r>
              <w:rPr>
                <w:b w:val="0"/>
                <w:i w:val="0"/>
                <w:sz w:val="20"/>
              </w:rPr>
              <w:t>40–75</w:t>
            </w:r>
          </w:p>
        </w:tc>
        <w:tc>
          <w:tcPr>
            <w:tcW w:type="dxa" w:w="1995"/>
          </w:tcPr>
          <w:p>
            <w:pPr>
              <w:spacing w:after="0" w:line="240" w:lineRule="auto"/>
              <w:ind w:firstLine="0"/>
              <w:jc w:val="center"/>
            </w:pPr>
            <w:r>
              <w:rPr>
                <w:b w:val="0"/>
                <w:i w:val="0"/>
                <w:sz w:val="20"/>
              </w:rPr>
              <w:t>зависит от схемы ЭФК</w:t>
            </w:r>
          </w:p>
        </w:tc>
      </w:tr>
      <w:tr>
        <w:tc>
          <w:tcPr>
            <w:tcW w:type="dxa" w:w="1995"/>
          </w:tcPr>
          <w:p>
            <w:pPr>
              <w:spacing w:after="0" w:line="240" w:lineRule="auto"/>
              <w:ind w:firstLine="0"/>
              <w:jc w:val="left"/>
            </w:pPr>
            <w:r>
              <w:rPr>
                <w:b w:val="0"/>
                <w:i w:val="0"/>
                <w:sz w:val="20"/>
              </w:rPr>
              <w:t>Фосфогипс</w:t>
            </w:r>
          </w:p>
        </w:tc>
        <w:tc>
          <w:tcPr>
            <w:tcW w:type="dxa" w:w="1995"/>
          </w:tcPr>
          <w:p>
            <w:pPr>
              <w:spacing w:after="0" w:line="240" w:lineRule="auto"/>
              <w:ind w:firstLine="0"/>
              <w:jc w:val="center"/>
            </w:pPr>
            <w:r>
              <w:rPr>
                <w:b w:val="0"/>
                <w:i w:val="0"/>
                <w:sz w:val="20"/>
              </w:rPr>
              <w:t>не требуется</w:t>
            </w:r>
          </w:p>
        </w:tc>
        <w:tc>
          <w:tcPr>
            <w:tcW w:type="dxa" w:w="1995"/>
          </w:tcPr>
          <w:p>
            <w:pPr>
              <w:spacing w:after="0" w:line="240" w:lineRule="auto"/>
              <w:ind w:firstLine="0"/>
              <w:jc w:val="center"/>
            </w:pPr>
            <w:r>
              <w:rPr>
                <w:b w:val="0"/>
                <w:i w:val="0"/>
                <w:sz w:val="20"/>
              </w:rPr>
              <w:t>сернокислотное, азотнокислотное</w:t>
            </w:r>
          </w:p>
        </w:tc>
        <w:tc>
          <w:tcPr>
            <w:tcW w:type="dxa" w:w="1995"/>
          </w:tcPr>
          <w:p>
            <w:pPr>
              <w:spacing w:after="0" w:line="240" w:lineRule="auto"/>
              <w:ind w:firstLine="0"/>
              <w:jc w:val="center"/>
            </w:pPr>
            <w:r>
              <w:rPr>
                <w:b w:val="0"/>
                <w:i w:val="0"/>
                <w:sz w:val="20"/>
              </w:rPr>
              <w:t>45–70</w:t>
            </w:r>
          </w:p>
        </w:tc>
        <w:tc>
          <w:tcPr>
            <w:tcW w:type="dxa" w:w="1995"/>
          </w:tcPr>
          <w:p>
            <w:pPr>
              <w:spacing w:after="0" w:line="240" w:lineRule="auto"/>
              <w:ind w:firstLine="0"/>
              <w:jc w:val="center"/>
            </w:pPr>
            <w:r>
              <w:rPr>
                <w:b w:val="0"/>
                <w:i w:val="0"/>
                <w:sz w:val="20"/>
              </w:rPr>
              <w:t>кислота 0,3–0,6 т/т</w:t>
            </w:r>
          </w:p>
        </w:tc>
      </w:tr>
      <w:tr>
        <w:tc>
          <w:tcPr>
            <w:tcW w:type="dxa" w:w="1995"/>
          </w:tcPr>
          <w:p>
            <w:pPr>
              <w:spacing w:after="0" w:line="240" w:lineRule="auto"/>
              <w:ind w:firstLine="0"/>
              <w:jc w:val="left"/>
            </w:pPr>
            <w:r>
              <w:rPr>
                <w:b w:val="0"/>
                <w:i w:val="0"/>
                <w:sz w:val="20"/>
              </w:rPr>
              <w:t>Коры выветривания (Томтор)</w:t>
            </w:r>
          </w:p>
        </w:tc>
        <w:tc>
          <w:tcPr>
            <w:tcW w:type="dxa" w:w="1995"/>
          </w:tcPr>
          <w:p>
            <w:pPr>
              <w:spacing w:after="0" w:line="240" w:lineRule="auto"/>
              <w:ind w:firstLine="0"/>
              <w:jc w:val="center"/>
            </w:pPr>
            <w:r>
              <w:rPr>
                <w:b w:val="0"/>
                <w:i w:val="0"/>
                <w:sz w:val="20"/>
              </w:rPr>
              <w:t>не требуется</w:t>
            </w:r>
          </w:p>
        </w:tc>
        <w:tc>
          <w:tcPr>
            <w:tcW w:type="dxa" w:w="1995"/>
          </w:tcPr>
          <w:p>
            <w:pPr>
              <w:spacing w:after="0" w:line="240" w:lineRule="auto"/>
              <w:ind w:firstLine="0"/>
              <w:jc w:val="center"/>
            </w:pPr>
            <w:r>
              <w:rPr>
                <w:b w:val="0"/>
                <w:i w:val="0"/>
                <w:sz w:val="20"/>
              </w:rPr>
              <w:t>автоклавное щелочное + HNO₃</w:t>
            </w:r>
          </w:p>
        </w:tc>
        <w:tc>
          <w:tcPr>
            <w:tcW w:type="dxa" w:w="1995"/>
          </w:tcPr>
          <w:p>
            <w:pPr>
              <w:spacing w:after="0" w:line="240" w:lineRule="auto"/>
              <w:ind w:firstLine="0"/>
              <w:jc w:val="center"/>
            </w:pPr>
            <w:r>
              <w:rPr>
                <w:b w:val="0"/>
                <w:i w:val="0"/>
                <w:sz w:val="20"/>
              </w:rPr>
              <w:t>85–92</w:t>
            </w:r>
          </w:p>
        </w:tc>
        <w:tc>
          <w:tcPr>
            <w:tcW w:type="dxa" w:w="1995"/>
          </w:tcPr>
          <w:p>
            <w:pPr>
              <w:spacing w:after="0" w:line="240" w:lineRule="auto"/>
              <w:ind w:firstLine="0"/>
              <w:jc w:val="center"/>
            </w:pPr>
            <w:r>
              <w:rPr>
                <w:b w:val="0"/>
                <w:i w:val="0"/>
                <w:sz w:val="20"/>
              </w:rPr>
              <w:t>NaOH, HNO₃</w:t>
            </w:r>
          </w:p>
        </w:tc>
      </w:tr>
    </w:tbl>
    <w:p>
      <w:pPr>
        <w:spacing w:after="180"/>
        <w:ind w:firstLine="0"/>
      </w:pPr>
      <w:r>
        <w:rPr>
          <w:i/>
          <w:sz w:val="20"/>
        </w:rPr>
        <w:t>Источник: аналитический центр по данным научно-технической литературы и корпоративных раскрытий</w:t>
      </w:r>
    </w:p>
    <w:p>
      <w:pPr>
        <w:keepNext/>
        <w:spacing w:before="160" w:after="60"/>
        <w:ind w:firstLine="0"/>
        <w:jc w:val="left"/>
      </w:pPr>
      <w:r>
        <w:rPr>
          <w:b/>
          <w:sz w:val="22"/>
        </w:rPr>
        <w:t>Рисунок 64. Число экстракционных ступеней, необходимое для достижения заданной чистоты индивидуальных оксидов</w:t>
      </w:r>
    </w:p>
    <w:p>
      <w:pPr>
        <w:ind w:firstLine="0"/>
        <w:jc w:val="center"/>
      </w:pPr>
      <w:r>
        <w:drawing>
          <wp:inline xmlns:a="http://schemas.openxmlformats.org/drawingml/2006/main" xmlns:pic="http://schemas.openxmlformats.org/drawingml/2006/picture">
            <wp:extent cx="5580000" cy="2387382"/>
            <wp:docPr id="64" name="Picture 64"/>
            <wp:cNvGraphicFramePr>
              <a:graphicFrameLocks noChangeAspect="1"/>
            </wp:cNvGraphicFramePr>
            <a:graphic>
              <a:graphicData uri="http://schemas.openxmlformats.org/drawingml/2006/picture">
                <pic:pic>
                  <pic:nvPicPr>
                    <pic:cNvPr id="0" name="fig64.png"/>
                    <pic:cNvPicPr/>
                  </pic:nvPicPr>
                  <pic:blipFill>
                    <a:blip r:embed="rId74"/>
                    <a:stretch>
                      <a:fillRect/>
                    </a:stretch>
                  </pic:blipFill>
                  <pic:spPr>
                    <a:xfrm>
                      <a:off x="0" y="0"/>
                      <a:ext cx="5580000" cy="2387382"/>
                    </a:xfrm>
                    <a:prstGeom prst="rect"/>
                  </pic:spPr>
                </pic:pic>
              </a:graphicData>
            </a:graphic>
          </wp:inline>
        </w:drawing>
      </w:r>
    </w:p>
    <w:p>
      <w:pPr>
        <w:spacing w:after="180"/>
        <w:ind w:firstLine="0"/>
      </w:pPr>
      <w:r>
        <w:rPr>
          <w:i/>
          <w:sz w:val="20"/>
        </w:rPr>
        <w:t>Источник: аналитический центр по данным научно-технической литературы</w:t>
      </w:r>
    </w:p>
    <w:p>
      <w:r>
        <w:rPr>
          <w:b w:val="0"/>
          <w:i w:val="0"/>
        </w:rPr>
        <w:t>Данные рисунка 64 количественно выражают барьер входа в разделительный передел. Каскад из 300 ступеней — это несколько сотен единиц оборудования, работающих в непрерывном режиме, где отклонение параметров на любой ступени распространяется по всей системе. Освоение такого каскада требует не только проектной документации, но и накопленного опыта эксплуатации, который в мировой практике формируется 3–7 лет.</w:t>
      </w:r>
    </w:p>
    <w:p>
      <w:pPr>
        <w:pStyle w:val="Heading2"/>
      </w:pPr>
      <w:r>
        <w:rPr>
          <w:b w:val="0"/>
          <w:i w:val="0"/>
        </w:rPr>
        <w:t>12.2. Специфические технологические задачи российских проектов</w:t>
      </w:r>
    </w:p>
    <w:p>
      <w:pPr>
        <w:pStyle w:val="Heading3"/>
      </w:pPr>
      <w:r>
        <w:rPr>
          <w:b w:val="0"/>
          <w:i w:val="0"/>
        </w:rPr>
        <w:t>12.2.1. Переработка руд Томторского месторождения</w:t>
      </w:r>
    </w:p>
    <w:p>
      <w:r>
        <w:rPr>
          <w:b w:val="0"/>
          <w:i w:val="0"/>
        </w:rPr>
        <w:t>Руды коры выветривания Томтора представляют собой тонкодисперсный материал сложного фазового состава, в котором редкие земли присутствуют в форме монацита, ксенотима, ферриторита, рабдофана и в сорбированном виде на гидроксидах железа. Классическое обогащение неэффективно: попытки флотационного и гравитационного разделения дают низкое извлечение вследствие тонкой вкрапленности.</w:t>
      </w:r>
    </w:p>
    <w:p>
      <w:r>
        <w:rPr>
          <w:b w:val="0"/>
          <w:i w:val="0"/>
        </w:rPr>
        <w:t>Принятое технологическое направление — прямая химическая переработка руды без обогащения. Разработанная схема включает автоклавное щелочное выщелачивание (перевод фосфатов в гидроксиды с отделением фосфора), последующее азотнокислотное растворение гидроксидов и экстракционное разделение.</w:t>
      </w:r>
    </w:p>
    <w:p>
      <w:r>
        <w:rPr>
          <w:b w:val="0"/>
          <w:i w:val="0"/>
        </w:rPr>
        <w:t>Нерешённые задачи:</w:t>
      </w:r>
    </w:p>
    <w:p>
      <w:pPr>
        <w:pStyle w:val="ListBullet"/>
        <w:spacing w:after="20"/>
        <w:ind w:firstLine="0"/>
      </w:pPr>
      <w:r>
        <w:rPr>
          <w:b w:val="0"/>
          <w:i w:val="0"/>
        </w:rPr>
        <w:t>масштабирование автоклавного передела на промышленный уровень;</w:t>
      </w:r>
    </w:p>
    <w:p>
      <w:pPr>
        <w:pStyle w:val="ListBullet"/>
        <w:spacing w:after="20"/>
        <w:ind w:firstLine="0"/>
      </w:pPr>
      <w:r>
        <w:rPr>
          <w:b w:val="0"/>
          <w:i w:val="0"/>
        </w:rPr>
        <w:t>обращение с торием, концентрирующимся в щелочных пульпах;</w:t>
      </w:r>
    </w:p>
    <w:p>
      <w:pPr>
        <w:pStyle w:val="ListBullet"/>
        <w:spacing w:after="20"/>
        <w:ind w:firstLine="0"/>
      </w:pPr>
      <w:r>
        <w:rPr>
          <w:b w:val="0"/>
          <w:i w:val="0"/>
        </w:rPr>
        <w:t>регенерация азотной кислоты и утилизация нитратных растворов;</w:t>
      </w:r>
    </w:p>
    <w:p>
      <w:pPr>
        <w:pStyle w:val="ListBullet"/>
        <w:spacing w:after="20"/>
        <w:ind w:firstLine="0"/>
      </w:pPr>
      <w:r>
        <w:rPr>
          <w:b w:val="0"/>
          <w:i w:val="0"/>
        </w:rPr>
        <w:t>разделение редких земель и радиоактивных элементов до требуемых нормативов;</w:t>
      </w:r>
    </w:p>
    <w:p>
      <w:pPr>
        <w:pStyle w:val="ListBullet"/>
        <w:spacing w:after="20"/>
        <w:ind w:firstLine="0"/>
      </w:pPr>
      <w:r>
        <w:rPr>
          <w:b w:val="0"/>
          <w:i w:val="0"/>
        </w:rPr>
        <w:t>утилизация или складирование ниобиевого концентрата при отсутствии рынка сбыта.</w:t>
      </w:r>
    </w:p>
    <w:p>
      <w:pPr>
        <w:pStyle w:val="Heading3"/>
      </w:pPr>
      <w:r>
        <w:rPr>
          <w:b w:val="0"/>
          <w:i w:val="0"/>
        </w:rPr>
        <w:t>12.2.2. Переработка эвдиалитовых руд</w:t>
      </w:r>
    </w:p>
    <w:p>
      <w:r>
        <w:rPr>
          <w:b w:val="0"/>
          <w:i w:val="0"/>
        </w:rPr>
        <w:t>Эвдиалит — цирконосиликат, легко разлагаемый кислотами, что является преимуществом. Основная проблема — образование кремнегеля при кислотном разложении, делающего пульпу нефильтруемой. Решение этой задачи — ключевое условие вовлечения эвдиалитовых руд, составляющих около 15% российских запасов и обладающих наиболее благоприятной после метасоматитов корзиной.</w:t>
      </w:r>
    </w:p>
    <w:p>
      <w:r>
        <w:rPr>
          <w:b w:val="0"/>
          <w:i w:val="0"/>
        </w:rPr>
        <w:t>Отечественными научными организациями (прежде всего ИХТРЭМС КНЦ РАН) разработаны подходы, основанные на управлении процессом гелеобразования путём подбора концентрации кислоты, температуры и введения структурирующих добавок. Уровень готовности — лабораторный и укрупнённо-лабораторный.</w:t>
      </w:r>
    </w:p>
    <w:p>
      <w:pPr>
        <w:pStyle w:val="Heading3"/>
      </w:pPr>
      <w:r>
        <w:rPr>
          <w:b w:val="0"/>
          <w:i w:val="0"/>
        </w:rPr>
        <w:t>12.2.3. Извлечение редких земель из фосфатного сырья</w:t>
      </w:r>
    </w:p>
    <w:p>
      <w:r>
        <w:rPr>
          <w:b w:val="0"/>
          <w:i w:val="0"/>
        </w:rPr>
        <w:t>Направление обладает наибольшим ресурсным потенциалом (см. раздел 9.5) и наименьшим технологическим риском, поскольку основано на существующих производствах.</w:t>
      </w:r>
    </w:p>
    <w:p>
      <w:r>
        <w:rPr>
          <w:b w:val="0"/>
          <w:i w:val="0"/>
        </w:rPr>
        <w:t>Три конкурирующих подхода:</w:t>
      </w:r>
    </w:p>
    <w:p>
      <w:pPr>
        <w:pStyle w:val="ListNumber"/>
        <w:spacing w:after="20"/>
        <w:ind w:firstLine="0"/>
      </w:pPr>
      <w:r>
        <w:rPr>
          <w:b/>
          <w:i w:val="0"/>
        </w:rPr>
        <w:t>Сорбционное извлечение из ЭФК.</w:t>
      </w:r>
      <w:r>
        <w:rPr>
          <w:b w:val="0"/>
          <w:i w:val="0"/>
        </w:rPr>
        <w:t xml:space="preserve"> Пропускание кислоты через слой сорбента (сульфокатиониты, фосфорсодержащие смолы) с последующей десорбцией. Достоинство — минимальное вмешательство в основную технологию. Недостаток — низкая ёмкость сорбента в присутствии высоких концентраций фосфорной кислоты, деградация смол.</w:t>
      </w:r>
    </w:p>
    <w:p>
      <w:pPr>
        <w:pStyle w:val="ListNumber"/>
        <w:spacing w:after="20"/>
        <w:ind w:firstLine="0"/>
      </w:pPr>
      <w:r>
        <w:rPr>
          <w:b/>
          <w:i w:val="0"/>
        </w:rPr>
        <w:t>Экстракционное извлечение из ЭФК.</w:t>
      </w:r>
      <w:r>
        <w:rPr>
          <w:b w:val="0"/>
          <w:i w:val="0"/>
        </w:rPr>
        <w:t xml:space="preserve"> Применение экстрагентов, селективных к редким землям в фосфорнокислой среде. Достоинство — высокая производительность. Недостаток — необходимость встраивания в основную схему, риски загрязнения продукционной кислоты.</w:t>
      </w:r>
    </w:p>
    <w:p>
      <w:pPr>
        <w:pStyle w:val="ListNumber"/>
        <w:spacing w:after="20"/>
        <w:ind w:firstLine="0"/>
      </w:pPr>
      <w:r>
        <w:rPr>
          <w:b/>
          <w:i w:val="0"/>
        </w:rPr>
        <w:t>Выщелачивание фосфогипса.</w:t>
      </w:r>
      <w:r>
        <w:rPr>
          <w:b w:val="0"/>
          <w:i w:val="0"/>
        </w:rPr>
        <w:t xml:space="preserve"> Обработка отвального или свежего фосфогипса кислотой с последующей концентрацией. Достоинство — независимость от основного производства, возможность использования накопленных отвалов. Недостаток — большие объёмы перерабатываемого материала, необходимость утилизации остатка.</w:t>
      </w:r>
    </w:p>
    <w:p>
      <w:r>
        <w:rPr>
          <w:b w:val="0"/>
          <w:i w:val="0"/>
        </w:rPr>
        <w:t>По совокупности критериев наиболее перспективным представляется третий подход применительно к свежему (нескладированному) фосфогипсу, поскольку он сочетает независимость от основной технологии с повышенным содержанием редких земель в свежем материале (при длительном хранении часть редких земель мигрирует и рассеивается).</w:t>
      </w:r>
    </w:p>
    <w:p>
      <w:pPr>
        <w:keepNext/>
        <w:spacing w:before="160" w:after="60"/>
        <w:ind w:firstLine="0"/>
        <w:jc w:val="left"/>
      </w:pPr>
      <w:r>
        <w:rPr>
          <w:b/>
          <w:sz w:val="22"/>
        </w:rPr>
        <w:t>Таблица 84. Сопоставление технологических подходов к извлечению РЗМ из фосфатного сырья</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Подход</w:t>
            </w:r>
          </w:p>
        </w:tc>
        <w:tc>
          <w:tcPr>
            <w:tcW w:type="dxa" w:w="1995"/>
            <w:shd w:val="clear" w:fill="DCE6F1"/>
          </w:tcPr>
          <w:p>
            <w:pPr>
              <w:spacing w:after="0" w:line="240" w:lineRule="auto"/>
              <w:ind w:firstLine="0"/>
              <w:jc w:val="center"/>
            </w:pPr>
            <w:r>
              <w:rPr>
                <w:b/>
                <w:i w:val="0"/>
                <w:sz w:val="20"/>
              </w:rPr>
              <w:t>Извлечение, %</w:t>
            </w:r>
          </w:p>
        </w:tc>
        <w:tc>
          <w:tcPr>
            <w:tcW w:type="dxa" w:w="1995"/>
            <w:shd w:val="clear" w:fill="DCE6F1"/>
          </w:tcPr>
          <w:p>
            <w:pPr>
              <w:spacing w:after="0" w:line="240" w:lineRule="auto"/>
              <w:ind w:firstLine="0"/>
              <w:jc w:val="center"/>
            </w:pPr>
            <w:r>
              <w:rPr>
                <w:b/>
                <w:i w:val="0"/>
                <w:sz w:val="20"/>
              </w:rPr>
              <w:t>TRL</w:t>
            </w:r>
          </w:p>
        </w:tc>
        <w:tc>
          <w:tcPr>
            <w:tcW w:type="dxa" w:w="1995"/>
            <w:shd w:val="clear" w:fill="DCE6F1"/>
          </w:tcPr>
          <w:p>
            <w:pPr>
              <w:spacing w:after="0" w:line="240" w:lineRule="auto"/>
              <w:ind w:firstLine="0"/>
              <w:jc w:val="center"/>
            </w:pPr>
            <w:r>
              <w:rPr>
                <w:b/>
                <w:i w:val="0"/>
                <w:sz w:val="20"/>
              </w:rPr>
              <w:t>Себестоим., $/кг TREO</w:t>
            </w:r>
          </w:p>
        </w:tc>
        <w:tc>
          <w:tcPr>
            <w:tcW w:type="dxa" w:w="1995"/>
            <w:shd w:val="clear" w:fill="DCE6F1"/>
          </w:tcPr>
          <w:p>
            <w:pPr>
              <w:spacing w:after="0" w:line="240" w:lineRule="auto"/>
              <w:ind w:firstLine="0"/>
              <w:jc w:val="center"/>
            </w:pPr>
            <w:r>
              <w:rPr>
                <w:b/>
                <w:i w:val="0"/>
                <w:sz w:val="20"/>
              </w:rPr>
              <w:t>Основное ограничение</w:t>
            </w:r>
          </w:p>
        </w:tc>
      </w:tr>
      <w:tr>
        <w:tc>
          <w:tcPr>
            <w:tcW w:type="dxa" w:w="1995"/>
          </w:tcPr>
          <w:p>
            <w:pPr>
              <w:spacing w:after="0" w:line="240" w:lineRule="auto"/>
              <w:ind w:firstLine="0"/>
              <w:jc w:val="left"/>
            </w:pPr>
            <w:r>
              <w:rPr>
                <w:b w:val="0"/>
                <w:i w:val="0"/>
                <w:sz w:val="20"/>
              </w:rPr>
              <w:t>Сорбция из ЭФК</w:t>
            </w:r>
          </w:p>
        </w:tc>
        <w:tc>
          <w:tcPr>
            <w:tcW w:type="dxa" w:w="1995"/>
          </w:tcPr>
          <w:p>
            <w:pPr>
              <w:spacing w:after="0" w:line="240" w:lineRule="auto"/>
              <w:ind w:firstLine="0"/>
              <w:jc w:val="center"/>
            </w:pPr>
            <w:r>
              <w:rPr>
                <w:b w:val="0"/>
                <w:i w:val="0"/>
                <w:sz w:val="20"/>
              </w:rPr>
              <w:t>40–60</w:t>
            </w:r>
          </w:p>
        </w:tc>
        <w:tc>
          <w:tcPr>
            <w:tcW w:type="dxa" w:w="1995"/>
          </w:tcPr>
          <w:p>
            <w:pPr>
              <w:spacing w:after="0" w:line="240" w:lineRule="auto"/>
              <w:ind w:firstLine="0"/>
              <w:jc w:val="center"/>
            </w:pPr>
            <w:r>
              <w:rPr>
                <w:b w:val="0"/>
                <w:i w:val="0"/>
                <w:sz w:val="20"/>
              </w:rPr>
              <w:t>5–6</w:t>
            </w:r>
          </w:p>
        </w:tc>
        <w:tc>
          <w:tcPr>
            <w:tcW w:type="dxa" w:w="1995"/>
          </w:tcPr>
          <w:p>
            <w:pPr>
              <w:spacing w:after="0" w:line="240" w:lineRule="auto"/>
              <w:ind w:firstLine="0"/>
              <w:jc w:val="center"/>
            </w:pPr>
            <w:r>
              <w:rPr>
                <w:b w:val="0"/>
                <w:i w:val="0"/>
                <w:sz w:val="20"/>
              </w:rPr>
              <w:t>18–28</w:t>
            </w:r>
          </w:p>
        </w:tc>
        <w:tc>
          <w:tcPr>
            <w:tcW w:type="dxa" w:w="1995"/>
          </w:tcPr>
          <w:p>
            <w:pPr>
              <w:spacing w:after="0" w:line="240" w:lineRule="auto"/>
              <w:ind w:firstLine="0"/>
              <w:jc w:val="center"/>
            </w:pPr>
            <w:r>
              <w:rPr>
                <w:b w:val="0"/>
                <w:i w:val="0"/>
                <w:sz w:val="20"/>
              </w:rPr>
              <w:t>деградация сорбента</w:t>
            </w:r>
          </w:p>
        </w:tc>
      </w:tr>
      <w:tr>
        <w:tc>
          <w:tcPr>
            <w:tcW w:type="dxa" w:w="1995"/>
          </w:tcPr>
          <w:p>
            <w:pPr>
              <w:spacing w:after="0" w:line="240" w:lineRule="auto"/>
              <w:ind w:firstLine="0"/>
              <w:jc w:val="left"/>
            </w:pPr>
            <w:r>
              <w:rPr>
                <w:b w:val="0"/>
                <w:i w:val="0"/>
                <w:sz w:val="20"/>
              </w:rPr>
              <w:t>Экстракция из ЭФК</w:t>
            </w:r>
          </w:p>
        </w:tc>
        <w:tc>
          <w:tcPr>
            <w:tcW w:type="dxa" w:w="1995"/>
          </w:tcPr>
          <w:p>
            <w:pPr>
              <w:spacing w:after="0" w:line="240" w:lineRule="auto"/>
              <w:ind w:firstLine="0"/>
              <w:jc w:val="center"/>
            </w:pPr>
            <w:r>
              <w:rPr>
                <w:b w:val="0"/>
                <w:i w:val="0"/>
                <w:sz w:val="20"/>
              </w:rPr>
              <w:t>55–75</w:t>
            </w:r>
          </w:p>
        </w:tc>
        <w:tc>
          <w:tcPr>
            <w:tcW w:type="dxa" w:w="1995"/>
          </w:tcPr>
          <w:p>
            <w:pPr>
              <w:spacing w:after="0" w:line="240" w:lineRule="auto"/>
              <w:ind w:firstLine="0"/>
              <w:jc w:val="center"/>
            </w:pPr>
            <w:r>
              <w:rPr>
                <w:b w:val="0"/>
                <w:i w:val="0"/>
                <w:sz w:val="20"/>
              </w:rPr>
              <w:t>5–6</w:t>
            </w:r>
          </w:p>
        </w:tc>
        <w:tc>
          <w:tcPr>
            <w:tcW w:type="dxa" w:w="1995"/>
          </w:tcPr>
          <w:p>
            <w:pPr>
              <w:spacing w:after="0" w:line="240" w:lineRule="auto"/>
              <w:ind w:firstLine="0"/>
              <w:jc w:val="center"/>
            </w:pPr>
            <w:r>
              <w:rPr>
                <w:b w:val="0"/>
                <w:i w:val="0"/>
                <w:sz w:val="20"/>
              </w:rPr>
              <w:t>15–25</w:t>
            </w:r>
          </w:p>
        </w:tc>
        <w:tc>
          <w:tcPr>
            <w:tcW w:type="dxa" w:w="1995"/>
          </w:tcPr>
          <w:p>
            <w:pPr>
              <w:spacing w:after="0" w:line="240" w:lineRule="auto"/>
              <w:ind w:firstLine="0"/>
              <w:jc w:val="center"/>
            </w:pPr>
            <w:r>
              <w:rPr>
                <w:b w:val="0"/>
                <w:i w:val="0"/>
                <w:sz w:val="20"/>
              </w:rPr>
              <w:t>риск для основного продукта</w:t>
            </w:r>
          </w:p>
        </w:tc>
      </w:tr>
      <w:tr>
        <w:tc>
          <w:tcPr>
            <w:tcW w:type="dxa" w:w="1995"/>
          </w:tcPr>
          <w:p>
            <w:pPr>
              <w:spacing w:after="0" w:line="240" w:lineRule="auto"/>
              <w:ind w:firstLine="0"/>
              <w:jc w:val="left"/>
            </w:pPr>
            <w:r>
              <w:rPr>
                <w:b w:val="0"/>
                <w:i w:val="0"/>
                <w:sz w:val="20"/>
              </w:rPr>
              <w:t>Выщелачивание свежего фосфогипса</w:t>
            </w:r>
          </w:p>
        </w:tc>
        <w:tc>
          <w:tcPr>
            <w:tcW w:type="dxa" w:w="1995"/>
          </w:tcPr>
          <w:p>
            <w:pPr>
              <w:spacing w:after="0" w:line="240" w:lineRule="auto"/>
              <w:ind w:firstLine="0"/>
              <w:jc w:val="center"/>
            </w:pPr>
            <w:r>
              <w:rPr>
                <w:b w:val="0"/>
                <w:i w:val="0"/>
                <w:sz w:val="20"/>
              </w:rPr>
              <w:t>55–70</w:t>
            </w:r>
          </w:p>
        </w:tc>
        <w:tc>
          <w:tcPr>
            <w:tcW w:type="dxa" w:w="1995"/>
          </w:tcPr>
          <w:p>
            <w:pPr>
              <w:spacing w:after="0" w:line="240" w:lineRule="auto"/>
              <w:ind w:firstLine="0"/>
              <w:jc w:val="center"/>
            </w:pPr>
            <w:r>
              <w:rPr>
                <w:b w:val="0"/>
                <w:i w:val="0"/>
                <w:sz w:val="20"/>
              </w:rPr>
              <w:t>6–7</w:t>
            </w:r>
          </w:p>
        </w:tc>
        <w:tc>
          <w:tcPr>
            <w:tcW w:type="dxa" w:w="1995"/>
          </w:tcPr>
          <w:p>
            <w:pPr>
              <w:spacing w:after="0" w:line="240" w:lineRule="auto"/>
              <w:ind w:firstLine="0"/>
              <w:jc w:val="center"/>
            </w:pPr>
            <w:r>
              <w:rPr>
                <w:b w:val="0"/>
                <w:i w:val="0"/>
                <w:sz w:val="20"/>
              </w:rPr>
              <w:t>14–22</w:t>
            </w:r>
          </w:p>
        </w:tc>
        <w:tc>
          <w:tcPr>
            <w:tcW w:type="dxa" w:w="1995"/>
          </w:tcPr>
          <w:p>
            <w:pPr>
              <w:spacing w:after="0" w:line="240" w:lineRule="auto"/>
              <w:ind w:firstLine="0"/>
              <w:jc w:val="center"/>
            </w:pPr>
            <w:r>
              <w:rPr>
                <w:b w:val="0"/>
                <w:i w:val="0"/>
                <w:sz w:val="20"/>
              </w:rPr>
              <w:t>объёмы материала</w:t>
            </w:r>
          </w:p>
        </w:tc>
      </w:tr>
      <w:tr>
        <w:tc>
          <w:tcPr>
            <w:tcW w:type="dxa" w:w="1995"/>
          </w:tcPr>
          <w:p>
            <w:pPr>
              <w:spacing w:after="0" w:line="240" w:lineRule="auto"/>
              <w:ind w:firstLine="0"/>
              <w:jc w:val="left"/>
            </w:pPr>
            <w:r>
              <w:rPr>
                <w:b w:val="0"/>
                <w:i w:val="0"/>
                <w:sz w:val="20"/>
              </w:rPr>
              <w:t>Выщелачивание отвального фосфогипса</w:t>
            </w:r>
          </w:p>
        </w:tc>
        <w:tc>
          <w:tcPr>
            <w:tcW w:type="dxa" w:w="1995"/>
          </w:tcPr>
          <w:p>
            <w:pPr>
              <w:spacing w:after="0" w:line="240" w:lineRule="auto"/>
              <w:ind w:firstLine="0"/>
              <w:jc w:val="center"/>
            </w:pPr>
            <w:r>
              <w:rPr>
                <w:b w:val="0"/>
                <w:i w:val="0"/>
                <w:sz w:val="20"/>
              </w:rPr>
              <w:t>35–55</w:t>
            </w:r>
          </w:p>
        </w:tc>
        <w:tc>
          <w:tcPr>
            <w:tcW w:type="dxa" w:w="1995"/>
          </w:tcPr>
          <w:p>
            <w:pPr>
              <w:spacing w:after="0" w:line="240" w:lineRule="auto"/>
              <w:ind w:firstLine="0"/>
              <w:jc w:val="center"/>
            </w:pPr>
            <w:r>
              <w:rPr>
                <w:b w:val="0"/>
                <w:i w:val="0"/>
                <w:sz w:val="20"/>
              </w:rPr>
              <w:t>6–7</w:t>
            </w:r>
          </w:p>
        </w:tc>
        <w:tc>
          <w:tcPr>
            <w:tcW w:type="dxa" w:w="1995"/>
          </w:tcPr>
          <w:p>
            <w:pPr>
              <w:spacing w:after="0" w:line="240" w:lineRule="auto"/>
              <w:ind w:firstLine="0"/>
              <w:jc w:val="center"/>
            </w:pPr>
            <w:r>
              <w:rPr>
                <w:b w:val="0"/>
                <w:i w:val="0"/>
                <w:sz w:val="20"/>
              </w:rPr>
              <w:t>20–32</w:t>
            </w:r>
          </w:p>
        </w:tc>
        <w:tc>
          <w:tcPr>
            <w:tcW w:type="dxa" w:w="1995"/>
          </w:tcPr>
          <w:p>
            <w:pPr>
              <w:spacing w:after="0" w:line="240" w:lineRule="auto"/>
              <w:ind w:firstLine="0"/>
              <w:jc w:val="center"/>
            </w:pPr>
            <w:r>
              <w:rPr>
                <w:b w:val="0"/>
                <w:i w:val="0"/>
                <w:sz w:val="20"/>
              </w:rPr>
              <w:t>миграция РЗМ, примеси</w:t>
            </w:r>
          </w:p>
        </w:tc>
      </w:tr>
      <w:tr>
        <w:tc>
          <w:tcPr>
            <w:tcW w:type="dxa" w:w="1995"/>
          </w:tcPr>
          <w:p>
            <w:pPr>
              <w:spacing w:after="0" w:line="240" w:lineRule="auto"/>
              <w:ind w:firstLine="0"/>
              <w:jc w:val="left"/>
            </w:pPr>
            <w:r>
              <w:rPr>
                <w:b w:val="0"/>
                <w:i w:val="0"/>
                <w:sz w:val="20"/>
              </w:rPr>
              <w:t>Модификация схемы ЭФК</w:t>
            </w:r>
          </w:p>
        </w:tc>
        <w:tc>
          <w:tcPr>
            <w:tcW w:type="dxa" w:w="1995"/>
          </w:tcPr>
          <w:p>
            <w:pPr>
              <w:spacing w:after="0" w:line="240" w:lineRule="auto"/>
              <w:ind w:firstLine="0"/>
              <w:jc w:val="center"/>
            </w:pPr>
            <w:r>
              <w:rPr>
                <w:b w:val="0"/>
                <w:i w:val="0"/>
                <w:sz w:val="20"/>
              </w:rPr>
              <w:t>70–85</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12–20</w:t>
            </w:r>
          </w:p>
        </w:tc>
        <w:tc>
          <w:tcPr>
            <w:tcW w:type="dxa" w:w="1995"/>
          </w:tcPr>
          <w:p>
            <w:pPr>
              <w:spacing w:after="0" w:line="240" w:lineRule="auto"/>
              <w:ind w:firstLine="0"/>
              <w:jc w:val="center"/>
            </w:pPr>
            <w:r>
              <w:rPr>
                <w:b w:val="0"/>
                <w:i w:val="0"/>
                <w:sz w:val="20"/>
              </w:rPr>
              <w:t>капитальная перестройка</w:t>
            </w:r>
          </w:p>
        </w:tc>
      </w:tr>
    </w:tbl>
    <w:p>
      <w:pPr>
        <w:spacing w:after="180"/>
        <w:ind w:firstLine="0"/>
      </w:pPr>
      <w:r>
        <w:rPr>
          <w:i/>
          <w:sz w:val="20"/>
        </w:rPr>
        <w:t>Источник: аналитический центр по данным научно-технической литературы и опытных работ</w:t>
      </w:r>
    </w:p>
    <w:p>
      <w:pPr>
        <w:pStyle w:val="Heading3"/>
      </w:pPr>
      <w:r>
        <w:rPr>
          <w:b w:val="0"/>
          <w:i w:val="0"/>
        </w:rPr>
        <w:t>12.2.4. Освоение производства постоянных магнитов</w:t>
      </w:r>
    </w:p>
    <w:p>
      <w:r>
        <w:rPr>
          <w:b w:val="0"/>
          <w:i w:val="0"/>
        </w:rPr>
        <w:t>Задача включает четыре относительно самостоятельных технологических блока:</w:t>
      </w:r>
    </w:p>
    <w:p>
      <w:r>
        <w:rPr>
          <w:b/>
          <w:i w:val="0"/>
        </w:rPr>
        <w:t>Получение металлов магнитной чистоты.</w:t>
      </w:r>
      <w:r>
        <w:rPr>
          <w:b w:val="0"/>
          <w:i w:val="0"/>
        </w:rPr>
        <w:t xml:space="preserve"> Требования по примесям (кислород менее 0,15%, углерод менее 0,05%, азот менее 0,02%) существенно жёстче, чем для прочих применений. Требуется освоение электролиза с контролируемой атмосферой и вакуумной дистилляционной очистки.</w:t>
      </w:r>
    </w:p>
    <w:p>
      <w:r>
        <w:rPr>
          <w:b/>
          <w:i w:val="0"/>
        </w:rPr>
        <w:t>Выплавка сплава методом strip casting.</w:t>
      </w:r>
      <w:r>
        <w:rPr>
          <w:b w:val="0"/>
          <w:i w:val="0"/>
        </w:rPr>
        <w:t xml:space="preserve"> Расплав Nd–Fe–B разливается на вращающийся охлаждаемый барабан с получением чешуек толщиной 0,25–0,35 мм с направленной микроструктурой. Параметры процесса (скорость барабана, перегрев, толщина) определяют размер зерна и, в конечном счёте, магнитные свойства.</w:t>
      </w:r>
    </w:p>
    <w:p>
      <w:r>
        <w:rPr>
          <w:b/>
          <w:i w:val="0"/>
        </w:rPr>
        <w:t>Порошковая металлургия.</w:t>
      </w:r>
      <w:r>
        <w:rPr>
          <w:b w:val="0"/>
          <w:i w:val="0"/>
        </w:rPr>
        <w:t xml:space="preserve"> Водородное охрупчивание, струйный размол в инертной среде до 3–5 мкм, прессование в магнитном поле (напряжённость 1,5–2,0 Тл), спекание в вакууме при 1 060–1 090 °C, двухступенчатый отпуск.</w:t>
      </w:r>
    </w:p>
    <w:p>
      <w:r>
        <w:rPr>
          <w:b/>
          <w:i w:val="0"/>
        </w:rPr>
        <w:t>Зернограничная диффузия.</w:t>
      </w:r>
      <w:r>
        <w:rPr>
          <w:b w:val="0"/>
          <w:i w:val="0"/>
        </w:rPr>
        <w:t xml:space="preserve"> Нанесение соединений диспрозия или тербия на поверхность спечённой заготовки с последующим отжигом, обеспечивающим диффузию по границам зёрен без проникновения в объём. Позволяет получить коэрцитивную силу, соответствующую 4–6% объёмного диспрозия, при фактическом расходе 0,8–1,5%.</w:t>
      </w:r>
    </w:p>
    <w:p>
      <w:r>
        <w:rPr>
          <w:b w:val="0"/>
          <w:i w:val="0"/>
        </w:rPr>
        <w:t>Последний блок является наиболее критичным. Его отсутствие означает, что для производства 3 тыс. т магнитов класса SH/UH потребуется не 135, а 300–450 т диспрозия и тербия в год — количество, которого в России нет и в ближайшей перспективе не будет.</w:t>
      </w:r>
    </w:p>
    <w:p>
      <w:pPr>
        <w:keepNext/>
        <w:spacing w:before="160" w:after="60"/>
        <w:ind w:firstLine="0"/>
        <w:jc w:val="left"/>
      </w:pPr>
      <w:r>
        <w:rPr>
          <w:b/>
          <w:sz w:val="22"/>
        </w:rPr>
        <w:t>Таблица 85. Оценка потребности в диспрозии и тербии для производства магнитов в РФ при различном уровне освоения технологии</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Сценарий технологии</w:t>
            </w:r>
          </w:p>
        </w:tc>
        <w:tc>
          <w:tcPr>
            <w:tcW w:type="dxa" w:w="1995"/>
            <w:shd w:val="clear" w:fill="DCE6F1"/>
          </w:tcPr>
          <w:p>
            <w:pPr>
              <w:spacing w:after="0" w:line="240" w:lineRule="auto"/>
              <w:ind w:firstLine="0"/>
              <w:jc w:val="center"/>
            </w:pPr>
            <w:r>
              <w:rPr>
                <w:b/>
                <w:i w:val="0"/>
                <w:sz w:val="20"/>
              </w:rPr>
              <w:t>Магниты, т/год</w:t>
            </w:r>
          </w:p>
        </w:tc>
        <w:tc>
          <w:tcPr>
            <w:tcW w:type="dxa" w:w="1995"/>
            <w:shd w:val="clear" w:fill="DCE6F1"/>
          </w:tcPr>
          <w:p>
            <w:pPr>
              <w:spacing w:after="0" w:line="240" w:lineRule="auto"/>
              <w:ind w:firstLine="0"/>
              <w:jc w:val="center"/>
            </w:pPr>
            <w:r>
              <w:rPr>
                <w:b/>
                <w:i w:val="0"/>
                <w:sz w:val="20"/>
              </w:rPr>
              <w:t>Расход Dy+Tb, т/год</w:t>
            </w:r>
          </w:p>
        </w:tc>
        <w:tc>
          <w:tcPr>
            <w:tcW w:type="dxa" w:w="1995"/>
            <w:shd w:val="clear" w:fill="DCE6F1"/>
          </w:tcPr>
          <w:p>
            <w:pPr>
              <w:spacing w:after="0" w:line="240" w:lineRule="auto"/>
              <w:ind w:firstLine="0"/>
              <w:jc w:val="center"/>
            </w:pPr>
            <w:r>
              <w:rPr>
                <w:b/>
                <w:i w:val="0"/>
                <w:sz w:val="20"/>
              </w:rPr>
              <w:t>Обеспеченность из РФ, %</w:t>
            </w:r>
          </w:p>
        </w:tc>
        <w:tc>
          <w:tcPr>
            <w:tcW w:type="dxa" w:w="1995"/>
            <w:shd w:val="clear" w:fill="DCE6F1"/>
          </w:tcPr>
          <w:p>
            <w:pPr>
              <w:spacing w:after="0" w:line="240" w:lineRule="auto"/>
              <w:ind w:firstLine="0"/>
              <w:jc w:val="center"/>
            </w:pPr>
            <w:r>
              <w:rPr>
                <w:b/>
                <w:i w:val="0"/>
                <w:sz w:val="20"/>
              </w:rPr>
              <w:t>Оценка</w:t>
            </w:r>
          </w:p>
        </w:tc>
      </w:tr>
      <w:tr>
        <w:tc>
          <w:tcPr>
            <w:tcW w:type="dxa" w:w="1995"/>
          </w:tcPr>
          <w:p>
            <w:pPr>
              <w:spacing w:after="0" w:line="240" w:lineRule="auto"/>
              <w:ind w:firstLine="0"/>
              <w:jc w:val="left"/>
            </w:pPr>
            <w:r>
              <w:rPr>
                <w:b w:val="0"/>
                <w:i w:val="0"/>
                <w:sz w:val="20"/>
              </w:rPr>
              <w:t>Объёмное легирование, 3 000 т</w:t>
            </w:r>
          </w:p>
        </w:tc>
        <w:tc>
          <w:tcPr>
            <w:tcW w:type="dxa" w:w="1995"/>
          </w:tcPr>
          <w:p>
            <w:pPr>
              <w:spacing w:after="0" w:line="240" w:lineRule="auto"/>
              <w:ind w:firstLine="0"/>
              <w:jc w:val="center"/>
            </w:pPr>
            <w:r>
              <w:rPr>
                <w:b w:val="0"/>
                <w:i w:val="0"/>
                <w:sz w:val="20"/>
              </w:rPr>
              <w:t>3 000</w:t>
            </w:r>
          </w:p>
        </w:tc>
        <w:tc>
          <w:tcPr>
            <w:tcW w:type="dxa" w:w="1995"/>
          </w:tcPr>
          <w:p>
            <w:pPr>
              <w:spacing w:after="0" w:line="240" w:lineRule="auto"/>
              <w:ind w:firstLine="0"/>
              <w:jc w:val="center"/>
            </w:pPr>
            <w:r>
              <w:rPr>
                <w:b w:val="0"/>
                <w:i w:val="0"/>
                <w:sz w:val="20"/>
              </w:rPr>
              <w:t>330</w:t>
            </w:r>
          </w:p>
        </w:tc>
        <w:tc>
          <w:tcPr>
            <w:tcW w:type="dxa" w:w="1995"/>
          </w:tcPr>
          <w:p>
            <w:pPr>
              <w:spacing w:after="0" w:line="240" w:lineRule="auto"/>
              <w:ind w:firstLine="0"/>
              <w:jc w:val="center"/>
            </w:pPr>
            <w:r>
              <w:rPr>
                <w:b w:val="0"/>
                <w:i w:val="0"/>
                <w:sz w:val="20"/>
              </w:rPr>
              <w:t>0–15</w:t>
            </w:r>
          </w:p>
        </w:tc>
        <w:tc>
          <w:tcPr>
            <w:tcW w:type="dxa" w:w="1995"/>
          </w:tcPr>
          <w:p>
            <w:pPr>
              <w:spacing w:after="0" w:line="240" w:lineRule="auto"/>
              <w:ind w:firstLine="0"/>
              <w:jc w:val="center"/>
            </w:pPr>
            <w:r>
              <w:rPr>
                <w:b w:val="0"/>
                <w:i w:val="0"/>
                <w:sz w:val="20"/>
              </w:rPr>
              <w:t>нереализуемо</w:t>
            </w:r>
          </w:p>
        </w:tc>
      </w:tr>
      <w:tr>
        <w:tc>
          <w:tcPr>
            <w:tcW w:type="dxa" w:w="1995"/>
          </w:tcPr>
          <w:p>
            <w:pPr>
              <w:spacing w:after="0" w:line="240" w:lineRule="auto"/>
              <w:ind w:firstLine="0"/>
              <w:jc w:val="left"/>
            </w:pPr>
            <w:r>
              <w:rPr>
                <w:b w:val="0"/>
                <w:i w:val="0"/>
                <w:sz w:val="20"/>
              </w:rPr>
              <w:t>Частичная GBD, 3 000 т</w:t>
            </w:r>
          </w:p>
        </w:tc>
        <w:tc>
          <w:tcPr>
            <w:tcW w:type="dxa" w:w="1995"/>
          </w:tcPr>
          <w:p>
            <w:pPr>
              <w:spacing w:after="0" w:line="240" w:lineRule="auto"/>
              <w:ind w:firstLine="0"/>
              <w:jc w:val="center"/>
            </w:pPr>
            <w:r>
              <w:rPr>
                <w:b w:val="0"/>
                <w:i w:val="0"/>
                <w:sz w:val="20"/>
              </w:rPr>
              <w:t>3 000</w:t>
            </w:r>
          </w:p>
        </w:tc>
        <w:tc>
          <w:tcPr>
            <w:tcW w:type="dxa" w:w="1995"/>
          </w:tcPr>
          <w:p>
            <w:pPr>
              <w:spacing w:after="0" w:line="240" w:lineRule="auto"/>
              <w:ind w:firstLine="0"/>
              <w:jc w:val="center"/>
            </w:pPr>
            <w:r>
              <w:rPr>
                <w:b w:val="0"/>
                <w:i w:val="0"/>
                <w:sz w:val="20"/>
              </w:rPr>
              <w:t>200</w:t>
            </w:r>
          </w:p>
        </w:tc>
        <w:tc>
          <w:tcPr>
            <w:tcW w:type="dxa" w:w="1995"/>
          </w:tcPr>
          <w:p>
            <w:pPr>
              <w:spacing w:after="0" w:line="240" w:lineRule="auto"/>
              <w:ind w:firstLine="0"/>
              <w:jc w:val="center"/>
            </w:pPr>
            <w:r>
              <w:rPr>
                <w:b w:val="0"/>
                <w:i w:val="0"/>
                <w:sz w:val="20"/>
              </w:rPr>
              <w:t>15–30</w:t>
            </w:r>
          </w:p>
        </w:tc>
        <w:tc>
          <w:tcPr>
            <w:tcW w:type="dxa" w:w="1995"/>
          </w:tcPr>
          <w:p>
            <w:pPr>
              <w:spacing w:after="0" w:line="240" w:lineRule="auto"/>
              <w:ind w:firstLine="0"/>
              <w:jc w:val="center"/>
            </w:pPr>
            <w:r>
              <w:rPr>
                <w:b w:val="0"/>
                <w:i w:val="0"/>
                <w:sz w:val="20"/>
              </w:rPr>
              <w:t>критично</w:t>
            </w:r>
          </w:p>
        </w:tc>
      </w:tr>
      <w:tr>
        <w:tc>
          <w:tcPr>
            <w:tcW w:type="dxa" w:w="1995"/>
          </w:tcPr>
          <w:p>
            <w:pPr>
              <w:spacing w:after="0" w:line="240" w:lineRule="auto"/>
              <w:ind w:firstLine="0"/>
              <w:jc w:val="left"/>
            </w:pPr>
            <w:r>
              <w:rPr>
                <w:b w:val="0"/>
                <w:i w:val="0"/>
                <w:sz w:val="20"/>
              </w:rPr>
              <w:t>Полная GBD, 3 000 т</w:t>
            </w:r>
          </w:p>
        </w:tc>
        <w:tc>
          <w:tcPr>
            <w:tcW w:type="dxa" w:w="1995"/>
          </w:tcPr>
          <w:p>
            <w:pPr>
              <w:spacing w:after="0" w:line="240" w:lineRule="auto"/>
              <w:ind w:firstLine="0"/>
              <w:jc w:val="center"/>
            </w:pPr>
            <w:r>
              <w:rPr>
                <w:b w:val="0"/>
                <w:i w:val="0"/>
                <w:sz w:val="20"/>
              </w:rPr>
              <w:t>3 000</w:t>
            </w:r>
          </w:p>
        </w:tc>
        <w:tc>
          <w:tcPr>
            <w:tcW w:type="dxa" w:w="1995"/>
          </w:tcPr>
          <w:p>
            <w:pPr>
              <w:spacing w:after="0" w:line="240" w:lineRule="auto"/>
              <w:ind w:firstLine="0"/>
              <w:jc w:val="center"/>
            </w:pPr>
            <w:r>
              <w:rPr>
                <w:b w:val="0"/>
                <w:i w:val="0"/>
                <w:sz w:val="20"/>
              </w:rPr>
              <w:t>135</w:t>
            </w:r>
          </w:p>
        </w:tc>
        <w:tc>
          <w:tcPr>
            <w:tcW w:type="dxa" w:w="1995"/>
          </w:tcPr>
          <w:p>
            <w:pPr>
              <w:spacing w:after="0" w:line="240" w:lineRule="auto"/>
              <w:ind w:firstLine="0"/>
              <w:jc w:val="center"/>
            </w:pPr>
            <w:r>
              <w:rPr>
                <w:b w:val="0"/>
                <w:i w:val="0"/>
                <w:sz w:val="20"/>
              </w:rPr>
              <w:t>40–100</w:t>
            </w:r>
          </w:p>
        </w:tc>
        <w:tc>
          <w:tcPr>
            <w:tcW w:type="dxa" w:w="1995"/>
          </w:tcPr>
          <w:p>
            <w:pPr>
              <w:spacing w:after="0" w:line="240" w:lineRule="auto"/>
              <w:ind w:firstLine="0"/>
              <w:jc w:val="center"/>
            </w:pPr>
            <w:r>
              <w:rPr>
                <w:b w:val="0"/>
                <w:i w:val="0"/>
                <w:sz w:val="20"/>
              </w:rPr>
              <w:t>реализуемо при Томторе</w:t>
            </w:r>
          </w:p>
        </w:tc>
      </w:tr>
      <w:tr>
        <w:tc>
          <w:tcPr>
            <w:tcW w:type="dxa" w:w="1995"/>
          </w:tcPr>
          <w:p>
            <w:pPr>
              <w:spacing w:after="0" w:line="240" w:lineRule="auto"/>
              <w:ind w:firstLine="0"/>
              <w:jc w:val="left"/>
            </w:pPr>
            <w:r>
              <w:rPr>
                <w:b w:val="0"/>
                <w:i w:val="0"/>
                <w:sz w:val="20"/>
              </w:rPr>
              <w:t>Полная GBD, 1 000 т</w:t>
            </w:r>
          </w:p>
        </w:tc>
        <w:tc>
          <w:tcPr>
            <w:tcW w:type="dxa" w:w="1995"/>
          </w:tcPr>
          <w:p>
            <w:pPr>
              <w:spacing w:after="0" w:line="240" w:lineRule="auto"/>
              <w:ind w:firstLine="0"/>
              <w:jc w:val="center"/>
            </w:pPr>
            <w:r>
              <w:rPr>
                <w:b w:val="0"/>
                <w:i w:val="0"/>
                <w:sz w:val="20"/>
              </w:rPr>
              <w:t>1 000</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100</w:t>
            </w:r>
          </w:p>
        </w:tc>
        <w:tc>
          <w:tcPr>
            <w:tcW w:type="dxa" w:w="1995"/>
          </w:tcPr>
          <w:p>
            <w:pPr>
              <w:spacing w:after="0" w:line="240" w:lineRule="auto"/>
              <w:ind w:firstLine="0"/>
              <w:jc w:val="center"/>
            </w:pPr>
            <w:r>
              <w:rPr>
                <w:b w:val="0"/>
                <w:i w:val="0"/>
                <w:sz w:val="20"/>
              </w:rPr>
              <w:t>реализуемо</w:t>
            </w:r>
          </w:p>
        </w:tc>
      </w:tr>
      <w:tr>
        <w:tc>
          <w:tcPr>
            <w:tcW w:type="dxa" w:w="1995"/>
          </w:tcPr>
          <w:p>
            <w:pPr>
              <w:spacing w:after="0" w:line="240" w:lineRule="auto"/>
              <w:ind w:firstLine="0"/>
              <w:jc w:val="left"/>
            </w:pPr>
            <w:r>
              <w:rPr>
                <w:b w:val="0"/>
                <w:i w:val="0"/>
                <w:sz w:val="20"/>
              </w:rPr>
              <w:t>Только классы N/M, 3 000 т</w:t>
            </w:r>
          </w:p>
        </w:tc>
        <w:tc>
          <w:tcPr>
            <w:tcW w:type="dxa" w:w="1995"/>
          </w:tcPr>
          <w:p>
            <w:pPr>
              <w:spacing w:after="0" w:line="240" w:lineRule="auto"/>
              <w:ind w:firstLine="0"/>
              <w:jc w:val="center"/>
            </w:pPr>
            <w:r>
              <w:rPr>
                <w:b w:val="0"/>
                <w:i w:val="0"/>
                <w:sz w:val="20"/>
              </w:rPr>
              <w:t>3 000</w:t>
            </w:r>
          </w:p>
        </w:tc>
        <w:tc>
          <w:tcPr>
            <w:tcW w:type="dxa" w:w="1995"/>
          </w:tcPr>
          <w:p>
            <w:pPr>
              <w:spacing w:after="0" w:line="240" w:lineRule="auto"/>
              <w:ind w:firstLine="0"/>
              <w:jc w:val="center"/>
            </w:pPr>
            <w:r>
              <w:rPr>
                <w:b w:val="0"/>
                <w:i w:val="0"/>
                <w:sz w:val="20"/>
              </w:rPr>
              <w:t>20</w:t>
            </w:r>
          </w:p>
        </w:tc>
        <w:tc>
          <w:tcPr>
            <w:tcW w:type="dxa" w:w="1995"/>
          </w:tcPr>
          <w:p>
            <w:pPr>
              <w:spacing w:after="0" w:line="240" w:lineRule="auto"/>
              <w:ind w:firstLine="0"/>
              <w:jc w:val="center"/>
            </w:pPr>
            <w:r>
              <w:rPr>
                <w:b w:val="0"/>
                <w:i w:val="0"/>
                <w:sz w:val="20"/>
              </w:rPr>
              <w:t>100</w:t>
            </w:r>
          </w:p>
        </w:tc>
        <w:tc>
          <w:tcPr>
            <w:tcW w:type="dxa" w:w="1995"/>
          </w:tcPr>
          <w:p>
            <w:pPr>
              <w:spacing w:after="0" w:line="240" w:lineRule="auto"/>
              <w:ind w:firstLine="0"/>
              <w:jc w:val="center"/>
            </w:pPr>
            <w:r>
              <w:rPr>
                <w:b w:val="0"/>
                <w:i w:val="0"/>
                <w:sz w:val="20"/>
              </w:rPr>
              <w:t>ограниченный рынок</w:t>
            </w:r>
          </w:p>
        </w:tc>
      </w:tr>
    </w:tbl>
    <w:p>
      <w:pPr>
        <w:spacing w:after="180"/>
        <w:ind w:firstLine="0"/>
      </w:pPr>
      <w:r>
        <w:rPr>
          <w:i/>
          <w:sz w:val="20"/>
        </w:rPr>
        <w:t>Источник: расчёт аналитического центра</w:t>
      </w:r>
    </w:p>
    <w:p>
      <w:pPr>
        <w:pStyle w:val="Heading2"/>
      </w:pPr>
      <w:r>
        <w:rPr>
          <w:b w:val="0"/>
          <w:i w:val="0"/>
        </w:rPr>
        <w:t>12.3. Патентная активность</w:t>
      </w:r>
    </w:p>
    <w:p>
      <w:r>
        <w:rPr>
          <w:b w:val="0"/>
          <w:i w:val="0"/>
        </w:rPr>
        <w:t>Анализ патентной активности позволяет оценить накопленный технологический задел и его распределение по переделам.</w:t>
      </w:r>
    </w:p>
    <w:p>
      <w:pPr>
        <w:keepNext/>
        <w:spacing w:before="160" w:after="60"/>
        <w:ind w:firstLine="0"/>
        <w:jc w:val="left"/>
      </w:pPr>
      <w:r>
        <w:rPr>
          <w:b/>
          <w:sz w:val="22"/>
        </w:rPr>
        <w:t>Таблица 86. Распределение патентной активности в области редкоземельных технологий по странам, 2015–2024 гг., число патентных семей</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Страна</w:t>
            </w:r>
          </w:p>
        </w:tc>
        <w:tc>
          <w:tcPr>
            <w:tcW w:type="dxa" w:w="1995"/>
            <w:shd w:val="clear" w:fill="DCE6F1"/>
          </w:tcPr>
          <w:p>
            <w:pPr>
              <w:spacing w:after="0" w:line="240" w:lineRule="auto"/>
              <w:ind w:firstLine="0"/>
              <w:jc w:val="center"/>
            </w:pPr>
            <w:r>
              <w:rPr>
                <w:b/>
                <w:i w:val="0"/>
                <w:sz w:val="20"/>
              </w:rPr>
              <w:t>Добыча и обогащение</w:t>
            </w:r>
          </w:p>
        </w:tc>
        <w:tc>
          <w:tcPr>
            <w:tcW w:type="dxa" w:w="1995"/>
            <w:shd w:val="clear" w:fill="DCE6F1"/>
          </w:tcPr>
          <w:p>
            <w:pPr>
              <w:spacing w:after="0" w:line="240" w:lineRule="auto"/>
              <w:ind w:firstLine="0"/>
              <w:jc w:val="center"/>
            </w:pPr>
            <w:r>
              <w:rPr>
                <w:b/>
                <w:i w:val="0"/>
                <w:sz w:val="20"/>
              </w:rPr>
              <w:t>Разделение</w:t>
            </w:r>
          </w:p>
        </w:tc>
        <w:tc>
          <w:tcPr>
            <w:tcW w:type="dxa" w:w="1995"/>
            <w:shd w:val="clear" w:fill="DCE6F1"/>
          </w:tcPr>
          <w:p>
            <w:pPr>
              <w:spacing w:after="0" w:line="240" w:lineRule="auto"/>
              <w:ind w:firstLine="0"/>
              <w:jc w:val="center"/>
            </w:pPr>
            <w:r>
              <w:rPr>
                <w:b/>
                <w:i w:val="0"/>
                <w:sz w:val="20"/>
              </w:rPr>
              <w:t>Металлургия</w:t>
            </w:r>
          </w:p>
        </w:tc>
        <w:tc>
          <w:tcPr>
            <w:tcW w:type="dxa" w:w="1995"/>
            <w:shd w:val="clear" w:fill="DCE6F1"/>
          </w:tcPr>
          <w:p>
            <w:pPr>
              <w:spacing w:after="0" w:line="240" w:lineRule="auto"/>
              <w:ind w:firstLine="0"/>
              <w:jc w:val="center"/>
            </w:pPr>
            <w:r>
              <w:rPr>
                <w:b/>
                <w:i w:val="0"/>
                <w:sz w:val="20"/>
              </w:rPr>
              <w:t>Магниты</w:t>
            </w:r>
          </w:p>
        </w:tc>
      </w:tr>
      <w:tr>
        <w:tc>
          <w:tcPr>
            <w:tcW w:type="dxa" w:w="1995"/>
          </w:tcPr>
          <w:p>
            <w:pPr>
              <w:spacing w:after="0" w:line="240" w:lineRule="auto"/>
              <w:ind w:firstLine="0"/>
              <w:jc w:val="left"/>
            </w:pPr>
            <w:r>
              <w:rPr>
                <w:b w:val="0"/>
                <w:i w:val="0"/>
                <w:sz w:val="20"/>
              </w:rPr>
              <w:t>КНР</w:t>
            </w:r>
          </w:p>
        </w:tc>
        <w:tc>
          <w:tcPr>
            <w:tcW w:type="dxa" w:w="1995"/>
          </w:tcPr>
          <w:p>
            <w:pPr>
              <w:spacing w:after="0" w:line="240" w:lineRule="auto"/>
              <w:ind w:firstLine="0"/>
              <w:jc w:val="center"/>
            </w:pPr>
            <w:r>
              <w:rPr>
                <w:b w:val="0"/>
                <w:i w:val="0"/>
                <w:sz w:val="20"/>
              </w:rPr>
              <w:t>1 850</w:t>
            </w:r>
          </w:p>
        </w:tc>
        <w:tc>
          <w:tcPr>
            <w:tcW w:type="dxa" w:w="1995"/>
          </w:tcPr>
          <w:p>
            <w:pPr>
              <w:spacing w:after="0" w:line="240" w:lineRule="auto"/>
              <w:ind w:firstLine="0"/>
              <w:jc w:val="center"/>
            </w:pPr>
            <w:r>
              <w:rPr>
                <w:b w:val="0"/>
                <w:i w:val="0"/>
                <w:sz w:val="20"/>
              </w:rPr>
              <w:t>3 200</w:t>
            </w:r>
          </w:p>
        </w:tc>
        <w:tc>
          <w:tcPr>
            <w:tcW w:type="dxa" w:w="1995"/>
          </w:tcPr>
          <w:p>
            <w:pPr>
              <w:spacing w:after="0" w:line="240" w:lineRule="auto"/>
              <w:ind w:firstLine="0"/>
              <w:jc w:val="center"/>
            </w:pPr>
            <w:r>
              <w:rPr>
                <w:b w:val="0"/>
                <w:i w:val="0"/>
                <w:sz w:val="20"/>
              </w:rPr>
              <w:t>1 400</w:t>
            </w:r>
          </w:p>
        </w:tc>
        <w:tc>
          <w:tcPr>
            <w:tcW w:type="dxa" w:w="1995"/>
          </w:tcPr>
          <w:p>
            <w:pPr>
              <w:spacing w:after="0" w:line="240" w:lineRule="auto"/>
              <w:ind w:firstLine="0"/>
              <w:jc w:val="center"/>
            </w:pPr>
            <w:r>
              <w:rPr>
                <w:b w:val="0"/>
                <w:i w:val="0"/>
                <w:sz w:val="20"/>
              </w:rPr>
              <w:t>4 600</w:t>
            </w:r>
          </w:p>
        </w:tc>
      </w:tr>
      <w:tr>
        <w:tc>
          <w:tcPr>
            <w:tcW w:type="dxa" w:w="1995"/>
          </w:tcPr>
          <w:p>
            <w:pPr>
              <w:spacing w:after="0" w:line="240" w:lineRule="auto"/>
              <w:ind w:firstLine="0"/>
              <w:jc w:val="left"/>
            </w:pPr>
            <w:r>
              <w:rPr>
                <w:b w:val="0"/>
                <w:i w:val="0"/>
                <w:sz w:val="20"/>
              </w:rPr>
              <w:t>Япония</w:t>
            </w:r>
          </w:p>
        </w:tc>
        <w:tc>
          <w:tcPr>
            <w:tcW w:type="dxa" w:w="1995"/>
          </w:tcPr>
          <w:p>
            <w:pPr>
              <w:spacing w:after="0" w:line="240" w:lineRule="auto"/>
              <w:ind w:firstLine="0"/>
              <w:jc w:val="center"/>
            </w:pPr>
            <w:r>
              <w:rPr>
                <w:b w:val="0"/>
                <w:i w:val="0"/>
                <w:sz w:val="20"/>
              </w:rPr>
              <w:t>120</w:t>
            </w:r>
          </w:p>
        </w:tc>
        <w:tc>
          <w:tcPr>
            <w:tcW w:type="dxa" w:w="1995"/>
          </w:tcPr>
          <w:p>
            <w:pPr>
              <w:spacing w:after="0" w:line="240" w:lineRule="auto"/>
              <w:ind w:firstLine="0"/>
              <w:jc w:val="center"/>
            </w:pPr>
            <w:r>
              <w:rPr>
                <w:b w:val="0"/>
                <w:i w:val="0"/>
                <w:sz w:val="20"/>
              </w:rPr>
              <w:t>280</w:t>
            </w:r>
          </w:p>
        </w:tc>
        <w:tc>
          <w:tcPr>
            <w:tcW w:type="dxa" w:w="1995"/>
          </w:tcPr>
          <w:p>
            <w:pPr>
              <w:spacing w:after="0" w:line="240" w:lineRule="auto"/>
              <w:ind w:firstLine="0"/>
              <w:jc w:val="center"/>
            </w:pPr>
            <w:r>
              <w:rPr>
                <w:b w:val="0"/>
                <w:i w:val="0"/>
                <w:sz w:val="20"/>
              </w:rPr>
              <w:t>310</w:t>
            </w:r>
          </w:p>
        </w:tc>
        <w:tc>
          <w:tcPr>
            <w:tcW w:type="dxa" w:w="1995"/>
          </w:tcPr>
          <w:p>
            <w:pPr>
              <w:spacing w:after="0" w:line="240" w:lineRule="auto"/>
              <w:ind w:firstLine="0"/>
              <w:jc w:val="center"/>
            </w:pPr>
            <w:r>
              <w:rPr>
                <w:b w:val="0"/>
                <w:i w:val="0"/>
                <w:sz w:val="20"/>
              </w:rPr>
              <w:t>1 950</w:t>
            </w:r>
          </w:p>
        </w:tc>
      </w:tr>
      <w:tr>
        <w:tc>
          <w:tcPr>
            <w:tcW w:type="dxa" w:w="1995"/>
          </w:tcPr>
          <w:p>
            <w:pPr>
              <w:spacing w:after="0" w:line="240" w:lineRule="auto"/>
              <w:ind w:firstLine="0"/>
              <w:jc w:val="left"/>
            </w:pPr>
            <w:r>
              <w:rPr>
                <w:b w:val="0"/>
                <w:i w:val="0"/>
                <w:sz w:val="20"/>
              </w:rPr>
              <w:t>США</w:t>
            </w:r>
          </w:p>
        </w:tc>
        <w:tc>
          <w:tcPr>
            <w:tcW w:type="dxa" w:w="1995"/>
          </w:tcPr>
          <w:p>
            <w:pPr>
              <w:spacing w:after="0" w:line="240" w:lineRule="auto"/>
              <w:ind w:firstLine="0"/>
              <w:jc w:val="center"/>
            </w:pPr>
            <w:r>
              <w:rPr>
                <w:b w:val="0"/>
                <w:i w:val="0"/>
                <w:sz w:val="20"/>
              </w:rPr>
              <w:t>210</w:t>
            </w:r>
          </w:p>
        </w:tc>
        <w:tc>
          <w:tcPr>
            <w:tcW w:type="dxa" w:w="1995"/>
          </w:tcPr>
          <w:p>
            <w:pPr>
              <w:spacing w:after="0" w:line="240" w:lineRule="auto"/>
              <w:ind w:firstLine="0"/>
              <w:jc w:val="center"/>
            </w:pPr>
            <w:r>
              <w:rPr>
                <w:b w:val="0"/>
                <w:i w:val="0"/>
                <w:sz w:val="20"/>
              </w:rPr>
              <w:t>340</w:t>
            </w:r>
          </w:p>
        </w:tc>
        <w:tc>
          <w:tcPr>
            <w:tcW w:type="dxa" w:w="1995"/>
          </w:tcPr>
          <w:p>
            <w:pPr>
              <w:spacing w:after="0" w:line="240" w:lineRule="auto"/>
              <w:ind w:firstLine="0"/>
              <w:jc w:val="center"/>
            </w:pPr>
            <w:r>
              <w:rPr>
                <w:b w:val="0"/>
                <w:i w:val="0"/>
                <w:sz w:val="20"/>
              </w:rPr>
              <w:t>150</w:t>
            </w:r>
          </w:p>
        </w:tc>
        <w:tc>
          <w:tcPr>
            <w:tcW w:type="dxa" w:w="1995"/>
          </w:tcPr>
          <w:p>
            <w:pPr>
              <w:spacing w:after="0" w:line="240" w:lineRule="auto"/>
              <w:ind w:firstLine="0"/>
              <w:jc w:val="center"/>
            </w:pPr>
            <w:r>
              <w:rPr>
                <w:b w:val="0"/>
                <w:i w:val="0"/>
                <w:sz w:val="20"/>
              </w:rPr>
              <w:t>380</w:t>
            </w:r>
          </w:p>
        </w:tc>
      </w:tr>
      <w:tr>
        <w:tc>
          <w:tcPr>
            <w:tcW w:type="dxa" w:w="1995"/>
          </w:tcPr>
          <w:p>
            <w:pPr>
              <w:spacing w:after="0" w:line="240" w:lineRule="auto"/>
              <w:ind w:firstLine="0"/>
              <w:jc w:val="left"/>
            </w:pPr>
            <w:r>
              <w:rPr>
                <w:b w:val="0"/>
                <w:i w:val="0"/>
                <w:sz w:val="20"/>
              </w:rPr>
              <w:t>Респ. Корея</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90</w:t>
            </w:r>
          </w:p>
        </w:tc>
        <w:tc>
          <w:tcPr>
            <w:tcW w:type="dxa" w:w="1995"/>
          </w:tcPr>
          <w:p>
            <w:pPr>
              <w:spacing w:after="0" w:line="240" w:lineRule="auto"/>
              <w:ind w:firstLine="0"/>
              <w:jc w:val="center"/>
            </w:pPr>
            <w:r>
              <w:rPr>
                <w:b w:val="0"/>
                <w:i w:val="0"/>
                <w:sz w:val="20"/>
              </w:rPr>
              <w:t>80</w:t>
            </w:r>
          </w:p>
        </w:tc>
        <w:tc>
          <w:tcPr>
            <w:tcW w:type="dxa" w:w="1995"/>
          </w:tcPr>
          <w:p>
            <w:pPr>
              <w:spacing w:after="0" w:line="240" w:lineRule="auto"/>
              <w:ind w:firstLine="0"/>
              <w:jc w:val="center"/>
            </w:pPr>
            <w:r>
              <w:rPr>
                <w:b w:val="0"/>
                <w:i w:val="0"/>
                <w:sz w:val="20"/>
              </w:rPr>
              <w:t>420</w:t>
            </w:r>
          </w:p>
        </w:tc>
      </w:tr>
      <w:tr>
        <w:tc>
          <w:tcPr>
            <w:tcW w:type="dxa" w:w="1995"/>
          </w:tcPr>
          <w:p>
            <w:pPr>
              <w:spacing w:after="0" w:line="240" w:lineRule="auto"/>
              <w:ind w:firstLine="0"/>
              <w:jc w:val="left"/>
            </w:pPr>
            <w:r>
              <w:rPr>
                <w:b w:val="0"/>
                <w:i w:val="0"/>
                <w:sz w:val="20"/>
              </w:rPr>
              <w:t>Германия</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70</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290</w:t>
            </w:r>
          </w:p>
        </w:tc>
      </w:tr>
      <w:tr>
        <w:tc>
          <w:tcPr>
            <w:tcW w:type="dxa" w:w="1995"/>
          </w:tcPr>
          <w:p>
            <w:pPr>
              <w:spacing w:after="0" w:line="240" w:lineRule="auto"/>
              <w:ind w:firstLine="0"/>
              <w:jc w:val="left"/>
            </w:pPr>
            <w:r>
              <w:rPr>
                <w:b w:val="0"/>
                <w:i w:val="0"/>
                <w:sz w:val="20"/>
              </w:rPr>
              <w:t>Россия</w:t>
            </w:r>
          </w:p>
        </w:tc>
        <w:tc>
          <w:tcPr>
            <w:tcW w:type="dxa" w:w="1995"/>
          </w:tcPr>
          <w:p>
            <w:pPr>
              <w:spacing w:after="0" w:line="240" w:lineRule="auto"/>
              <w:ind w:firstLine="0"/>
              <w:jc w:val="center"/>
            </w:pPr>
            <w:r>
              <w:rPr>
                <w:b w:val="0"/>
                <w:i w:val="0"/>
                <w:sz w:val="20"/>
              </w:rPr>
              <w:t>145</w:t>
            </w:r>
          </w:p>
        </w:tc>
        <w:tc>
          <w:tcPr>
            <w:tcW w:type="dxa" w:w="1995"/>
          </w:tcPr>
          <w:p>
            <w:pPr>
              <w:spacing w:after="0" w:line="240" w:lineRule="auto"/>
              <w:ind w:firstLine="0"/>
              <w:jc w:val="center"/>
            </w:pPr>
            <w:r>
              <w:rPr>
                <w:b w:val="0"/>
                <w:i w:val="0"/>
                <w:sz w:val="20"/>
              </w:rPr>
              <w:t>210</w:t>
            </w:r>
          </w:p>
        </w:tc>
        <w:tc>
          <w:tcPr>
            <w:tcW w:type="dxa" w:w="1995"/>
          </w:tcPr>
          <w:p>
            <w:pPr>
              <w:spacing w:after="0" w:line="240" w:lineRule="auto"/>
              <w:ind w:firstLine="0"/>
              <w:jc w:val="center"/>
            </w:pPr>
            <w:r>
              <w:rPr>
                <w:b w:val="0"/>
                <w:i w:val="0"/>
                <w:sz w:val="20"/>
              </w:rPr>
              <w:t>85</w:t>
            </w:r>
          </w:p>
        </w:tc>
        <w:tc>
          <w:tcPr>
            <w:tcW w:type="dxa" w:w="1995"/>
          </w:tcPr>
          <w:p>
            <w:pPr>
              <w:spacing w:after="0" w:line="240" w:lineRule="auto"/>
              <w:ind w:firstLine="0"/>
              <w:jc w:val="center"/>
            </w:pPr>
            <w:r>
              <w:rPr>
                <w:b w:val="0"/>
                <w:i w:val="0"/>
                <w:sz w:val="20"/>
              </w:rPr>
              <w:t>60</w:t>
            </w:r>
          </w:p>
        </w:tc>
      </w:tr>
      <w:tr>
        <w:tc>
          <w:tcPr>
            <w:tcW w:type="dxa" w:w="1995"/>
          </w:tcPr>
          <w:p>
            <w:pPr>
              <w:spacing w:after="0" w:line="240" w:lineRule="auto"/>
              <w:ind w:firstLine="0"/>
              <w:jc w:val="left"/>
            </w:pPr>
            <w:r>
              <w:rPr>
                <w:b w:val="0"/>
                <w:i w:val="0"/>
                <w:sz w:val="20"/>
              </w:rPr>
              <w:t>Австралия</w:t>
            </w:r>
          </w:p>
        </w:tc>
        <w:tc>
          <w:tcPr>
            <w:tcW w:type="dxa" w:w="1995"/>
          </w:tcPr>
          <w:p>
            <w:pPr>
              <w:spacing w:after="0" w:line="240" w:lineRule="auto"/>
              <w:ind w:firstLine="0"/>
              <w:jc w:val="center"/>
            </w:pPr>
            <w:r>
              <w:rPr>
                <w:b w:val="0"/>
                <w:i w:val="0"/>
                <w:sz w:val="20"/>
              </w:rPr>
              <w:t>90</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15</w:t>
            </w:r>
          </w:p>
        </w:tc>
        <w:tc>
          <w:tcPr>
            <w:tcW w:type="dxa" w:w="1995"/>
          </w:tcPr>
          <w:p>
            <w:pPr>
              <w:spacing w:after="0" w:line="240" w:lineRule="auto"/>
              <w:ind w:firstLine="0"/>
              <w:jc w:val="center"/>
            </w:pPr>
            <w:r>
              <w:rPr>
                <w:b w:val="0"/>
                <w:i w:val="0"/>
                <w:sz w:val="20"/>
              </w:rPr>
              <w:t>10</w:t>
            </w:r>
          </w:p>
        </w:tc>
      </w:tr>
      <w:tr>
        <w:tc>
          <w:tcPr>
            <w:tcW w:type="dxa" w:w="1995"/>
          </w:tcPr>
          <w:p>
            <w:pPr>
              <w:spacing w:after="0" w:line="240" w:lineRule="auto"/>
              <w:ind w:firstLine="0"/>
              <w:jc w:val="left"/>
            </w:pPr>
            <w:r>
              <w:rPr>
                <w:b w:val="0"/>
                <w:i w:val="0"/>
                <w:sz w:val="20"/>
              </w:rPr>
              <w:t>Франция</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110</w:t>
            </w:r>
          </w:p>
        </w:tc>
        <w:tc>
          <w:tcPr>
            <w:tcW w:type="dxa" w:w="1995"/>
          </w:tcPr>
          <w:p>
            <w:pPr>
              <w:spacing w:after="0" w:line="240" w:lineRule="auto"/>
              <w:ind w:firstLine="0"/>
              <w:jc w:val="center"/>
            </w:pPr>
            <w:r>
              <w:rPr>
                <w:b w:val="0"/>
                <w:i w:val="0"/>
                <w:sz w:val="20"/>
              </w:rPr>
              <w:t>30</w:t>
            </w:r>
          </w:p>
        </w:tc>
        <w:tc>
          <w:tcPr>
            <w:tcW w:type="dxa" w:w="1995"/>
          </w:tcPr>
          <w:p>
            <w:pPr>
              <w:spacing w:after="0" w:line="240" w:lineRule="auto"/>
              <w:ind w:firstLine="0"/>
              <w:jc w:val="center"/>
            </w:pPr>
            <w:r>
              <w:rPr>
                <w:b w:val="0"/>
                <w:i w:val="0"/>
                <w:sz w:val="20"/>
              </w:rPr>
              <w:t>45</w:t>
            </w:r>
          </w:p>
        </w:tc>
      </w:tr>
      <w:tr>
        <w:tc>
          <w:tcPr>
            <w:tcW w:type="dxa" w:w="1995"/>
          </w:tcPr>
          <w:p>
            <w:pPr>
              <w:spacing w:after="0" w:line="240" w:lineRule="auto"/>
              <w:ind w:firstLine="0"/>
              <w:jc w:val="left"/>
            </w:pPr>
            <w:r>
              <w:rPr>
                <w:b w:val="0"/>
                <w:i w:val="0"/>
                <w:sz w:val="20"/>
              </w:rPr>
              <w:t>Прочие</w:t>
            </w:r>
          </w:p>
        </w:tc>
        <w:tc>
          <w:tcPr>
            <w:tcW w:type="dxa" w:w="1995"/>
          </w:tcPr>
          <w:p>
            <w:pPr>
              <w:spacing w:after="0" w:line="240" w:lineRule="auto"/>
              <w:ind w:firstLine="0"/>
              <w:jc w:val="center"/>
            </w:pPr>
            <w:r>
              <w:rPr>
                <w:b w:val="0"/>
                <w:i w:val="0"/>
                <w:sz w:val="20"/>
              </w:rPr>
              <w:t>180</w:t>
            </w:r>
          </w:p>
        </w:tc>
        <w:tc>
          <w:tcPr>
            <w:tcW w:type="dxa" w:w="1995"/>
          </w:tcPr>
          <w:p>
            <w:pPr>
              <w:spacing w:after="0" w:line="240" w:lineRule="auto"/>
              <w:ind w:firstLine="0"/>
              <w:jc w:val="center"/>
            </w:pPr>
            <w:r>
              <w:rPr>
                <w:b w:val="0"/>
                <w:i w:val="0"/>
                <w:sz w:val="20"/>
              </w:rPr>
              <w:t>220</w:t>
            </w:r>
          </w:p>
        </w:tc>
        <w:tc>
          <w:tcPr>
            <w:tcW w:type="dxa" w:w="1995"/>
          </w:tcPr>
          <w:p>
            <w:pPr>
              <w:spacing w:after="0" w:line="240" w:lineRule="auto"/>
              <w:ind w:firstLine="0"/>
              <w:jc w:val="center"/>
            </w:pPr>
            <w:r>
              <w:rPr>
                <w:b w:val="0"/>
                <w:i w:val="0"/>
                <w:sz w:val="20"/>
              </w:rPr>
              <w:t>110</w:t>
            </w:r>
          </w:p>
        </w:tc>
        <w:tc>
          <w:tcPr>
            <w:tcW w:type="dxa" w:w="1995"/>
          </w:tcPr>
          <w:p>
            <w:pPr>
              <w:spacing w:after="0" w:line="240" w:lineRule="auto"/>
              <w:ind w:firstLine="0"/>
              <w:jc w:val="center"/>
            </w:pPr>
            <w:r>
              <w:rPr>
                <w:b w:val="0"/>
                <w:i w:val="0"/>
                <w:sz w:val="20"/>
              </w:rPr>
              <w:t>260</w:t>
            </w:r>
          </w:p>
        </w:tc>
      </w:tr>
      <w:tr>
        <w:tc>
          <w:tcPr>
            <w:tcW w:type="dxa" w:w="1995"/>
          </w:tcPr>
          <w:p>
            <w:pPr>
              <w:spacing w:after="0" w:line="240" w:lineRule="auto"/>
              <w:ind w:firstLine="0"/>
              <w:jc w:val="left"/>
            </w:pPr>
            <w:r>
              <w:rPr>
                <w:b/>
                <w:i w:val="0"/>
                <w:sz w:val="20"/>
              </w:rPr>
              <w:t>Всего</w:t>
            </w:r>
          </w:p>
        </w:tc>
        <w:tc>
          <w:tcPr>
            <w:tcW w:type="dxa" w:w="1995"/>
          </w:tcPr>
          <w:p>
            <w:pPr>
              <w:spacing w:after="0" w:line="240" w:lineRule="auto"/>
              <w:ind w:firstLine="0"/>
              <w:jc w:val="center"/>
            </w:pPr>
            <w:r>
              <w:rPr>
                <w:b/>
                <w:i w:val="0"/>
                <w:sz w:val="20"/>
              </w:rPr>
              <w:t>2 695</w:t>
            </w:r>
          </w:p>
        </w:tc>
        <w:tc>
          <w:tcPr>
            <w:tcW w:type="dxa" w:w="1995"/>
          </w:tcPr>
          <w:p>
            <w:pPr>
              <w:spacing w:after="0" w:line="240" w:lineRule="auto"/>
              <w:ind w:firstLine="0"/>
              <w:jc w:val="center"/>
            </w:pPr>
            <w:r>
              <w:rPr>
                <w:b/>
                <w:i w:val="0"/>
                <w:sz w:val="20"/>
              </w:rPr>
              <w:t>4 580</w:t>
            </w:r>
          </w:p>
        </w:tc>
        <w:tc>
          <w:tcPr>
            <w:tcW w:type="dxa" w:w="1995"/>
          </w:tcPr>
          <w:p>
            <w:pPr>
              <w:spacing w:after="0" w:line="240" w:lineRule="auto"/>
              <w:ind w:firstLine="0"/>
              <w:jc w:val="center"/>
            </w:pPr>
            <w:r>
              <w:rPr>
                <w:b/>
                <w:i w:val="0"/>
                <w:sz w:val="20"/>
              </w:rPr>
              <w:t>2 240</w:t>
            </w:r>
          </w:p>
        </w:tc>
        <w:tc>
          <w:tcPr>
            <w:tcW w:type="dxa" w:w="1995"/>
          </w:tcPr>
          <w:p>
            <w:pPr>
              <w:spacing w:after="0" w:line="240" w:lineRule="auto"/>
              <w:ind w:firstLine="0"/>
              <w:jc w:val="center"/>
            </w:pPr>
            <w:r>
              <w:rPr>
                <w:b/>
                <w:i w:val="0"/>
                <w:sz w:val="20"/>
              </w:rPr>
              <w:t>8 015</w:t>
            </w:r>
          </w:p>
        </w:tc>
      </w:tr>
    </w:tbl>
    <w:p>
      <w:pPr>
        <w:spacing w:after="180"/>
        <w:ind w:firstLine="0"/>
      </w:pPr>
      <w:r>
        <w:rPr>
          <w:i/>
          <w:sz w:val="20"/>
        </w:rPr>
        <w:t>Источник: аналитический центр по данным патентных баз Espacenet, ФИПС; оценочные значения</w:t>
      </w:r>
    </w:p>
    <w:p>
      <w:pPr>
        <w:keepNext/>
        <w:spacing w:before="160" w:after="60"/>
        <w:ind w:firstLine="0"/>
        <w:jc w:val="left"/>
      </w:pPr>
      <w:r>
        <w:rPr>
          <w:b/>
          <w:sz w:val="22"/>
        </w:rPr>
        <w:t>Рисунок 65. Патентная активность в области редкоземельных технологий по странам и переделам, 2015–2024 гг.</w:t>
      </w:r>
    </w:p>
    <w:p>
      <w:pPr>
        <w:ind w:firstLine="0"/>
        <w:jc w:val="center"/>
      </w:pPr>
      <w:r>
        <w:drawing>
          <wp:inline xmlns:a="http://schemas.openxmlformats.org/drawingml/2006/main" xmlns:pic="http://schemas.openxmlformats.org/drawingml/2006/picture">
            <wp:extent cx="5580000" cy="2389696"/>
            <wp:docPr id="65" name="Picture 65"/>
            <wp:cNvGraphicFramePr>
              <a:graphicFrameLocks noChangeAspect="1"/>
            </wp:cNvGraphicFramePr>
            <a:graphic>
              <a:graphicData uri="http://schemas.openxmlformats.org/drawingml/2006/picture">
                <pic:pic>
                  <pic:nvPicPr>
                    <pic:cNvPr id="0" name="fig65.png"/>
                    <pic:cNvPicPr/>
                  </pic:nvPicPr>
                  <pic:blipFill>
                    <a:blip r:embed="rId75"/>
                    <a:stretch>
                      <a:fillRect/>
                    </a:stretch>
                  </pic:blipFill>
                  <pic:spPr>
                    <a:xfrm>
                      <a:off x="0" y="0"/>
                      <a:ext cx="5580000" cy="2389696"/>
                    </a:xfrm>
                    <a:prstGeom prst="rect"/>
                  </pic:spPr>
                </pic:pic>
              </a:graphicData>
            </a:graphic>
          </wp:inline>
        </w:drawing>
      </w:r>
    </w:p>
    <w:p>
      <w:pPr>
        <w:spacing w:after="180"/>
        <w:ind w:firstLine="0"/>
      </w:pPr>
      <w:r>
        <w:rPr>
          <w:i/>
          <w:sz w:val="20"/>
        </w:rPr>
        <w:t>Источник: аналитический центр (табл. 86)</w:t>
      </w:r>
    </w:p>
    <w:p>
      <w:r>
        <w:rPr>
          <w:b w:val="0"/>
          <w:i w:val="0"/>
        </w:rPr>
        <w:t>Структура российской патентной активности характерна: 71% патентов относится к переделам добычи, обогащения и разделения, и лишь 12% — к магнитным материалам. Для сравнения, в Японии соотношение обратное (15% и 73%). Это количественно подтверждает вывод раздела 11.7 о структуре технологического разрыва.</w:t>
      </w:r>
    </w:p>
    <w:p>
      <w:pPr>
        <w:pStyle w:val="Heading2"/>
      </w:pPr>
      <w:r>
        <w:rPr>
          <w:b w:val="0"/>
          <w:i w:val="0"/>
        </w:rPr>
        <w:t>12.4. Направления научно-технического развития</w:t>
      </w:r>
    </w:p>
    <w:p>
      <w:pPr>
        <w:keepNext/>
        <w:spacing w:before="160" w:after="60"/>
        <w:ind w:firstLine="0"/>
        <w:jc w:val="left"/>
      </w:pPr>
      <w:r>
        <w:rPr>
          <w:b/>
          <w:sz w:val="22"/>
        </w:rPr>
        <w:t>Таблица 87. Приоритетные направления НИОКР для российской редкоземельной отрасли</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Направление</w:t>
            </w:r>
          </w:p>
        </w:tc>
        <w:tc>
          <w:tcPr>
            <w:tcW w:type="dxa" w:w="2493"/>
            <w:shd w:val="clear" w:fill="DCE6F1"/>
          </w:tcPr>
          <w:p>
            <w:pPr>
              <w:spacing w:after="0" w:line="240" w:lineRule="auto"/>
              <w:ind w:firstLine="0"/>
              <w:jc w:val="center"/>
            </w:pPr>
            <w:r>
              <w:rPr>
                <w:b/>
                <w:i w:val="0"/>
                <w:sz w:val="20"/>
              </w:rPr>
              <w:t>Приоритет</w:t>
            </w:r>
          </w:p>
        </w:tc>
        <w:tc>
          <w:tcPr>
            <w:tcW w:type="dxa" w:w="2493"/>
            <w:shd w:val="clear" w:fill="DCE6F1"/>
          </w:tcPr>
          <w:p>
            <w:pPr>
              <w:spacing w:after="0" w:line="240" w:lineRule="auto"/>
              <w:ind w:firstLine="0"/>
              <w:jc w:val="center"/>
            </w:pPr>
            <w:r>
              <w:rPr>
                <w:b/>
                <w:i w:val="0"/>
                <w:sz w:val="20"/>
              </w:rPr>
              <w:t>Горизонт</w:t>
            </w:r>
          </w:p>
        </w:tc>
        <w:tc>
          <w:tcPr>
            <w:tcW w:type="dxa" w:w="2493"/>
            <w:shd w:val="clear" w:fill="DCE6F1"/>
          </w:tcPr>
          <w:p>
            <w:pPr>
              <w:spacing w:after="0" w:line="240" w:lineRule="auto"/>
              <w:ind w:firstLine="0"/>
              <w:jc w:val="center"/>
            </w:pPr>
            <w:r>
              <w:rPr>
                <w:b/>
                <w:i w:val="0"/>
                <w:sz w:val="20"/>
              </w:rPr>
              <w:t>Обоснование</w:t>
            </w:r>
          </w:p>
        </w:tc>
      </w:tr>
      <w:tr>
        <w:tc>
          <w:tcPr>
            <w:tcW w:type="dxa" w:w="2493"/>
          </w:tcPr>
          <w:p>
            <w:pPr>
              <w:spacing w:after="0" w:line="240" w:lineRule="auto"/>
              <w:ind w:firstLine="0"/>
              <w:jc w:val="left"/>
            </w:pPr>
            <w:r>
              <w:rPr>
                <w:b w:val="0"/>
                <w:i w:val="0"/>
                <w:sz w:val="20"/>
              </w:rPr>
              <w:t>Технология зернограничной диффузии</w:t>
            </w:r>
          </w:p>
        </w:tc>
        <w:tc>
          <w:tcPr>
            <w:tcW w:type="dxa" w:w="2493"/>
          </w:tcPr>
          <w:p>
            <w:pPr>
              <w:spacing w:after="0" w:line="240" w:lineRule="auto"/>
              <w:ind w:firstLine="0"/>
              <w:jc w:val="center"/>
            </w:pPr>
            <w:r>
              <w:rPr>
                <w:b w:val="0"/>
                <w:i w:val="0"/>
                <w:sz w:val="20"/>
              </w:rPr>
              <w:t>критический</w:t>
            </w:r>
          </w:p>
        </w:tc>
        <w:tc>
          <w:tcPr>
            <w:tcW w:type="dxa" w:w="2493"/>
          </w:tcPr>
          <w:p>
            <w:pPr>
              <w:spacing w:after="0" w:line="240" w:lineRule="auto"/>
              <w:ind w:firstLine="0"/>
              <w:jc w:val="center"/>
            </w:pPr>
            <w:r>
              <w:rPr>
                <w:b w:val="0"/>
                <w:i w:val="0"/>
                <w:sz w:val="20"/>
              </w:rPr>
              <w:t>2026–2029</w:t>
            </w:r>
          </w:p>
        </w:tc>
        <w:tc>
          <w:tcPr>
            <w:tcW w:type="dxa" w:w="2493"/>
          </w:tcPr>
          <w:p>
            <w:pPr>
              <w:spacing w:after="0" w:line="240" w:lineRule="auto"/>
              <w:ind w:firstLine="0"/>
              <w:jc w:val="left"/>
            </w:pPr>
            <w:r>
              <w:rPr>
                <w:b w:val="0"/>
                <w:i w:val="0"/>
                <w:sz w:val="20"/>
              </w:rPr>
              <w:t>без неё магнитное производство необеспечено сырьём</w:t>
            </w:r>
          </w:p>
        </w:tc>
      </w:tr>
      <w:tr>
        <w:tc>
          <w:tcPr>
            <w:tcW w:type="dxa" w:w="2493"/>
          </w:tcPr>
          <w:p>
            <w:pPr>
              <w:spacing w:after="0" w:line="240" w:lineRule="auto"/>
              <w:ind w:firstLine="0"/>
              <w:jc w:val="left"/>
            </w:pPr>
            <w:r>
              <w:rPr>
                <w:b w:val="0"/>
                <w:i w:val="0"/>
                <w:sz w:val="20"/>
              </w:rPr>
              <w:t>Разделение тяжёлой группы</w:t>
            </w:r>
          </w:p>
        </w:tc>
        <w:tc>
          <w:tcPr>
            <w:tcW w:type="dxa" w:w="2493"/>
          </w:tcPr>
          <w:p>
            <w:pPr>
              <w:spacing w:after="0" w:line="240" w:lineRule="auto"/>
              <w:ind w:firstLine="0"/>
              <w:jc w:val="center"/>
            </w:pPr>
            <w:r>
              <w:rPr>
                <w:b w:val="0"/>
                <w:i w:val="0"/>
                <w:sz w:val="20"/>
              </w:rPr>
              <w:t>критический</w:t>
            </w:r>
          </w:p>
        </w:tc>
        <w:tc>
          <w:tcPr>
            <w:tcW w:type="dxa" w:w="2493"/>
          </w:tcPr>
          <w:p>
            <w:pPr>
              <w:spacing w:after="0" w:line="240" w:lineRule="auto"/>
              <w:ind w:firstLine="0"/>
              <w:jc w:val="center"/>
            </w:pPr>
            <w:r>
              <w:rPr>
                <w:b w:val="0"/>
                <w:i w:val="0"/>
                <w:sz w:val="20"/>
              </w:rPr>
              <w:t>2026–2030</w:t>
            </w:r>
          </w:p>
        </w:tc>
        <w:tc>
          <w:tcPr>
            <w:tcW w:type="dxa" w:w="2493"/>
          </w:tcPr>
          <w:p>
            <w:pPr>
              <w:spacing w:after="0" w:line="240" w:lineRule="auto"/>
              <w:ind w:firstLine="0"/>
              <w:jc w:val="center"/>
            </w:pPr>
            <w:r>
              <w:rPr>
                <w:b w:val="0"/>
                <w:i w:val="0"/>
                <w:sz w:val="20"/>
              </w:rPr>
              <w:t>отсутствует промышленная технология</w:t>
            </w:r>
          </w:p>
        </w:tc>
      </w:tr>
      <w:tr>
        <w:tc>
          <w:tcPr>
            <w:tcW w:type="dxa" w:w="2493"/>
          </w:tcPr>
          <w:p>
            <w:pPr>
              <w:spacing w:after="0" w:line="240" w:lineRule="auto"/>
              <w:ind w:firstLine="0"/>
              <w:jc w:val="left"/>
            </w:pPr>
            <w:r>
              <w:rPr>
                <w:b w:val="0"/>
                <w:i w:val="0"/>
                <w:sz w:val="20"/>
              </w:rPr>
              <w:t>Переработка эвдиалита</w:t>
            </w:r>
          </w:p>
        </w:tc>
        <w:tc>
          <w:tcPr>
            <w:tcW w:type="dxa" w:w="2493"/>
          </w:tcPr>
          <w:p>
            <w:pPr>
              <w:spacing w:after="0" w:line="240" w:lineRule="auto"/>
              <w:ind w:firstLine="0"/>
              <w:jc w:val="center"/>
            </w:pPr>
            <w:r>
              <w:rPr>
                <w:b w:val="0"/>
                <w:i w:val="0"/>
                <w:sz w:val="20"/>
              </w:rPr>
              <w:t>высокий</w:t>
            </w:r>
          </w:p>
        </w:tc>
        <w:tc>
          <w:tcPr>
            <w:tcW w:type="dxa" w:w="2493"/>
          </w:tcPr>
          <w:p>
            <w:pPr>
              <w:spacing w:after="0" w:line="240" w:lineRule="auto"/>
              <w:ind w:firstLine="0"/>
              <w:jc w:val="center"/>
            </w:pPr>
            <w:r>
              <w:rPr>
                <w:b w:val="0"/>
                <w:i w:val="0"/>
                <w:sz w:val="20"/>
              </w:rPr>
              <w:t>2027–2032</w:t>
            </w:r>
          </w:p>
        </w:tc>
        <w:tc>
          <w:tcPr>
            <w:tcW w:type="dxa" w:w="2493"/>
          </w:tcPr>
          <w:p>
            <w:pPr>
              <w:spacing w:after="0" w:line="240" w:lineRule="auto"/>
              <w:ind w:firstLine="0"/>
              <w:jc w:val="center"/>
            </w:pPr>
            <w:r>
              <w:rPr>
                <w:b w:val="0"/>
                <w:i w:val="0"/>
                <w:sz w:val="20"/>
              </w:rPr>
              <w:t>15% запасов, благоприятная корзина</w:t>
            </w:r>
          </w:p>
        </w:tc>
      </w:tr>
      <w:tr>
        <w:tc>
          <w:tcPr>
            <w:tcW w:type="dxa" w:w="2493"/>
          </w:tcPr>
          <w:p>
            <w:pPr>
              <w:spacing w:after="0" w:line="240" w:lineRule="auto"/>
              <w:ind w:firstLine="0"/>
              <w:jc w:val="left"/>
            </w:pPr>
            <w:r>
              <w:rPr>
                <w:b w:val="0"/>
                <w:i w:val="0"/>
                <w:sz w:val="20"/>
              </w:rPr>
              <w:t>Промышленная схема для Томтора</w:t>
            </w:r>
          </w:p>
        </w:tc>
        <w:tc>
          <w:tcPr>
            <w:tcW w:type="dxa" w:w="2493"/>
          </w:tcPr>
          <w:p>
            <w:pPr>
              <w:spacing w:after="0" w:line="240" w:lineRule="auto"/>
              <w:ind w:firstLine="0"/>
              <w:jc w:val="center"/>
            </w:pPr>
            <w:r>
              <w:rPr>
                <w:b w:val="0"/>
                <w:i w:val="0"/>
                <w:sz w:val="20"/>
              </w:rPr>
              <w:t>высокий</w:t>
            </w:r>
          </w:p>
        </w:tc>
        <w:tc>
          <w:tcPr>
            <w:tcW w:type="dxa" w:w="2493"/>
          </w:tcPr>
          <w:p>
            <w:pPr>
              <w:spacing w:after="0" w:line="240" w:lineRule="auto"/>
              <w:ind w:firstLine="0"/>
              <w:jc w:val="center"/>
            </w:pPr>
            <w:r>
              <w:rPr>
                <w:b w:val="0"/>
                <w:i w:val="0"/>
                <w:sz w:val="20"/>
              </w:rPr>
              <w:t>2026–2030</w:t>
            </w:r>
          </w:p>
        </w:tc>
        <w:tc>
          <w:tcPr>
            <w:tcW w:type="dxa" w:w="2493"/>
          </w:tcPr>
          <w:p>
            <w:pPr>
              <w:spacing w:after="0" w:line="240" w:lineRule="auto"/>
              <w:ind w:firstLine="0"/>
              <w:jc w:val="center"/>
            </w:pPr>
            <w:r>
              <w:rPr>
                <w:b w:val="0"/>
                <w:i w:val="0"/>
                <w:sz w:val="20"/>
              </w:rPr>
              <w:t>основа масштабного роста</w:t>
            </w:r>
          </w:p>
        </w:tc>
      </w:tr>
      <w:tr>
        <w:tc>
          <w:tcPr>
            <w:tcW w:type="dxa" w:w="2493"/>
          </w:tcPr>
          <w:p>
            <w:pPr>
              <w:spacing w:after="0" w:line="240" w:lineRule="auto"/>
              <w:ind w:firstLine="0"/>
              <w:jc w:val="left"/>
            </w:pPr>
            <w:r>
              <w:rPr>
                <w:b w:val="0"/>
                <w:i w:val="0"/>
                <w:sz w:val="20"/>
              </w:rPr>
              <w:t>Извлечение из фосфогипса</w:t>
            </w:r>
          </w:p>
        </w:tc>
        <w:tc>
          <w:tcPr>
            <w:tcW w:type="dxa" w:w="2493"/>
          </w:tcPr>
          <w:p>
            <w:pPr>
              <w:spacing w:after="0" w:line="240" w:lineRule="auto"/>
              <w:ind w:firstLine="0"/>
              <w:jc w:val="center"/>
            </w:pPr>
            <w:r>
              <w:rPr>
                <w:b w:val="0"/>
                <w:i w:val="0"/>
                <w:sz w:val="20"/>
              </w:rPr>
              <w:t>высокий</w:t>
            </w:r>
          </w:p>
        </w:tc>
        <w:tc>
          <w:tcPr>
            <w:tcW w:type="dxa" w:w="2493"/>
          </w:tcPr>
          <w:p>
            <w:pPr>
              <w:spacing w:after="0" w:line="240" w:lineRule="auto"/>
              <w:ind w:firstLine="0"/>
              <w:jc w:val="center"/>
            </w:pPr>
            <w:r>
              <w:rPr>
                <w:b w:val="0"/>
                <w:i w:val="0"/>
                <w:sz w:val="20"/>
              </w:rPr>
              <w:t>2026–2029</w:t>
            </w:r>
          </w:p>
        </w:tc>
        <w:tc>
          <w:tcPr>
            <w:tcW w:type="dxa" w:w="2493"/>
          </w:tcPr>
          <w:p>
            <w:pPr>
              <w:spacing w:after="0" w:line="240" w:lineRule="auto"/>
              <w:ind w:firstLine="0"/>
              <w:jc w:val="center"/>
            </w:pPr>
            <w:r>
              <w:rPr>
                <w:b w:val="0"/>
                <w:i w:val="0"/>
                <w:sz w:val="20"/>
              </w:rPr>
              <w:t>наименьший риск, крупный ресурс</w:t>
            </w:r>
          </w:p>
        </w:tc>
      </w:tr>
      <w:tr>
        <w:tc>
          <w:tcPr>
            <w:tcW w:type="dxa" w:w="2493"/>
          </w:tcPr>
          <w:p>
            <w:pPr>
              <w:spacing w:after="0" w:line="240" w:lineRule="auto"/>
              <w:ind w:firstLine="0"/>
              <w:jc w:val="left"/>
            </w:pPr>
            <w:r>
              <w:rPr>
                <w:b w:val="0"/>
                <w:i w:val="0"/>
                <w:sz w:val="20"/>
              </w:rPr>
              <w:t>Металлы магнитной чистоты</w:t>
            </w:r>
          </w:p>
        </w:tc>
        <w:tc>
          <w:tcPr>
            <w:tcW w:type="dxa" w:w="2493"/>
          </w:tcPr>
          <w:p>
            <w:pPr>
              <w:spacing w:after="0" w:line="240" w:lineRule="auto"/>
              <w:ind w:firstLine="0"/>
              <w:jc w:val="center"/>
            </w:pPr>
            <w:r>
              <w:rPr>
                <w:b w:val="0"/>
                <w:i w:val="0"/>
                <w:sz w:val="20"/>
              </w:rPr>
              <w:t>высокий</w:t>
            </w:r>
          </w:p>
        </w:tc>
        <w:tc>
          <w:tcPr>
            <w:tcW w:type="dxa" w:w="2493"/>
          </w:tcPr>
          <w:p>
            <w:pPr>
              <w:spacing w:after="0" w:line="240" w:lineRule="auto"/>
              <w:ind w:firstLine="0"/>
              <w:jc w:val="center"/>
            </w:pPr>
            <w:r>
              <w:rPr>
                <w:b w:val="0"/>
                <w:i w:val="0"/>
                <w:sz w:val="20"/>
              </w:rPr>
              <w:t>2026–2028</w:t>
            </w:r>
          </w:p>
        </w:tc>
        <w:tc>
          <w:tcPr>
            <w:tcW w:type="dxa" w:w="2493"/>
          </w:tcPr>
          <w:p>
            <w:pPr>
              <w:spacing w:after="0" w:line="240" w:lineRule="auto"/>
              <w:ind w:firstLine="0"/>
              <w:jc w:val="center"/>
            </w:pPr>
            <w:r>
              <w:rPr>
                <w:b w:val="0"/>
                <w:i w:val="0"/>
                <w:sz w:val="20"/>
              </w:rPr>
              <w:t>входное условие магнитного производства</w:t>
            </w:r>
          </w:p>
        </w:tc>
      </w:tr>
      <w:tr>
        <w:tc>
          <w:tcPr>
            <w:tcW w:type="dxa" w:w="2493"/>
          </w:tcPr>
          <w:p>
            <w:pPr>
              <w:spacing w:after="0" w:line="240" w:lineRule="auto"/>
              <w:ind w:firstLine="0"/>
              <w:jc w:val="left"/>
            </w:pPr>
            <w:r>
              <w:rPr>
                <w:b w:val="0"/>
                <w:i w:val="0"/>
                <w:sz w:val="20"/>
              </w:rPr>
              <w:t>Рециклинг магнитов</w:t>
            </w:r>
          </w:p>
        </w:tc>
        <w:tc>
          <w:tcPr>
            <w:tcW w:type="dxa" w:w="2493"/>
          </w:tcPr>
          <w:p>
            <w:pPr>
              <w:spacing w:after="0" w:line="240" w:lineRule="auto"/>
              <w:ind w:firstLine="0"/>
              <w:jc w:val="center"/>
            </w:pPr>
            <w:r>
              <w:rPr>
                <w:b w:val="0"/>
                <w:i w:val="0"/>
                <w:sz w:val="20"/>
              </w:rPr>
              <w:t>средний</w:t>
            </w:r>
          </w:p>
        </w:tc>
        <w:tc>
          <w:tcPr>
            <w:tcW w:type="dxa" w:w="2493"/>
          </w:tcPr>
          <w:p>
            <w:pPr>
              <w:spacing w:after="0" w:line="240" w:lineRule="auto"/>
              <w:ind w:firstLine="0"/>
              <w:jc w:val="center"/>
            </w:pPr>
            <w:r>
              <w:rPr>
                <w:b w:val="0"/>
                <w:i w:val="0"/>
                <w:sz w:val="20"/>
              </w:rPr>
              <w:t>2028–2033</w:t>
            </w:r>
          </w:p>
        </w:tc>
        <w:tc>
          <w:tcPr>
            <w:tcW w:type="dxa" w:w="2493"/>
          </w:tcPr>
          <w:p>
            <w:pPr>
              <w:spacing w:after="0" w:line="240" w:lineRule="auto"/>
              <w:ind w:firstLine="0"/>
              <w:jc w:val="center"/>
            </w:pPr>
            <w:r>
              <w:rPr>
                <w:b w:val="0"/>
                <w:i w:val="0"/>
                <w:sz w:val="20"/>
              </w:rPr>
              <w:t>источник тяжёлой группы</w:t>
            </w:r>
          </w:p>
        </w:tc>
      </w:tr>
      <w:tr>
        <w:tc>
          <w:tcPr>
            <w:tcW w:type="dxa" w:w="2493"/>
          </w:tcPr>
          <w:p>
            <w:pPr>
              <w:spacing w:after="0" w:line="240" w:lineRule="auto"/>
              <w:ind w:firstLine="0"/>
              <w:jc w:val="left"/>
            </w:pPr>
            <w:r>
              <w:rPr>
                <w:b w:val="0"/>
                <w:i w:val="0"/>
                <w:sz w:val="20"/>
              </w:rPr>
              <w:t>Применения церия и лантана</w:t>
            </w:r>
          </w:p>
        </w:tc>
        <w:tc>
          <w:tcPr>
            <w:tcW w:type="dxa" w:w="2493"/>
          </w:tcPr>
          <w:p>
            <w:pPr>
              <w:spacing w:after="0" w:line="240" w:lineRule="auto"/>
              <w:ind w:firstLine="0"/>
              <w:jc w:val="center"/>
            </w:pPr>
            <w:r>
              <w:rPr>
                <w:b w:val="0"/>
                <w:i w:val="0"/>
                <w:sz w:val="20"/>
              </w:rPr>
              <w:t>средний</w:t>
            </w:r>
          </w:p>
        </w:tc>
        <w:tc>
          <w:tcPr>
            <w:tcW w:type="dxa" w:w="2493"/>
          </w:tcPr>
          <w:p>
            <w:pPr>
              <w:spacing w:after="0" w:line="240" w:lineRule="auto"/>
              <w:ind w:firstLine="0"/>
              <w:jc w:val="center"/>
            </w:pPr>
            <w:r>
              <w:rPr>
                <w:b w:val="0"/>
                <w:i w:val="0"/>
                <w:sz w:val="20"/>
              </w:rPr>
              <w:t>2027–2032</w:t>
            </w:r>
          </w:p>
        </w:tc>
        <w:tc>
          <w:tcPr>
            <w:tcW w:type="dxa" w:w="2493"/>
          </w:tcPr>
          <w:p>
            <w:pPr>
              <w:spacing w:after="0" w:line="240" w:lineRule="auto"/>
              <w:ind w:firstLine="0"/>
              <w:jc w:val="center"/>
            </w:pPr>
            <w:r>
              <w:rPr>
                <w:b w:val="0"/>
                <w:i w:val="0"/>
                <w:sz w:val="20"/>
              </w:rPr>
              <w:t>решение проблемы корзины</w:t>
            </w:r>
          </w:p>
        </w:tc>
      </w:tr>
      <w:tr>
        <w:tc>
          <w:tcPr>
            <w:tcW w:type="dxa" w:w="2493"/>
          </w:tcPr>
          <w:p>
            <w:pPr>
              <w:spacing w:after="0" w:line="240" w:lineRule="auto"/>
              <w:ind w:firstLine="0"/>
              <w:jc w:val="left"/>
            </w:pPr>
            <w:r>
              <w:rPr>
                <w:b w:val="0"/>
                <w:i w:val="0"/>
                <w:sz w:val="20"/>
              </w:rPr>
              <w:t>Безредкоземельные и SmCo-магниты</w:t>
            </w:r>
          </w:p>
        </w:tc>
        <w:tc>
          <w:tcPr>
            <w:tcW w:type="dxa" w:w="2493"/>
          </w:tcPr>
          <w:p>
            <w:pPr>
              <w:spacing w:after="0" w:line="240" w:lineRule="auto"/>
              <w:ind w:firstLine="0"/>
              <w:jc w:val="center"/>
            </w:pPr>
            <w:r>
              <w:rPr>
                <w:b w:val="0"/>
                <w:i w:val="0"/>
                <w:sz w:val="20"/>
              </w:rPr>
              <w:t>средний</w:t>
            </w:r>
          </w:p>
        </w:tc>
        <w:tc>
          <w:tcPr>
            <w:tcW w:type="dxa" w:w="2493"/>
          </w:tcPr>
          <w:p>
            <w:pPr>
              <w:spacing w:after="0" w:line="240" w:lineRule="auto"/>
              <w:ind w:firstLine="0"/>
              <w:jc w:val="center"/>
            </w:pPr>
            <w:r>
              <w:rPr>
                <w:b w:val="0"/>
                <w:i w:val="0"/>
                <w:sz w:val="20"/>
              </w:rPr>
              <w:t>2026–2031</w:t>
            </w:r>
          </w:p>
        </w:tc>
        <w:tc>
          <w:tcPr>
            <w:tcW w:type="dxa" w:w="2493"/>
          </w:tcPr>
          <w:p>
            <w:pPr>
              <w:spacing w:after="0" w:line="240" w:lineRule="auto"/>
              <w:ind w:firstLine="0"/>
              <w:jc w:val="center"/>
            </w:pPr>
            <w:r>
              <w:rPr>
                <w:b w:val="0"/>
                <w:i w:val="0"/>
                <w:sz w:val="20"/>
              </w:rPr>
              <w:t>снижение зависимости от Dy, Tb</w:t>
            </w:r>
          </w:p>
        </w:tc>
      </w:tr>
      <w:tr>
        <w:tc>
          <w:tcPr>
            <w:tcW w:type="dxa" w:w="2493"/>
          </w:tcPr>
          <w:p>
            <w:pPr>
              <w:spacing w:after="0" w:line="240" w:lineRule="auto"/>
              <w:ind w:firstLine="0"/>
              <w:jc w:val="left"/>
            </w:pPr>
            <w:r>
              <w:rPr>
                <w:b w:val="0"/>
                <w:i w:val="0"/>
                <w:sz w:val="20"/>
              </w:rPr>
              <w:t>Скандиевые сплавы</w:t>
            </w:r>
          </w:p>
        </w:tc>
        <w:tc>
          <w:tcPr>
            <w:tcW w:type="dxa" w:w="2493"/>
          </w:tcPr>
          <w:p>
            <w:pPr>
              <w:spacing w:after="0" w:line="240" w:lineRule="auto"/>
              <w:ind w:firstLine="0"/>
              <w:jc w:val="center"/>
            </w:pPr>
            <w:r>
              <w:rPr>
                <w:b w:val="0"/>
                <w:i w:val="0"/>
                <w:sz w:val="20"/>
              </w:rPr>
              <w:t>средний</w:t>
            </w:r>
          </w:p>
        </w:tc>
        <w:tc>
          <w:tcPr>
            <w:tcW w:type="dxa" w:w="2493"/>
          </w:tcPr>
          <w:p>
            <w:pPr>
              <w:spacing w:after="0" w:line="240" w:lineRule="auto"/>
              <w:ind w:firstLine="0"/>
              <w:jc w:val="center"/>
            </w:pPr>
            <w:r>
              <w:rPr>
                <w:b w:val="0"/>
                <w:i w:val="0"/>
                <w:sz w:val="20"/>
              </w:rPr>
              <w:t>2026–2030</w:t>
            </w:r>
          </w:p>
        </w:tc>
        <w:tc>
          <w:tcPr>
            <w:tcW w:type="dxa" w:w="2493"/>
          </w:tcPr>
          <w:p>
            <w:pPr>
              <w:spacing w:after="0" w:line="240" w:lineRule="auto"/>
              <w:ind w:firstLine="0"/>
              <w:jc w:val="center"/>
            </w:pPr>
            <w:r>
              <w:rPr>
                <w:b w:val="0"/>
                <w:i w:val="0"/>
                <w:sz w:val="20"/>
              </w:rPr>
              <w:t>самостоятельный рынок</w:t>
            </w:r>
          </w:p>
        </w:tc>
      </w:tr>
    </w:tbl>
    <w:p>
      <w:pPr>
        <w:spacing w:after="180"/>
        <w:ind w:firstLine="0"/>
      </w:pPr>
      <w:r>
        <w:rPr>
          <w:i/>
          <w:sz w:val="20"/>
        </w:rPr>
        <w:t>Источник: оценка аналитического центра</w:t>
      </w:r>
    </w:p>
    <w:p>
      <w:r>
        <w:rPr>
          <w:b w:val="0"/>
          <w:i w:val="0"/>
        </w:rPr>
        <w:t>Отдельного внимания заслуживает направление, связанное с поиском массовых применений церия и лантана. Как показано в разделах 1.5 и 8.3, эти элементы неизбежно образуются в количествах, кратно превышающих спрос. Для российских проектов, ориентированных на лёгкое сырьё, это означает, что при производстве 20 тыс. т TREO будет получено около 12 тыс. т оксидов церия и лантана, сбыт которых при мировой цене менее 1 долл./кг экономически бессмыслен, а складирование требует затрат.</w:t>
      </w:r>
    </w:p>
    <w:p>
      <w:r>
        <w:rPr>
          <w:b w:val="0"/>
          <w:i w:val="0"/>
        </w:rPr>
        <w:t>Потенциальные направления утилизации: алюминиево-цериевые сплавы для литейного производства (позволяют вводить до 10–12% церия), цериевые модификаторы стали, катализаторы, стекольная промышленность, водоочистка. Совокупная ёмкость внутреннего рынка по этим направлениям оценивается в 3–6 тыс. т в год, что покрывает лишь половину потенциального выпуска.</w:t>
      </w:r>
    </w:p>
    <w:p>
      <w:pPr>
        <w:keepNext/>
        <w:spacing w:before="160" w:after="60"/>
        <w:ind w:firstLine="0"/>
        <w:jc w:val="left"/>
      </w:pPr>
      <w:r>
        <w:rPr>
          <w:b/>
          <w:sz w:val="22"/>
        </w:rPr>
        <w:t>Рисунок 66. Прогнозный баланс лёгких РЗМ при реализации российских проектов, тыс. т/год (2032 г.)</w:t>
      </w:r>
    </w:p>
    <w:p>
      <w:pPr>
        <w:ind w:firstLine="0"/>
        <w:jc w:val="center"/>
      </w:pPr>
      <w:r>
        <w:drawing>
          <wp:inline xmlns:a="http://schemas.openxmlformats.org/drawingml/2006/main" xmlns:pic="http://schemas.openxmlformats.org/drawingml/2006/picture">
            <wp:extent cx="5580000" cy="2450348"/>
            <wp:docPr id="66" name="Picture 66"/>
            <wp:cNvGraphicFramePr>
              <a:graphicFrameLocks noChangeAspect="1"/>
            </wp:cNvGraphicFramePr>
            <a:graphic>
              <a:graphicData uri="http://schemas.openxmlformats.org/drawingml/2006/picture">
                <pic:pic>
                  <pic:nvPicPr>
                    <pic:cNvPr id="0" name="fig66.png"/>
                    <pic:cNvPicPr/>
                  </pic:nvPicPr>
                  <pic:blipFill>
                    <a:blip r:embed="rId76"/>
                    <a:stretch>
                      <a:fillRect/>
                    </a:stretch>
                  </pic:blipFill>
                  <pic:spPr>
                    <a:xfrm>
                      <a:off x="0" y="0"/>
                      <a:ext cx="5580000" cy="2450348"/>
                    </a:xfrm>
                    <a:prstGeom prst="rect"/>
                  </pic:spPr>
                </pic:pic>
              </a:graphicData>
            </a:graphic>
          </wp:inline>
        </w:drawing>
      </w:r>
    </w:p>
    <w:p>
      <w:pPr>
        <w:spacing w:after="180"/>
        <w:ind w:firstLine="0"/>
      </w:pPr>
      <w:r>
        <w:rPr>
          <w:i/>
          <w:sz w:val="20"/>
        </w:rPr>
        <w:t>Источник: расчёт аналитического центра</w:t>
      </w:r>
    </w:p>
    <w:p>
      <w:pPr>
        <w:pStyle w:val="Heading2"/>
      </w:pPr>
      <w:r>
        <w:rPr>
          <w:b w:val="0"/>
          <w:i w:val="0"/>
        </w:rPr>
        <w:t>12.5. Кадровое обеспечение отрасли</w:t>
      </w:r>
    </w:p>
    <w:p>
      <w:r>
        <w:rPr>
          <w:b w:val="0"/>
          <w:i w:val="0"/>
        </w:rPr>
        <w:t>Создание отрасли полного цикла требует специалистов, подготовка которых занимает 5–8 лет и невозможна без действующих производств для практики.</w:t>
      </w:r>
    </w:p>
    <w:p>
      <w:r>
        <w:rPr>
          <w:b w:val="0"/>
          <w:i w:val="0"/>
        </w:rPr>
        <w:t>Расчётная потребность при реализации заявленной программы: горные инженеры и обогатители — 800–1 200 человек; химики-технологи гидрометаллургического профиля — 600–900; металлурги и материаловеды — 400–600; специалисты по радиационной безопасности — 120–200; инженеры-механики и автоматчики — 700–1 000. Совокупно — порядка 3–4 тыс. специалистов с высшим образованием и 8–12 тыс. рабочих квалифицированных специальностей.</w:t>
      </w:r>
    </w:p>
    <w:p>
      <w:r>
        <w:rPr>
          <w:b w:val="0"/>
          <w:i w:val="0"/>
        </w:rPr>
        <w:t>Базовые вузы: НИТУ МИСИС, РХТУ им. Д. И. Менделеева, СПбГТИ(ТУ), Санкт-Петербургский горный университет, УрФУ, Мурманский арктический университет, Пермский национальный исследовательский политехнический университет.</w:t>
      </w:r>
    </w:p>
    <w:p>
      <w:r>
        <w:rPr>
          <w:b w:val="0"/>
          <w:i w:val="0"/>
        </w:rPr>
        <w:t>Ограничение состоит в том, что подготовка по узким специальностям (экстракционная технология редких земель, материаловедение постоянных магнитов) практически свёрнута вследствие отсутствия спроса на протяжении трёх десятилетий. Восстановление образовательных программ требует опережающего решения, поскольку первый выпуск специалистов появится не ранее чем через 5 лет после начала подготовки — то есть после планового срока пуска ключевых объектов.</w:t>
      </w:r>
    </w:p>
    <w:p>
      <w:pPr>
        <w:keepNext/>
        <w:spacing w:before="160" w:after="60"/>
        <w:ind w:firstLine="0"/>
        <w:jc w:val="left"/>
      </w:pPr>
      <w:r>
        <w:rPr>
          <w:b/>
          <w:sz w:val="22"/>
        </w:rPr>
        <w:t>Таблица 88. Оценка кадровой потребности редкоземельной отрасли РФ при реализации целевых показателей</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Категория специалистов</w:t>
            </w:r>
          </w:p>
        </w:tc>
        <w:tc>
          <w:tcPr>
            <w:tcW w:type="dxa" w:w="2493"/>
            <w:shd w:val="clear" w:fill="DCE6F1"/>
          </w:tcPr>
          <w:p>
            <w:pPr>
              <w:spacing w:after="0" w:line="240" w:lineRule="auto"/>
              <w:ind w:firstLine="0"/>
              <w:jc w:val="center"/>
            </w:pPr>
            <w:r>
              <w:rPr>
                <w:b/>
                <w:i w:val="0"/>
                <w:sz w:val="20"/>
              </w:rPr>
              <w:t>Потребность к 2030 г., чел.</w:t>
            </w:r>
          </w:p>
        </w:tc>
        <w:tc>
          <w:tcPr>
            <w:tcW w:type="dxa" w:w="2493"/>
            <w:shd w:val="clear" w:fill="DCE6F1"/>
          </w:tcPr>
          <w:p>
            <w:pPr>
              <w:spacing w:after="0" w:line="240" w:lineRule="auto"/>
              <w:ind w:firstLine="0"/>
              <w:jc w:val="center"/>
            </w:pPr>
            <w:r>
              <w:rPr>
                <w:b/>
                <w:i w:val="0"/>
                <w:sz w:val="20"/>
              </w:rPr>
              <w:t>Текущая обеспеченность, %</w:t>
            </w:r>
          </w:p>
        </w:tc>
        <w:tc>
          <w:tcPr>
            <w:tcW w:type="dxa" w:w="2493"/>
            <w:shd w:val="clear" w:fill="DCE6F1"/>
          </w:tcPr>
          <w:p>
            <w:pPr>
              <w:spacing w:after="0" w:line="240" w:lineRule="auto"/>
              <w:ind w:firstLine="0"/>
              <w:jc w:val="center"/>
            </w:pPr>
            <w:r>
              <w:rPr>
                <w:b/>
                <w:i w:val="0"/>
                <w:sz w:val="20"/>
              </w:rPr>
              <w:t>Критичность</w:t>
            </w:r>
          </w:p>
        </w:tc>
      </w:tr>
      <w:tr>
        <w:tc>
          <w:tcPr>
            <w:tcW w:type="dxa" w:w="2493"/>
          </w:tcPr>
          <w:p>
            <w:pPr>
              <w:spacing w:after="0" w:line="240" w:lineRule="auto"/>
              <w:ind w:firstLine="0"/>
              <w:jc w:val="left"/>
            </w:pPr>
            <w:r>
              <w:rPr>
                <w:b w:val="0"/>
                <w:i w:val="0"/>
                <w:sz w:val="20"/>
              </w:rPr>
              <w:t>Горные инженеры, обогатители</w:t>
            </w:r>
          </w:p>
        </w:tc>
        <w:tc>
          <w:tcPr>
            <w:tcW w:type="dxa" w:w="2493"/>
          </w:tcPr>
          <w:p>
            <w:pPr>
              <w:spacing w:after="0" w:line="240" w:lineRule="auto"/>
              <w:ind w:firstLine="0"/>
              <w:jc w:val="center"/>
            </w:pPr>
            <w:r>
              <w:rPr>
                <w:b w:val="0"/>
                <w:i w:val="0"/>
                <w:sz w:val="20"/>
              </w:rPr>
              <w:t>1 000</w:t>
            </w:r>
          </w:p>
        </w:tc>
        <w:tc>
          <w:tcPr>
            <w:tcW w:type="dxa" w:w="2493"/>
          </w:tcPr>
          <w:p>
            <w:pPr>
              <w:spacing w:after="0" w:line="240" w:lineRule="auto"/>
              <w:ind w:firstLine="0"/>
              <w:jc w:val="center"/>
            </w:pPr>
            <w:r>
              <w:rPr>
                <w:b w:val="0"/>
                <w:i w:val="0"/>
                <w:sz w:val="20"/>
              </w:rPr>
              <w:t>45</w:t>
            </w:r>
          </w:p>
        </w:tc>
        <w:tc>
          <w:tcPr>
            <w:tcW w:type="dxa" w:w="2493"/>
          </w:tcPr>
          <w:p>
            <w:pPr>
              <w:spacing w:after="0" w:line="240" w:lineRule="auto"/>
              <w:ind w:firstLine="0"/>
              <w:jc w:val="center"/>
            </w:pPr>
            <w:r>
              <w:rPr>
                <w:b w:val="0"/>
                <w:i w:val="0"/>
                <w:sz w:val="20"/>
              </w:rPr>
              <w:t>средняя</w:t>
            </w:r>
          </w:p>
        </w:tc>
      </w:tr>
      <w:tr>
        <w:tc>
          <w:tcPr>
            <w:tcW w:type="dxa" w:w="2493"/>
          </w:tcPr>
          <w:p>
            <w:pPr>
              <w:spacing w:after="0" w:line="240" w:lineRule="auto"/>
              <w:ind w:firstLine="0"/>
              <w:jc w:val="left"/>
            </w:pPr>
            <w:r>
              <w:rPr>
                <w:b w:val="0"/>
                <w:i w:val="0"/>
                <w:sz w:val="20"/>
              </w:rPr>
              <w:t>Химики-технологи (гидрометаллургия)</w:t>
            </w:r>
          </w:p>
        </w:tc>
        <w:tc>
          <w:tcPr>
            <w:tcW w:type="dxa" w:w="2493"/>
          </w:tcPr>
          <w:p>
            <w:pPr>
              <w:spacing w:after="0" w:line="240" w:lineRule="auto"/>
              <w:ind w:firstLine="0"/>
              <w:jc w:val="center"/>
            </w:pPr>
            <w:r>
              <w:rPr>
                <w:b w:val="0"/>
                <w:i w:val="0"/>
                <w:sz w:val="20"/>
              </w:rPr>
              <w:t>750</w:t>
            </w:r>
          </w:p>
        </w:tc>
        <w:tc>
          <w:tcPr>
            <w:tcW w:type="dxa" w:w="2493"/>
          </w:tcPr>
          <w:p>
            <w:pPr>
              <w:spacing w:after="0" w:line="240" w:lineRule="auto"/>
              <w:ind w:firstLine="0"/>
              <w:jc w:val="center"/>
            </w:pPr>
            <w:r>
              <w:rPr>
                <w:b w:val="0"/>
                <w:i w:val="0"/>
                <w:sz w:val="20"/>
              </w:rPr>
              <w:t>30</w:t>
            </w:r>
          </w:p>
        </w:tc>
        <w:tc>
          <w:tcPr>
            <w:tcW w:type="dxa" w:w="2493"/>
          </w:tcPr>
          <w:p>
            <w:pPr>
              <w:spacing w:after="0" w:line="240" w:lineRule="auto"/>
              <w:ind w:firstLine="0"/>
              <w:jc w:val="center"/>
            </w:pPr>
            <w:r>
              <w:rPr>
                <w:b w:val="0"/>
                <w:i w:val="0"/>
                <w:sz w:val="20"/>
              </w:rPr>
              <w:t>высокая</w:t>
            </w:r>
          </w:p>
        </w:tc>
      </w:tr>
      <w:tr>
        <w:tc>
          <w:tcPr>
            <w:tcW w:type="dxa" w:w="2493"/>
          </w:tcPr>
          <w:p>
            <w:pPr>
              <w:spacing w:after="0" w:line="240" w:lineRule="auto"/>
              <w:ind w:firstLine="0"/>
              <w:jc w:val="left"/>
            </w:pPr>
            <w:r>
              <w:rPr>
                <w:b w:val="0"/>
                <w:i w:val="0"/>
                <w:sz w:val="20"/>
              </w:rPr>
              <w:t>Специалисты по экстракции</w:t>
            </w:r>
          </w:p>
        </w:tc>
        <w:tc>
          <w:tcPr>
            <w:tcW w:type="dxa" w:w="2493"/>
          </w:tcPr>
          <w:p>
            <w:pPr>
              <w:spacing w:after="0" w:line="240" w:lineRule="auto"/>
              <w:ind w:firstLine="0"/>
              <w:jc w:val="center"/>
            </w:pPr>
            <w:r>
              <w:rPr>
                <w:b w:val="0"/>
                <w:i w:val="0"/>
                <w:sz w:val="20"/>
              </w:rPr>
              <w:t>350</w:t>
            </w:r>
          </w:p>
        </w:tc>
        <w:tc>
          <w:tcPr>
            <w:tcW w:type="dxa" w:w="2493"/>
          </w:tcPr>
          <w:p>
            <w:pPr>
              <w:spacing w:after="0" w:line="240" w:lineRule="auto"/>
              <w:ind w:firstLine="0"/>
              <w:jc w:val="center"/>
            </w:pPr>
            <w:r>
              <w:rPr>
                <w:b w:val="0"/>
                <w:i w:val="0"/>
                <w:sz w:val="20"/>
              </w:rPr>
              <w:t>20</w:t>
            </w:r>
          </w:p>
        </w:tc>
        <w:tc>
          <w:tcPr>
            <w:tcW w:type="dxa" w:w="2493"/>
          </w:tcPr>
          <w:p>
            <w:pPr>
              <w:spacing w:after="0" w:line="240" w:lineRule="auto"/>
              <w:ind w:firstLine="0"/>
              <w:jc w:val="center"/>
            </w:pPr>
            <w:r>
              <w:rPr>
                <w:b w:val="0"/>
                <w:i w:val="0"/>
                <w:sz w:val="20"/>
              </w:rPr>
              <w:t>критическая</w:t>
            </w:r>
          </w:p>
        </w:tc>
      </w:tr>
      <w:tr>
        <w:tc>
          <w:tcPr>
            <w:tcW w:type="dxa" w:w="2493"/>
          </w:tcPr>
          <w:p>
            <w:pPr>
              <w:spacing w:after="0" w:line="240" w:lineRule="auto"/>
              <w:ind w:firstLine="0"/>
              <w:jc w:val="left"/>
            </w:pPr>
            <w:r>
              <w:rPr>
                <w:b w:val="0"/>
                <w:i w:val="0"/>
                <w:sz w:val="20"/>
              </w:rPr>
              <w:t>Металлурги, материаловеды</w:t>
            </w:r>
          </w:p>
        </w:tc>
        <w:tc>
          <w:tcPr>
            <w:tcW w:type="dxa" w:w="2493"/>
          </w:tcPr>
          <w:p>
            <w:pPr>
              <w:spacing w:after="0" w:line="240" w:lineRule="auto"/>
              <w:ind w:firstLine="0"/>
              <w:jc w:val="center"/>
            </w:pPr>
            <w:r>
              <w:rPr>
                <w:b w:val="0"/>
                <w:i w:val="0"/>
                <w:sz w:val="20"/>
              </w:rPr>
              <w:t>500</w:t>
            </w:r>
          </w:p>
        </w:tc>
        <w:tc>
          <w:tcPr>
            <w:tcW w:type="dxa" w:w="2493"/>
          </w:tcPr>
          <w:p>
            <w:pPr>
              <w:spacing w:after="0" w:line="240" w:lineRule="auto"/>
              <w:ind w:firstLine="0"/>
              <w:jc w:val="center"/>
            </w:pPr>
            <w:r>
              <w:rPr>
                <w:b w:val="0"/>
                <w:i w:val="0"/>
                <w:sz w:val="20"/>
              </w:rPr>
              <w:t>35</w:t>
            </w:r>
          </w:p>
        </w:tc>
        <w:tc>
          <w:tcPr>
            <w:tcW w:type="dxa" w:w="2493"/>
          </w:tcPr>
          <w:p>
            <w:pPr>
              <w:spacing w:after="0" w:line="240" w:lineRule="auto"/>
              <w:ind w:firstLine="0"/>
              <w:jc w:val="center"/>
            </w:pPr>
            <w:r>
              <w:rPr>
                <w:b w:val="0"/>
                <w:i w:val="0"/>
                <w:sz w:val="20"/>
              </w:rPr>
              <w:t>высокая</w:t>
            </w:r>
          </w:p>
        </w:tc>
      </w:tr>
      <w:tr>
        <w:tc>
          <w:tcPr>
            <w:tcW w:type="dxa" w:w="2493"/>
          </w:tcPr>
          <w:p>
            <w:pPr>
              <w:spacing w:after="0" w:line="240" w:lineRule="auto"/>
              <w:ind w:firstLine="0"/>
              <w:jc w:val="left"/>
            </w:pPr>
            <w:r>
              <w:rPr>
                <w:b w:val="0"/>
                <w:i w:val="0"/>
                <w:sz w:val="20"/>
              </w:rPr>
              <w:t>Специалисты по магнитным материалам</w:t>
            </w:r>
          </w:p>
        </w:tc>
        <w:tc>
          <w:tcPr>
            <w:tcW w:type="dxa" w:w="2493"/>
          </w:tcPr>
          <w:p>
            <w:pPr>
              <w:spacing w:after="0" w:line="240" w:lineRule="auto"/>
              <w:ind w:firstLine="0"/>
              <w:jc w:val="center"/>
            </w:pPr>
            <w:r>
              <w:rPr>
                <w:b w:val="0"/>
                <w:i w:val="0"/>
                <w:sz w:val="20"/>
              </w:rPr>
              <w:t>250</w:t>
            </w:r>
          </w:p>
        </w:tc>
        <w:tc>
          <w:tcPr>
            <w:tcW w:type="dxa" w:w="2493"/>
          </w:tcPr>
          <w:p>
            <w:pPr>
              <w:spacing w:after="0" w:line="240" w:lineRule="auto"/>
              <w:ind w:firstLine="0"/>
              <w:jc w:val="center"/>
            </w:pPr>
            <w:r>
              <w:rPr>
                <w:b w:val="0"/>
                <w:i w:val="0"/>
                <w:sz w:val="20"/>
              </w:rPr>
              <w:t>12</w:t>
            </w:r>
          </w:p>
        </w:tc>
        <w:tc>
          <w:tcPr>
            <w:tcW w:type="dxa" w:w="2493"/>
          </w:tcPr>
          <w:p>
            <w:pPr>
              <w:spacing w:after="0" w:line="240" w:lineRule="auto"/>
              <w:ind w:firstLine="0"/>
              <w:jc w:val="center"/>
            </w:pPr>
            <w:r>
              <w:rPr>
                <w:b w:val="0"/>
                <w:i w:val="0"/>
                <w:sz w:val="20"/>
              </w:rPr>
              <w:t>критическая</w:t>
            </w:r>
          </w:p>
        </w:tc>
      </w:tr>
      <w:tr>
        <w:tc>
          <w:tcPr>
            <w:tcW w:type="dxa" w:w="2493"/>
          </w:tcPr>
          <w:p>
            <w:pPr>
              <w:spacing w:after="0" w:line="240" w:lineRule="auto"/>
              <w:ind w:firstLine="0"/>
              <w:jc w:val="left"/>
            </w:pPr>
            <w:r>
              <w:rPr>
                <w:b w:val="0"/>
                <w:i w:val="0"/>
                <w:sz w:val="20"/>
              </w:rPr>
              <w:t>Радиационная безопасность</w:t>
            </w:r>
          </w:p>
        </w:tc>
        <w:tc>
          <w:tcPr>
            <w:tcW w:type="dxa" w:w="2493"/>
          </w:tcPr>
          <w:p>
            <w:pPr>
              <w:spacing w:after="0" w:line="240" w:lineRule="auto"/>
              <w:ind w:firstLine="0"/>
              <w:jc w:val="center"/>
            </w:pPr>
            <w:r>
              <w:rPr>
                <w:b w:val="0"/>
                <w:i w:val="0"/>
                <w:sz w:val="20"/>
              </w:rPr>
              <w:t>160</w:t>
            </w:r>
          </w:p>
        </w:tc>
        <w:tc>
          <w:tcPr>
            <w:tcW w:type="dxa" w:w="2493"/>
          </w:tcPr>
          <w:p>
            <w:pPr>
              <w:spacing w:after="0" w:line="240" w:lineRule="auto"/>
              <w:ind w:firstLine="0"/>
              <w:jc w:val="center"/>
            </w:pPr>
            <w:r>
              <w:rPr>
                <w:b w:val="0"/>
                <w:i w:val="0"/>
                <w:sz w:val="20"/>
              </w:rPr>
              <w:t>60</w:t>
            </w:r>
          </w:p>
        </w:tc>
        <w:tc>
          <w:tcPr>
            <w:tcW w:type="dxa" w:w="2493"/>
          </w:tcPr>
          <w:p>
            <w:pPr>
              <w:spacing w:after="0" w:line="240" w:lineRule="auto"/>
              <w:ind w:firstLine="0"/>
              <w:jc w:val="center"/>
            </w:pPr>
            <w:r>
              <w:rPr>
                <w:b w:val="0"/>
                <w:i w:val="0"/>
                <w:sz w:val="20"/>
              </w:rPr>
              <w:t>средняя</w:t>
            </w:r>
          </w:p>
        </w:tc>
      </w:tr>
      <w:tr>
        <w:tc>
          <w:tcPr>
            <w:tcW w:type="dxa" w:w="2493"/>
          </w:tcPr>
          <w:p>
            <w:pPr>
              <w:spacing w:after="0" w:line="240" w:lineRule="auto"/>
              <w:ind w:firstLine="0"/>
              <w:jc w:val="left"/>
            </w:pPr>
            <w:r>
              <w:rPr>
                <w:b w:val="0"/>
                <w:i w:val="0"/>
                <w:sz w:val="20"/>
              </w:rPr>
              <w:t>Инженеры-механики, КИПиА</w:t>
            </w:r>
          </w:p>
        </w:tc>
        <w:tc>
          <w:tcPr>
            <w:tcW w:type="dxa" w:w="2493"/>
          </w:tcPr>
          <w:p>
            <w:pPr>
              <w:spacing w:after="0" w:line="240" w:lineRule="auto"/>
              <w:ind w:firstLine="0"/>
              <w:jc w:val="center"/>
            </w:pPr>
            <w:r>
              <w:rPr>
                <w:b w:val="0"/>
                <w:i w:val="0"/>
                <w:sz w:val="20"/>
              </w:rPr>
              <w:t>850</w:t>
            </w:r>
          </w:p>
        </w:tc>
        <w:tc>
          <w:tcPr>
            <w:tcW w:type="dxa" w:w="2493"/>
          </w:tcPr>
          <w:p>
            <w:pPr>
              <w:spacing w:after="0" w:line="240" w:lineRule="auto"/>
              <w:ind w:firstLine="0"/>
              <w:jc w:val="center"/>
            </w:pPr>
            <w:r>
              <w:rPr>
                <w:b w:val="0"/>
                <w:i w:val="0"/>
                <w:sz w:val="20"/>
              </w:rPr>
              <w:t>55</w:t>
            </w:r>
          </w:p>
        </w:tc>
        <w:tc>
          <w:tcPr>
            <w:tcW w:type="dxa" w:w="2493"/>
          </w:tcPr>
          <w:p>
            <w:pPr>
              <w:spacing w:after="0" w:line="240" w:lineRule="auto"/>
              <w:ind w:firstLine="0"/>
              <w:jc w:val="center"/>
            </w:pPr>
            <w:r>
              <w:rPr>
                <w:b w:val="0"/>
                <w:i w:val="0"/>
                <w:sz w:val="20"/>
              </w:rPr>
              <w:t>средняя</w:t>
            </w:r>
          </w:p>
        </w:tc>
      </w:tr>
      <w:tr>
        <w:tc>
          <w:tcPr>
            <w:tcW w:type="dxa" w:w="2493"/>
          </w:tcPr>
          <w:p>
            <w:pPr>
              <w:spacing w:after="0" w:line="240" w:lineRule="auto"/>
              <w:ind w:firstLine="0"/>
              <w:jc w:val="left"/>
            </w:pPr>
            <w:r>
              <w:rPr>
                <w:b w:val="0"/>
                <w:i w:val="0"/>
                <w:sz w:val="20"/>
              </w:rPr>
              <w:t>Рабочие квалифицированные</w:t>
            </w:r>
          </w:p>
        </w:tc>
        <w:tc>
          <w:tcPr>
            <w:tcW w:type="dxa" w:w="2493"/>
          </w:tcPr>
          <w:p>
            <w:pPr>
              <w:spacing w:after="0" w:line="240" w:lineRule="auto"/>
              <w:ind w:firstLine="0"/>
              <w:jc w:val="center"/>
            </w:pPr>
            <w:r>
              <w:rPr>
                <w:b w:val="0"/>
                <w:i w:val="0"/>
                <w:sz w:val="20"/>
              </w:rPr>
              <w:t>9 500</w:t>
            </w:r>
          </w:p>
        </w:tc>
        <w:tc>
          <w:tcPr>
            <w:tcW w:type="dxa" w:w="2493"/>
          </w:tcPr>
          <w:p>
            <w:pPr>
              <w:spacing w:after="0" w:line="240" w:lineRule="auto"/>
              <w:ind w:firstLine="0"/>
              <w:jc w:val="center"/>
            </w:pPr>
            <w:r>
              <w:rPr>
                <w:b w:val="0"/>
                <w:i w:val="0"/>
                <w:sz w:val="20"/>
              </w:rPr>
              <w:t>40</w:t>
            </w:r>
          </w:p>
        </w:tc>
        <w:tc>
          <w:tcPr>
            <w:tcW w:type="dxa" w:w="2493"/>
          </w:tcPr>
          <w:p>
            <w:pPr>
              <w:spacing w:after="0" w:line="240" w:lineRule="auto"/>
              <w:ind w:firstLine="0"/>
              <w:jc w:val="center"/>
            </w:pPr>
            <w:r>
              <w:rPr>
                <w:b w:val="0"/>
                <w:i w:val="0"/>
                <w:sz w:val="20"/>
              </w:rPr>
              <w:t>высокая</w:t>
            </w:r>
          </w:p>
        </w:tc>
      </w:tr>
    </w:tbl>
    <w:p>
      <w:pPr>
        <w:spacing w:after="180"/>
        <w:ind w:firstLine="0"/>
      </w:pPr>
      <w:r>
        <w:rPr>
          <w:i/>
          <w:sz w:val="20"/>
        </w:rPr>
        <w:t>Источник: расчёт аналитического центра</w:t>
      </w:r>
    </w:p>
    <w:p>
      <w:r>
        <w:br w:type="page"/>
      </w:r>
    </w:p>
    <w:p>
      <w:pPr>
        <w:pStyle w:val="Heading1"/>
      </w:pPr>
      <w:r>
        <w:rPr>
          <w:b w:val="0"/>
          <w:i w:val="0"/>
        </w:rPr>
        <w:t>13. Внешнеторговые операции Российской Федерации с редкоземельной продукцией</w:t>
      </w:r>
    </w:p>
    <w:p>
      <w:pPr>
        <w:pStyle w:val="Heading2"/>
      </w:pPr>
      <w:r>
        <w:rPr>
          <w:b w:val="0"/>
          <w:i w:val="0"/>
        </w:rPr>
        <w:t>13.1. Методологические замечания</w:t>
      </w:r>
    </w:p>
    <w:p>
      <w:r>
        <w:rPr>
          <w:b w:val="0"/>
          <w:i w:val="0"/>
        </w:rPr>
        <w:t>Анализ внешней торговли Российской Федерации редкоземельной продукцией в 2022–2025 гг. осложнён рядом обстоятельств, которые необходимо учитывать при интерпретации приведённых данных.</w:t>
      </w:r>
    </w:p>
    <w:p>
      <w:r>
        <w:rPr>
          <w:b/>
          <w:i w:val="0"/>
        </w:rPr>
        <w:t>Ограничение публикации таможенной статистики.</w:t>
      </w:r>
      <w:r>
        <w:rPr>
          <w:b w:val="0"/>
          <w:i w:val="0"/>
        </w:rPr>
        <w:t xml:space="preserve"> С апреля 2022 г. Федеральная таможенная служба приостановила публикацию детализированной статистики внешней торговли. Реконструкция показателей за 2022–2025 гг. выполнена методом «зеркальной» статистики — по данным стран-контрагентов (Главное таможенное управление КНР, Евростат, статистические службы Казахстана, Турции, Индии), а также по данным о железнодорожных перевозках и корпоративным раскрытиям.</w:t>
      </w:r>
    </w:p>
    <w:p>
      <w:r>
        <w:rPr>
          <w:b/>
          <w:i w:val="0"/>
        </w:rPr>
        <w:t>Проблема товарных кодов.</w:t>
      </w:r>
      <w:r>
        <w:rPr>
          <w:b w:val="0"/>
          <w:i w:val="0"/>
        </w:rPr>
        <w:t xml:space="preserve"> Как отмечено в разделе 1.4, значительная часть редкоземельной продукции проходит по агрегированным позициям (2846 90, 2805 30, 2530 90), объединяющим товары с ценами, различающимися в сотни раз. Декомпозиция выполнена расчётным путём на основе сопоставления заявленных весов и стоимостей с ценовыми котировками.</w:t>
      </w:r>
    </w:p>
    <w:p>
      <w:r>
        <w:rPr>
          <w:b/>
          <w:i w:val="0"/>
        </w:rPr>
        <w:t>Учёт магнитов.</w:t>
      </w:r>
      <w:r>
        <w:rPr>
          <w:b w:val="0"/>
          <w:i w:val="0"/>
        </w:rPr>
        <w:t xml:space="preserve"> Постоянные магниты классифицируются по позициям 8505 11 и 8505 19, не выделяющим редкоземельные магниты из общего массива (включающего ферритовые, алнико и прочие). Разделение выполнено на основе анализа удельных стоимостей: ферритовые магниты имеют цену 3–8 долл./кг, редкоземельные — 40–200 долл./кг.</w:t>
      </w:r>
    </w:p>
    <w:p>
      <w:pPr>
        <w:ind w:left="454" w:firstLine="0"/>
      </w:pPr>
      <w:r>
        <w:rPr>
          <w:i/>
        </w:rPr>
        <w:t>Приведённые в настоящей главе количественные ряды за 2022–2025 гг. следует рассматривать как расчётные оценки с точностью ±15–25%. Показатели за 2010–2021 гг. основаны на официальной статистике и обладают существенно более высокой достоверностью.</w:t>
      </w:r>
    </w:p>
    <w:p>
      <w:pPr>
        <w:pStyle w:val="Heading2"/>
      </w:pPr>
      <w:r>
        <w:rPr>
          <w:b w:val="0"/>
          <w:i w:val="0"/>
        </w:rPr>
        <w:t>13.2. Экспорт редкоземельной продукции</w:t>
      </w:r>
    </w:p>
    <w:p>
      <w:r>
        <w:rPr>
          <w:b w:val="0"/>
          <w:i w:val="0"/>
        </w:rPr>
        <w:t>Российский экспорт редкоземельной продукции на протяжении всего рассматриваемого периода представлял собой поставки одного вида товара — коллективного карбоната редкоземельных элементов производства АО «Соликамский магниевый завод» — преимущественно одному покупателю.</w:t>
      </w:r>
    </w:p>
    <w:p>
      <w:r>
        <w:rPr>
          <w:b/>
          <w:i w:val="0"/>
        </w:rPr>
        <w:t>Структура до 2022 г.</w:t>
      </w:r>
      <w:r>
        <w:rPr>
          <w:b w:val="0"/>
          <w:i w:val="0"/>
        </w:rPr>
        <w:t xml:space="preserve"> Основным направлением была Эстония: завод Silmet в Силламяэ (с 2011 г. — в составе Molycorp, с 2015 г. — Neo Performance Materials) перерабатывал российский карбонат, производя разделённую продукцию, которая затем реализовывалась на европейском и американском рынках. На это направление приходилось 75–90% российского экспорта. Вторым по значимости покупателем был Китай.</w:t>
      </w:r>
    </w:p>
    <w:p>
      <w:r>
        <w:rPr>
          <w:b/>
          <w:i w:val="0"/>
        </w:rPr>
        <w:t>Изменение после 2022 г.</w:t>
      </w:r>
      <w:r>
        <w:rPr>
          <w:b w:val="0"/>
          <w:i w:val="0"/>
        </w:rPr>
        <w:t xml:space="preserve"> Поставки в Эстонию прекращены вследствие санкционных ограничений и логистических затруднений. Основным направлением стал Китай; часть объёмов перенаправлена на внутренний рынок и в переработку на российских мощностях.</w:t>
      </w:r>
    </w:p>
    <w:p>
      <w:pPr>
        <w:keepNext/>
        <w:spacing w:before="160" w:after="60"/>
        <w:ind w:firstLine="0"/>
        <w:jc w:val="left"/>
      </w:pPr>
      <w:r>
        <w:rPr>
          <w:b/>
          <w:sz w:val="22"/>
        </w:rPr>
        <w:t>Таблица 89. Экспорт редкоземельной продукции из Российской Федерации, 2010–2025 гг.</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Год</w:t>
            </w:r>
          </w:p>
        </w:tc>
        <w:tc>
          <w:tcPr>
            <w:tcW w:type="dxa" w:w="1662"/>
            <w:shd w:val="clear" w:fill="DCE6F1"/>
          </w:tcPr>
          <w:p>
            <w:pPr>
              <w:spacing w:after="0" w:line="240" w:lineRule="auto"/>
              <w:ind w:firstLine="0"/>
              <w:jc w:val="center"/>
            </w:pPr>
            <w:r>
              <w:rPr>
                <w:b/>
                <w:i w:val="0"/>
                <w:sz w:val="20"/>
              </w:rPr>
              <w:t>Объём, т физ. веса</w:t>
            </w:r>
          </w:p>
        </w:tc>
        <w:tc>
          <w:tcPr>
            <w:tcW w:type="dxa" w:w="1662"/>
            <w:shd w:val="clear" w:fill="DCE6F1"/>
          </w:tcPr>
          <w:p>
            <w:pPr>
              <w:spacing w:after="0" w:line="240" w:lineRule="auto"/>
              <w:ind w:firstLine="0"/>
              <w:jc w:val="center"/>
            </w:pPr>
            <w:r>
              <w:rPr>
                <w:b/>
                <w:i w:val="0"/>
                <w:sz w:val="20"/>
              </w:rPr>
              <w:t>Объём, т TREO</w:t>
            </w:r>
          </w:p>
        </w:tc>
        <w:tc>
          <w:tcPr>
            <w:tcW w:type="dxa" w:w="1662"/>
            <w:shd w:val="clear" w:fill="DCE6F1"/>
          </w:tcPr>
          <w:p>
            <w:pPr>
              <w:spacing w:after="0" w:line="240" w:lineRule="auto"/>
              <w:ind w:firstLine="0"/>
              <w:jc w:val="center"/>
            </w:pPr>
            <w:r>
              <w:rPr>
                <w:b/>
                <w:i w:val="0"/>
                <w:sz w:val="20"/>
              </w:rPr>
              <w:t>Стоимость, млн $</w:t>
            </w:r>
          </w:p>
        </w:tc>
        <w:tc>
          <w:tcPr>
            <w:tcW w:type="dxa" w:w="1662"/>
            <w:shd w:val="clear" w:fill="DCE6F1"/>
          </w:tcPr>
          <w:p>
            <w:pPr>
              <w:spacing w:after="0" w:line="240" w:lineRule="auto"/>
              <w:ind w:firstLine="0"/>
              <w:jc w:val="center"/>
            </w:pPr>
            <w:r>
              <w:rPr>
                <w:b/>
                <w:i w:val="0"/>
                <w:sz w:val="20"/>
              </w:rPr>
              <w:t>Средняя цена, $/кг</w:t>
            </w:r>
          </w:p>
        </w:tc>
        <w:tc>
          <w:tcPr>
            <w:tcW w:type="dxa" w:w="1662"/>
            <w:shd w:val="clear" w:fill="DCE6F1"/>
          </w:tcPr>
          <w:p>
            <w:pPr>
              <w:spacing w:after="0" w:line="240" w:lineRule="auto"/>
              <w:ind w:firstLine="0"/>
              <w:jc w:val="center"/>
            </w:pPr>
            <w:r>
              <w:rPr>
                <w:b/>
                <w:i w:val="0"/>
                <w:sz w:val="20"/>
              </w:rPr>
              <w:t>Доля Эстонии, %</w:t>
            </w:r>
          </w:p>
        </w:tc>
      </w:tr>
      <w:tr>
        <w:tc>
          <w:tcPr>
            <w:tcW w:type="dxa" w:w="1662"/>
          </w:tcPr>
          <w:p>
            <w:pPr>
              <w:spacing w:after="0" w:line="240" w:lineRule="auto"/>
              <w:ind w:firstLine="0"/>
              <w:jc w:val="left"/>
            </w:pPr>
            <w:r>
              <w:rPr>
                <w:b w:val="0"/>
                <w:i w:val="0"/>
                <w:sz w:val="20"/>
              </w:rPr>
              <w:t>2010</w:t>
            </w:r>
          </w:p>
        </w:tc>
        <w:tc>
          <w:tcPr>
            <w:tcW w:type="dxa" w:w="1662"/>
          </w:tcPr>
          <w:p>
            <w:pPr>
              <w:spacing w:after="0" w:line="240" w:lineRule="auto"/>
              <w:ind w:firstLine="0"/>
              <w:jc w:val="center"/>
            </w:pPr>
            <w:r>
              <w:rPr>
                <w:b w:val="0"/>
                <w:i w:val="0"/>
                <w:sz w:val="20"/>
              </w:rPr>
              <w:t>3 850</w:t>
            </w:r>
          </w:p>
        </w:tc>
        <w:tc>
          <w:tcPr>
            <w:tcW w:type="dxa" w:w="1662"/>
          </w:tcPr>
          <w:p>
            <w:pPr>
              <w:spacing w:after="0" w:line="240" w:lineRule="auto"/>
              <w:ind w:firstLine="0"/>
              <w:jc w:val="center"/>
            </w:pPr>
            <w:r>
              <w:rPr>
                <w:b w:val="0"/>
                <w:i w:val="0"/>
                <w:sz w:val="20"/>
              </w:rPr>
              <w:t>1 950</w:t>
            </w:r>
          </w:p>
        </w:tc>
        <w:tc>
          <w:tcPr>
            <w:tcW w:type="dxa" w:w="1662"/>
          </w:tcPr>
          <w:p>
            <w:pPr>
              <w:spacing w:after="0" w:line="240" w:lineRule="auto"/>
              <w:ind w:firstLine="0"/>
              <w:jc w:val="center"/>
            </w:pPr>
            <w:r>
              <w:rPr>
                <w:b w:val="0"/>
                <w:i w:val="0"/>
                <w:sz w:val="20"/>
              </w:rPr>
              <w:t>24,8</w:t>
            </w:r>
          </w:p>
        </w:tc>
        <w:tc>
          <w:tcPr>
            <w:tcW w:type="dxa" w:w="1662"/>
          </w:tcPr>
          <w:p>
            <w:pPr>
              <w:spacing w:after="0" w:line="240" w:lineRule="auto"/>
              <w:ind w:firstLine="0"/>
              <w:jc w:val="center"/>
            </w:pPr>
            <w:r>
              <w:rPr>
                <w:b w:val="0"/>
                <w:i w:val="0"/>
                <w:sz w:val="20"/>
              </w:rPr>
              <w:t>6,4</w:t>
            </w:r>
          </w:p>
        </w:tc>
        <w:tc>
          <w:tcPr>
            <w:tcW w:type="dxa" w:w="1662"/>
          </w:tcPr>
          <w:p>
            <w:pPr>
              <w:spacing w:after="0" w:line="240" w:lineRule="auto"/>
              <w:ind w:firstLine="0"/>
              <w:jc w:val="center"/>
            </w:pPr>
            <w:r>
              <w:rPr>
                <w:b w:val="0"/>
                <w:i w:val="0"/>
                <w:sz w:val="20"/>
              </w:rPr>
              <w:t>88</w:t>
            </w:r>
          </w:p>
        </w:tc>
      </w:tr>
      <w:tr>
        <w:tc>
          <w:tcPr>
            <w:tcW w:type="dxa" w:w="1662"/>
          </w:tcPr>
          <w:p>
            <w:pPr>
              <w:spacing w:after="0" w:line="240" w:lineRule="auto"/>
              <w:ind w:firstLine="0"/>
              <w:jc w:val="left"/>
            </w:pPr>
            <w:r>
              <w:rPr>
                <w:b w:val="0"/>
                <w:i w:val="0"/>
                <w:sz w:val="20"/>
              </w:rPr>
              <w:t>2012</w:t>
            </w:r>
          </w:p>
        </w:tc>
        <w:tc>
          <w:tcPr>
            <w:tcW w:type="dxa" w:w="1662"/>
          </w:tcPr>
          <w:p>
            <w:pPr>
              <w:spacing w:after="0" w:line="240" w:lineRule="auto"/>
              <w:ind w:firstLine="0"/>
              <w:jc w:val="center"/>
            </w:pPr>
            <w:r>
              <w:rPr>
                <w:b w:val="0"/>
                <w:i w:val="0"/>
                <w:sz w:val="20"/>
              </w:rPr>
              <w:t>4 100</w:t>
            </w:r>
          </w:p>
        </w:tc>
        <w:tc>
          <w:tcPr>
            <w:tcW w:type="dxa" w:w="1662"/>
          </w:tcPr>
          <w:p>
            <w:pPr>
              <w:spacing w:after="0" w:line="240" w:lineRule="auto"/>
              <w:ind w:firstLine="0"/>
              <w:jc w:val="center"/>
            </w:pPr>
            <w:r>
              <w:rPr>
                <w:b w:val="0"/>
                <w:i w:val="0"/>
                <w:sz w:val="20"/>
              </w:rPr>
              <w:t>2 080</w:t>
            </w:r>
          </w:p>
        </w:tc>
        <w:tc>
          <w:tcPr>
            <w:tcW w:type="dxa" w:w="1662"/>
          </w:tcPr>
          <w:p>
            <w:pPr>
              <w:spacing w:after="0" w:line="240" w:lineRule="auto"/>
              <w:ind w:firstLine="0"/>
              <w:jc w:val="center"/>
            </w:pPr>
            <w:r>
              <w:rPr>
                <w:b w:val="0"/>
                <w:i w:val="0"/>
                <w:sz w:val="20"/>
              </w:rPr>
              <w:t>31,2</w:t>
            </w:r>
          </w:p>
        </w:tc>
        <w:tc>
          <w:tcPr>
            <w:tcW w:type="dxa" w:w="1662"/>
          </w:tcPr>
          <w:p>
            <w:pPr>
              <w:spacing w:after="0" w:line="240" w:lineRule="auto"/>
              <w:ind w:firstLine="0"/>
              <w:jc w:val="center"/>
            </w:pPr>
            <w:r>
              <w:rPr>
                <w:b w:val="0"/>
                <w:i w:val="0"/>
                <w:sz w:val="20"/>
              </w:rPr>
              <w:t>7,6</w:t>
            </w:r>
          </w:p>
        </w:tc>
        <w:tc>
          <w:tcPr>
            <w:tcW w:type="dxa" w:w="1662"/>
          </w:tcPr>
          <w:p>
            <w:pPr>
              <w:spacing w:after="0" w:line="240" w:lineRule="auto"/>
              <w:ind w:firstLine="0"/>
              <w:jc w:val="center"/>
            </w:pPr>
            <w:r>
              <w:rPr>
                <w:b w:val="0"/>
                <w:i w:val="0"/>
                <w:sz w:val="20"/>
              </w:rPr>
              <w:t>85</w:t>
            </w:r>
          </w:p>
        </w:tc>
      </w:tr>
      <w:tr>
        <w:tc>
          <w:tcPr>
            <w:tcW w:type="dxa" w:w="1662"/>
          </w:tcPr>
          <w:p>
            <w:pPr>
              <w:spacing w:after="0" w:line="240" w:lineRule="auto"/>
              <w:ind w:firstLine="0"/>
              <w:jc w:val="left"/>
            </w:pPr>
            <w:r>
              <w:rPr>
                <w:b w:val="0"/>
                <w:i w:val="0"/>
                <w:sz w:val="20"/>
              </w:rPr>
              <w:t>2014</w:t>
            </w:r>
          </w:p>
        </w:tc>
        <w:tc>
          <w:tcPr>
            <w:tcW w:type="dxa" w:w="1662"/>
          </w:tcPr>
          <w:p>
            <w:pPr>
              <w:spacing w:after="0" w:line="240" w:lineRule="auto"/>
              <w:ind w:firstLine="0"/>
              <w:jc w:val="center"/>
            </w:pPr>
            <w:r>
              <w:rPr>
                <w:b w:val="0"/>
                <w:i w:val="0"/>
                <w:sz w:val="20"/>
              </w:rPr>
              <w:t>4 250</w:t>
            </w:r>
          </w:p>
        </w:tc>
        <w:tc>
          <w:tcPr>
            <w:tcW w:type="dxa" w:w="1662"/>
          </w:tcPr>
          <w:p>
            <w:pPr>
              <w:spacing w:after="0" w:line="240" w:lineRule="auto"/>
              <w:ind w:firstLine="0"/>
              <w:jc w:val="center"/>
            </w:pPr>
            <w:r>
              <w:rPr>
                <w:b w:val="0"/>
                <w:i w:val="0"/>
                <w:sz w:val="20"/>
              </w:rPr>
              <w:t>2 150</w:t>
            </w:r>
          </w:p>
        </w:tc>
        <w:tc>
          <w:tcPr>
            <w:tcW w:type="dxa" w:w="1662"/>
          </w:tcPr>
          <w:p>
            <w:pPr>
              <w:spacing w:after="0" w:line="240" w:lineRule="auto"/>
              <w:ind w:firstLine="0"/>
              <w:jc w:val="center"/>
            </w:pPr>
            <w:r>
              <w:rPr>
                <w:b w:val="0"/>
                <w:i w:val="0"/>
                <w:sz w:val="20"/>
              </w:rPr>
              <w:t>26,4</w:t>
            </w:r>
          </w:p>
        </w:tc>
        <w:tc>
          <w:tcPr>
            <w:tcW w:type="dxa" w:w="1662"/>
          </w:tcPr>
          <w:p>
            <w:pPr>
              <w:spacing w:after="0" w:line="240" w:lineRule="auto"/>
              <w:ind w:firstLine="0"/>
              <w:jc w:val="center"/>
            </w:pPr>
            <w:r>
              <w:rPr>
                <w:b w:val="0"/>
                <w:i w:val="0"/>
                <w:sz w:val="20"/>
              </w:rPr>
              <w:t>6,2</w:t>
            </w:r>
          </w:p>
        </w:tc>
        <w:tc>
          <w:tcPr>
            <w:tcW w:type="dxa" w:w="1662"/>
          </w:tcPr>
          <w:p>
            <w:pPr>
              <w:spacing w:after="0" w:line="240" w:lineRule="auto"/>
              <w:ind w:firstLine="0"/>
              <w:jc w:val="center"/>
            </w:pPr>
            <w:r>
              <w:rPr>
                <w:b w:val="0"/>
                <w:i w:val="0"/>
                <w:sz w:val="20"/>
              </w:rPr>
              <w:t>87</w:t>
            </w:r>
          </w:p>
        </w:tc>
      </w:tr>
      <w:tr>
        <w:tc>
          <w:tcPr>
            <w:tcW w:type="dxa" w:w="1662"/>
          </w:tcPr>
          <w:p>
            <w:pPr>
              <w:spacing w:after="0" w:line="240" w:lineRule="auto"/>
              <w:ind w:firstLine="0"/>
              <w:jc w:val="left"/>
            </w:pPr>
            <w:r>
              <w:rPr>
                <w:b w:val="0"/>
                <w:i w:val="0"/>
                <w:sz w:val="20"/>
              </w:rPr>
              <w:t>2016</w:t>
            </w:r>
          </w:p>
        </w:tc>
        <w:tc>
          <w:tcPr>
            <w:tcW w:type="dxa" w:w="1662"/>
          </w:tcPr>
          <w:p>
            <w:pPr>
              <w:spacing w:after="0" w:line="240" w:lineRule="auto"/>
              <w:ind w:firstLine="0"/>
              <w:jc w:val="center"/>
            </w:pPr>
            <w:r>
              <w:rPr>
                <w:b w:val="0"/>
                <w:i w:val="0"/>
                <w:sz w:val="20"/>
              </w:rPr>
              <w:t>4 180</w:t>
            </w:r>
          </w:p>
        </w:tc>
        <w:tc>
          <w:tcPr>
            <w:tcW w:type="dxa" w:w="1662"/>
          </w:tcPr>
          <w:p>
            <w:pPr>
              <w:spacing w:after="0" w:line="240" w:lineRule="auto"/>
              <w:ind w:firstLine="0"/>
              <w:jc w:val="center"/>
            </w:pPr>
            <w:r>
              <w:rPr>
                <w:b w:val="0"/>
                <w:i w:val="0"/>
                <w:sz w:val="20"/>
              </w:rPr>
              <w:t>2 120</w:t>
            </w:r>
          </w:p>
        </w:tc>
        <w:tc>
          <w:tcPr>
            <w:tcW w:type="dxa" w:w="1662"/>
          </w:tcPr>
          <w:p>
            <w:pPr>
              <w:spacing w:after="0" w:line="240" w:lineRule="auto"/>
              <w:ind w:firstLine="0"/>
              <w:jc w:val="center"/>
            </w:pPr>
            <w:r>
              <w:rPr>
                <w:b w:val="0"/>
                <w:i w:val="0"/>
                <w:sz w:val="20"/>
              </w:rPr>
              <w:t>21,3</w:t>
            </w:r>
          </w:p>
        </w:tc>
        <w:tc>
          <w:tcPr>
            <w:tcW w:type="dxa" w:w="1662"/>
          </w:tcPr>
          <w:p>
            <w:pPr>
              <w:spacing w:after="0" w:line="240" w:lineRule="auto"/>
              <w:ind w:firstLine="0"/>
              <w:jc w:val="center"/>
            </w:pPr>
            <w:r>
              <w:rPr>
                <w:b w:val="0"/>
                <w:i w:val="0"/>
                <w:sz w:val="20"/>
              </w:rPr>
              <w:t>5,1</w:t>
            </w:r>
          </w:p>
        </w:tc>
        <w:tc>
          <w:tcPr>
            <w:tcW w:type="dxa" w:w="1662"/>
          </w:tcPr>
          <w:p>
            <w:pPr>
              <w:spacing w:after="0" w:line="240" w:lineRule="auto"/>
              <w:ind w:firstLine="0"/>
              <w:jc w:val="center"/>
            </w:pPr>
            <w:r>
              <w:rPr>
                <w:b w:val="0"/>
                <w:i w:val="0"/>
                <w:sz w:val="20"/>
              </w:rPr>
              <w:t>84</w:t>
            </w:r>
          </w:p>
        </w:tc>
      </w:tr>
      <w:tr>
        <w:tc>
          <w:tcPr>
            <w:tcW w:type="dxa" w:w="1662"/>
          </w:tcPr>
          <w:p>
            <w:pPr>
              <w:spacing w:after="0" w:line="240" w:lineRule="auto"/>
              <w:ind w:firstLine="0"/>
              <w:jc w:val="left"/>
            </w:pPr>
            <w:r>
              <w:rPr>
                <w:b w:val="0"/>
                <w:i w:val="0"/>
                <w:sz w:val="20"/>
              </w:rPr>
              <w:t>2018</w:t>
            </w:r>
          </w:p>
        </w:tc>
        <w:tc>
          <w:tcPr>
            <w:tcW w:type="dxa" w:w="1662"/>
          </w:tcPr>
          <w:p>
            <w:pPr>
              <w:spacing w:after="0" w:line="240" w:lineRule="auto"/>
              <w:ind w:firstLine="0"/>
              <w:jc w:val="center"/>
            </w:pPr>
            <w:r>
              <w:rPr>
                <w:b w:val="0"/>
                <w:i w:val="0"/>
                <w:sz w:val="20"/>
              </w:rPr>
              <w:t>4 050</w:t>
            </w:r>
          </w:p>
        </w:tc>
        <w:tc>
          <w:tcPr>
            <w:tcW w:type="dxa" w:w="1662"/>
          </w:tcPr>
          <w:p>
            <w:pPr>
              <w:spacing w:after="0" w:line="240" w:lineRule="auto"/>
              <w:ind w:firstLine="0"/>
              <w:jc w:val="center"/>
            </w:pPr>
            <w:r>
              <w:rPr>
                <w:b w:val="0"/>
                <w:i w:val="0"/>
                <w:sz w:val="20"/>
              </w:rPr>
              <w:t>2 060</w:t>
            </w:r>
          </w:p>
        </w:tc>
        <w:tc>
          <w:tcPr>
            <w:tcW w:type="dxa" w:w="1662"/>
          </w:tcPr>
          <w:p>
            <w:pPr>
              <w:spacing w:after="0" w:line="240" w:lineRule="auto"/>
              <w:ind w:firstLine="0"/>
              <w:jc w:val="center"/>
            </w:pPr>
            <w:r>
              <w:rPr>
                <w:b w:val="0"/>
                <w:i w:val="0"/>
                <w:sz w:val="20"/>
              </w:rPr>
              <w:t>24,7</w:t>
            </w:r>
          </w:p>
        </w:tc>
        <w:tc>
          <w:tcPr>
            <w:tcW w:type="dxa" w:w="1662"/>
          </w:tcPr>
          <w:p>
            <w:pPr>
              <w:spacing w:after="0" w:line="240" w:lineRule="auto"/>
              <w:ind w:firstLine="0"/>
              <w:jc w:val="center"/>
            </w:pPr>
            <w:r>
              <w:rPr>
                <w:b w:val="0"/>
                <w:i w:val="0"/>
                <w:sz w:val="20"/>
              </w:rPr>
              <w:t>6,1</w:t>
            </w:r>
          </w:p>
        </w:tc>
        <w:tc>
          <w:tcPr>
            <w:tcW w:type="dxa" w:w="1662"/>
          </w:tcPr>
          <w:p>
            <w:pPr>
              <w:spacing w:after="0" w:line="240" w:lineRule="auto"/>
              <w:ind w:firstLine="0"/>
              <w:jc w:val="center"/>
            </w:pPr>
            <w:r>
              <w:rPr>
                <w:b w:val="0"/>
                <w:i w:val="0"/>
                <w:sz w:val="20"/>
              </w:rPr>
              <w:t>82</w:t>
            </w:r>
          </w:p>
        </w:tc>
      </w:tr>
      <w:tr>
        <w:tc>
          <w:tcPr>
            <w:tcW w:type="dxa" w:w="1662"/>
          </w:tcPr>
          <w:p>
            <w:pPr>
              <w:spacing w:after="0" w:line="240" w:lineRule="auto"/>
              <w:ind w:firstLine="0"/>
              <w:jc w:val="left"/>
            </w:pPr>
            <w:r>
              <w:rPr>
                <w:b w:val="0"/>
                <w:i w:val="0"/>
                <w:sz w:val="20"/>
              </w:rPr>
              <w:t>2019</w:t>
            </w:r>
          </w:p>
        </w:tc>
        <w:tc>
          <w:tcPr>
            <w:tcW w:type="dxa" w:w="1662"/>
          </w:tcPr>
          <w:p>
            <w:pPr>
              <w:spacing w:after="0" w:line="240" w:lineRule="auto"/>
              <w:ind w:firstLine="0"/>
              <w:jc w:val="center"/>
            </w:pPr>
            <w:r>
              <w:rPr>
                <w:b w:val="0"/>
                <w:i w:val="0"/>
                <w:sz w:val="20"/>
              </w:rPr>
              <w:t>3 920</w:t>
            </w:r>
          </w:p>
        </w:tc>
        <w:tc>
          <w:tcPr>
            <w:tcW w:type="dxa" w:w="1662"/>
          </w:tcPr>
          <w:p>
            <w:pPr>
              <w:spacing w:after="0" w:line="240" w:lineRule="auto"/>
              <w:ind w:firstLine="0"/>
              <w:jc w:val="center"/>
            </w:pPr>
            <w:r>
              <w:rPr>
                <w:b w:val="0"/>
                <w:i w:val="0"/>
                <w:sz w:val="20"/>
              </w:rPr>
              <w:t>1 990</w:t>
            </w:r>
          </w:p>
        </w:tc>
        <w:tc>
          <w:tcPr>
            <w:tcW w:type="dxa" w:w="1662"/>
          </w:tcPr>
          <w:p>
            <w:pPr>
              <w:spacing w:after="0" w:line="240" w:lineRule="auto"/>
              <w:ind w:firstLine="0"/>
              <w:jc w:val="center"/>
            </w:pPr>
            <w:r>
              <w:rPr>
                <w:b w:val="0"/>
                <w:i w:val="0"/>
                <w:sz w:val="20"/>
              </w:rPr>
              <w:t>22,4</w:t>
            </w:r>
          </w:p>
        </w:tc>
        <w:tc>
          <w:tcPr>
            <w:tcW w:type="dxa" w:w="1662"/>
          </w:tcPr>
          <w:p>
            <w:pPr>
              <w:spacing w:after="0" w:line="240" w:lineRule="auto"/>
              <w:ind w:firstLine="0"/>
              <w:jc w:val="center"/>
            </w:pPr>
            <w:r>
              <w:rPr>
                <w:b w:val="0"/>
                <w:i w:val="0"/>
                <w:sz w:val="20"/>
              </w:rPr>
              <w:t>5,7</w:t>
            </w:r>
          </w:p>
        </w:tc>
        <w:tc>
          <w:tcPr>
            <w:tcW w:type="dxa" w:w="1662"/>
          </w:tcPr>
          <w:p>
            <w:pPr>
              <w:spacing w:after="0" w:line="240" w:lineRule="auto"/>
              <w:ind w:firstLine="0"/>
              <w:jc w:val="center"/>
            </w:pPr>
            <w:r>
              <w:rPr>
                <w:b w:val="0"/>
                <w:i w:val="0"/>
                <w:sz w:val="20"/>
              </w:rPr>
              <w:t>79</w:t>
            </w:r>
          </w:p>
        </w:tc>
      </w:tr>
      <w:tr>
        <w:tc>
          <w:tcPr>
            <w:tcW w:type="dxa" w:w="1662"/>
          </w:tcPr>
          <w:p>
            <w:pPr>
              <w:spacing w:after="0" w:line="240" w:lineRule="auto"/>
              <w:ind w:firstLine="0"/>
              <w:jc w:val="left"/>
            </w:pPr>
            <w:r>
              <w:rPr>
                <w:b w:val="0"/>
                <w:i w:val="0"/>
                <w:sz w:val="20"/>
              </w:rPr>
              <w:t>2020</w:t>
            </w:r>
          </w:p>
        </w:tc>
        <w:tc>
          <w:tcPr>
            <w:tcW w:type="dxa" w:w="1662"/>
          </w:tcPr>
          <w:p>
            <w:pPr>
              <w:spacing w:after="0" w:line="240" w:lineRule="auto"/>
              <w:ind w:firstLine="0"/>
              <w:jc w:val="center"/>
            </w:pPr>
            <w:r>
              <w:rPr>
                <w:b w:val="0"/>
                <w:i w:val="0"/>
                <w:sz w:val="20"/>
              </w:rPr>
              <w:t>3 780</w:t>
            </w:r>
          </w:p>
        </w:tc>
        <w:tc>
          <w:tcPr>
            <w:tcW w:type="dxa" w:w="1662"/>
          </w:tcPr>
          <w:p>
            <w:pPr>
              <w:spacing w:after="0" w:line="240" w:lineRule="auto"/>
              <w:ind w:firstLine="0"/>
              <w:jc w:val="center"/>
            </w:pPr>
            <w:r>
              <w:rPr>
                <w:b w:val="0"/>
                <w:i w:val="0"/>
                <w:sz w:val="20"/>
              </w:rPr>
              <w:t>1 920</w:t>
            </w:r>
          </w:p>
        </w:tc>
        <w:tc>
          <w:tcPr>
            <w:tcW w:type="dxa" w:w="1662"/>
          </w:tcPr>
          <w:p>
            <w:pPr>
              <w:spacing w:after="0" w:line="240" w:lineRule="auto"/>
              <w:ind w:firstLine="0"/>
              <w:jc w:val="center"/>
            </w:pPr>
            <w:r>
              <w:rPr>
                <w:b w:val="0"/>
                <w:i w:val="0"/>
                <w:sz w:val="20"/>
              </w:rPr>
              <w:t>20,8</w:t>
            </w:r>
          </w:p>
        </w:tc>
        <w:tc>
          <w:tcPr>
            <w:tcW w:type="dxa" w:w="1662"/>
          </w:tcPr>
          <w:p>
            <w:pPr>
              <w:spacing w:after="0" w:line="240" w:lineRule="auto"/>
              <w:ind w:firstLine="0"/>
              <w:jc w:val="center"/>
            </w:pPr>
            <w:r>
              <w:rPr>
                <w:b w:val="0"/>
                <w:i w:val="0"/>
                <w:sz w:val="20"/>
              </w:rPr>
              <w:t>5,5</w:t>
            </w:r>
          </w:p>
        </w:tc>
        <w:tc>
          <w:tcPr>
            <w:tcW w:type="dxa" w:w="1662"/>
          </w:tcPr>
          <w:p>
            <w:pPr>
              <w:spacing w:after="0" w:line="240" w:lineRule="auto"/>
              <w:ind w:firstLine="0"/>
              <w:jc w:val="center"/>
            </w:pPr>
            <w:r>
              <w:rPr>
                <w:b w:val="0"/>
                <w:i w:val="0"/>
                <w:sz w:val="20"/>
              </w:rPr>
              <w:t>76</w:t>
            </w:r>
          </w:p>
        </w:tc>
      </w:tr>
      <w:tr>
        <w:tc>
          <w:tcPr>
            <w:tcW w:type="dxa" w:w="1662"/>
          </w:tcPr>
          <w:p>
            <w:pPr>
              <w:spacing w:after="0" w:line="240" w:lineRule="auto"/>
              <w:ind w:firstLine="0"/>
              <w:jc w:val="left"/>
            </w:pPr>
            <w:r>
              <w:rPr>
                <w:b w:val="0"/>
                <w:i w:val="0"/>
                <w:sz w:val="20"/>
              </w:rPr>
              <w:t>2021</w:t>
            </w:r>
          </w:p>
        </w:tc>
        <w:tc>
          <w:tcPr>
            <w:tcW w:type="dxa" w:w="1662"/>
          </w:tcPr>
          <w:p>
            <w:pPr>
              <w:spacing w:after="0" w:line="240" w:lineRule="auto"/>
              <w:ind w:firstLine="0"/>
              <w:jc w:val="center"/>
            </w:pPr>
            <w:r>
              <w:rPr>
                <w:b w:val="0"/>
                <w:i w:val="0"/>
                <w:sz w:val="20"/>
              </w:rPr>
              <w:t>3 650</w:t>
            </w:r>
          </w:p>
        </w:tc>
        <w:tc>
          <w:tcPr>
            <w:tcW w:type="dxa" w:w="1662"/>
          </w:tcPr>
          <w:p>
            <w:pPr>
              <w:spacing w:after="0" w:line="240" w:lineRule="auto"/>
              <w:ind w:firstLine="0"/>
              <w:jc w:val="center"/>
            </w:pPr>
            <w:r>
              <w:rPr>
                <w:b w:val="0"/>
                <w:i w:val="0"/>
                <w:sz w:val="20"/>
              </w:rPr>
              <w:t>1 850</w:t>
            </w:r>
          </w:p>
        </w:tc>
        <w:tc>
          <w:tcPr>
            <w:tcW w:type="dxa" w:w="1662"/>
          </w:tcPr>
          <w:p>
            <w:pPr>
              <w:spacing w:after="0" w:line="240" w:lineRule="auto"/>
              <w:ind w:firstLine="0"/>
              <w:jc w:val="center"/>
            </w:pPr>
            <w:r>
              <w:rPr>
                <w:b w:val="0"/>
                <w:i w:val="0"/>
                <w:sz w:val="20"/>
              </w:rPr>
              <w:t>28,1</w:t>
            </w:r>
          </w:p>
        </w:tc>
        <w:tc>
          <w:tcPr>
            <w:tcW w:type="dxa" w:w="1662"/>
          </w:tcPr>
          <w:p>
            <w:pPr>
              <w:spacing w:after="0" w:line="240" w:lineRule="auto"/>
              <w:ind w:firstLine="0"/>
              <w:jc w:val="center"/>
            </w:pPr>
            <w:r>
              <w:rPr>
                <w:b w:val="0"/>
                <w:i w:val="0"/>
                <w:sz w:val="20"/>
              </w:rPr>
              <w:t>7,7</w:t>
            </w:r>
          </w:p>
        </w:tc>
        <w:tc>
          <w:tcPr>
            <w:tcW w:type="dxa" w:w="1662"/>
          </w:tcPr>
          <w:p>
            <w:pPr>
              <w:spacing w:after="0" w:line="240" w:lineRule="auto"/>
              <w:ind w:firstLine="0"/>
              <w:jc w:val="center"/>
            </w:pPr>
            <w:r>
              <w:rPr>
                <w:b w:val="0"/>
                <w:i w:val="0"/>
                <w:sz w:val="20"/>
              </w:rPr>
              <w:t>71</w:t>
            </w:r>
          </w:p>
        </w:tc>
      </w:tr>
      <w:tr>
        <w:tc>
          <w:tcPr>
            <w:tcW w:type="dxa" w:w="1662"/>
          </w:tcPr>
          <w:p>
            <w:pPr>
              <w:spacing w:after="0" w:line="240" w:lineRule="auto"/>
              <w:ind w:firstLine="0"/>
              <w:jc w:val="left"/>
            </w:pPr>
            <w:r>
              <w:rPr>
                <w:b w:val="0"/>
                <w:i w:val="0"/>
                <w:sz w:val="20"/>
              </w:rPr>
              <w:t>2022</w:t>
            </w:r>
          </w:p>
        </w:tc>
        <w:tc>
          <w:tcPr>
            <w:tcW w:type="dxa" w:w="1662"/>
          </w:tcPr>
          <w:p>
            <w:pPr>
              <w:spacing w:after="0" w:line="240" w:lineRule="auto"/>
              <w:ind w:firstLine="0"/>
              <w:jc w:val="center"/>
            </w:pPr>
            <w:r>
              <w:rPr>
                <w:b w:val="0"/>
                <w:i w:val="0"/>
                <w:sz w:val="20"/>
              </w:rPr>
              <w:t>3 100</w:t>
            </w:r>
          </w:p>
        </w:tc>
        <w:tc>
          <w:tcPr>
            <w:tcW w:type="dxa" w:w="1662"/>
          </w:tcPr>
          <w:p>
            <w:pPr>
              <w:spacing w:after="0" w:line="240" w:lineRule="auto"/>
              <w:ind w:firstLine="0"/>
              <w:jc w:val="center"/>
            </w:pPr>
            <w:r>
              <w:rPr>
                <w:b w:val="0"/>
                <w:i w:val="0"/>
                <w:sz w:val="20"/>
              </w:rPr>
              <w:t>1 570</w:t>
            </w:r>
          </w:p>
        </w:tc>
        <w:tc>
          <w:tcPr>
            <w:tcW w:type="dxa" w:w="1662"/>
          </w:tcPr>
          <w:p>
            <w:pPr>
              <w:spacing w:after="0" w:line="240" w:lineRule="auto"/>
              <w:ind w:firstLine="0"/>
              <w:jc w:val="center"/>
            </w:pPr>
            <w:r>
              <w:rPr>
                <w:b w:val="0"/>
                <w:i w:val="0"/>
                <w:sz w:val="20"/>
              </w:rPr>
              <w:t>27,9</w:t>
            </w:r>
          </w:p>
        </w:tc>
        <w:tc>
          <w:tcPr>
            <w:tcW w:type="dxa" w:w="1662"/>
          </w:tcPr>
          <w:p>
            <w:pPr>
              <w:spacing w:after="0" w:line="240" w:lineRule="auto"/>
              <w:ind w:firstLine="0"/>
              <w:jc w:val="center"/>
            </w:pPr>
            <w:r>
              <w:rPr>
                <w:b w:val="0"/>
                <w:i w:val="0"/>
                <w:sz w:val="20"/>
              </w:rPr>
              <w:t>9,0</w:t>
            </w:r>
          </w:p>
        </w:tc>
        <w:tc>
          <w:tcPr>
            <w:tcW w:type="dxa" w:w="1662"/>
          </w:tcPr>
          <w:p>
            <w:pPr>
              <w:spacing w:after="0" w:line="240" w:lineRule="auto"/>
              <w:ind w:firstLine="0"/>
              <w:jc w:val="center"/>
            </w:pPr>
            <w:r>
              <w:rPr>
                <w:b w:val="0"/>
                <w:i w:val="0"/>
                <w:sz w:val="20"/>
              </w:rPr>
              <w:t>34</w:t>
            </w:r>
          </w:p>
        </w:tc>
      </w:tr>
      <w:tr>
        <w:tc>
          <w:tcPr>
            <w:tcW w:type="dxa" w:w="1662"/>
          </w:tcPr>
          <w:p>
            <w:pPr>
              <w:spacing w:after="0" w:line="240" w:lineRule="auto"/>
              <w:ind w:firstLine="0"/>
              <w:jc w:val="left"/>
            </w:pPr>
            <w:r>
              <w:rPr>
                <w:b w:val="0"/>
                <w:i w:val="0"/>
                <w:sz w:val="20"/>
              </w:rPr>
              <w:t>2023</w:t>
            </w:r>
          </w:p>
        </w:tc>
        <w:tc>
          <w:tcPr>
            <w:tcW w:type="dxa" w:w="1662"/>
          </w:tcPr>
          <w:p>
            <w:pPr>
              <w:spacing w:after="0" w:line="240" w:lineRule="auto"/>
              <w:ind w:firstLine="0"/>
              <w:jc w:val="center"/>
            </w:pPr>
            <w:r>
              <w:rPr>
                <w:b w:val="0"/>
                <w:i w:val="0"/>
                <w:sz w:val="20"/>
              </w:rPr>
              <w:t>2 850</w:t>
            </w:r>
          </w:p>
        </w:tc>
        <w:tc>
          <w:tcPr>
            <w:tcW w:type="dxa" w:w="1662"/>
          </w:tcPr>
          <w:p>
            <w:pPr>
              <w:spacing w:after="0" w:line="240" w:lineRule="auto"/>
              <w:ind w:firstLine="0"/>
              <w:jc w:val="center"/>
            </w:pPr>
            <w:r>
              <w:rPr>
                <w:b w:val="0"/>
                <w:i w:val="0"/>
                <w:sz w:val="20"/>
              </w:rPr>
              <w:t>1 450</w:t>
            </w:r>
          </w:p>
        </w:tc>
        <w:tc>
          <w:tcPr>
            <w:tcW w:type="dxa" w:w="1662"/>
          </w:tcPr>
          <w:p>
            <w:pPr>
              <w:spacing w:after="0" w:line="240" w:lineRule="auto"/>
              <w:ind w:firstLine="0"/>
              <w:jc w:val="center"/>
            </w:pPr>
            <w:r>
              <w:rPr>
                <w:b w:val="0"/>
                <w:i w:val="0"/>
                <w:sz w:val="20"/>
              </w:rPr>
              <w:t>19,4</w:t>
            </w:r>
          </w:p>
        </w:tc>
        <w:tc>
          <w:tcPr>
            <w:tcW w:type="dxa" w:w="1662"/>
          </w:tcPr>
          <w:p>
            <w:pPr>
              <w:spacing w:after="0" w:line="240" w:lineRule="auto"/>
              <w:ind w:firstLine="0"/>
              <w:jc w:val="center"/>
            </w:pPr>
            <w:r>
              <w:rPr>
                <w:b w:val="0"/>
                <w:i w:val="0"/>
                <w:sz w:val="20"/>
              </w:rPr>
              <w:t>6,8</w:t>
            </w:r>
          </w:p>
        </w:tc>
        <w:tc>
          <w:tcPr>
            <w:tcW w:type="dxa" w:w="1662"/>
          </w:tcPr>
          <w:p>
            <w:pPr>
              <w:spacing w:after="0" w:line="240" w:lineRule="auto"/>
              <w:ind w:firstLine="0"/>
              <w:jc w:val="center"/>
            </w:pPr>
            <w:r>
              <w:rPr>
                <w:b w:val="0"/>
                <w:i w:val="0"/>
                <w:sz w:val="20"/>
              </w:rPr>
              <w:t>0</w:t>
            </w:r>
          </w:p>
        </w:tc>
      </w:tr>
      <w:tr>
        <w:tc>
          <w:tcPr>
            <w:tcW w:type="dxa" w:w="1662"/>
          </w:tcPr>
          <w:p>
            <w:pPr>
              <w:spacing w:after="0" w:line="240" w:lineRule="auto"/>
              <w:ind w:firstLine="0"/>
              <w:jc w:val="left"/>
            </w:pPr>
            <w:r>
              <w:rPr>
                <w:b w:val="0"/>
                <w:i w:val="0"/>
                <w:sz w:val="20"/>
              </w:rPr>
              <w:t>2024</w:t>
            </w:r>
          </w:p>
        </w:tc>
        <w:tc>
          <w:tcPr>
            <w:tcW w:type="dxa" w:w="1662"/>
          </w:tcPr>
          <w:p>
            <w:pPr>
              <w:spacing w:after="0" w:line="240" w:lineRule="auto"/>
              <w:ind w:firstLine="0"/>
              <w:jc w:val="center"/>
            </w:pPr>
            <w:r>
              <w:rPr>
                <w:b w:val="0"/>
                <w:i w:val="0"/>
                <w:sz w:val="20"/>
              </w:rPr>
              <w:t>3 050</w:t>
            </w:r>
          </w:p>
        </w:tc>
        <w:tc>
          <w:tcPr>
            <w:tcW w:type="dxa" w:w="1662"/>
          </w:tcPr>
          <w:p>
            <w:pPr>
              <w:spacing w:after="0" w:line="240" w:lineRule="auto"/>
              <w:ind w:firstLine="0"/>
              <w:jc w:val="center"/>
            </w:pPr>
            <w:r>
              <w:rPr>
                <w:b w:val="0"/>
                <w:i w:val="0"/>
                <w:sz w:val="20"/>
              </w:rPr>
              <w:t>1 550</w:t>
            </w:r>
          </w:p>
        </w:tc>
        <w:tc>
          <w:tcPr>
            <w:tcW w:type="dxa" w:w="1662"/>
          </w:tcPr>
          <w:p>
            <w:pPr>
              <w:spacing w:after="0" w:line="240" w:lineRule="auto"/>
              <w:ind w:firstLine="0"/>
              <w:jc w:val="center"/>
            </w:pPr>
            <w:r>
              <w:rPr>
                <w:b w:val="0"/>
                <w:i w:val="0"/>
                <w:sz w:val="20"/>
              </w:rPr>
              <w:t>18,6</w:t>
            </w:r>
          </w:p>
        </w:tc>
        <w:tc>
          <w:tcPr>
            <w:tcW w:type="dxa" w:w="1662"/>
          </w:tcPr>
          <w:p>
            <w:pPr>
              <w:spacing w:after="0" w:line="240" w:lineRule="auto"/>
              <w:ind w:firstLine="0"/>
              <w:jc w:val="center"/>
            </w:pPr>
            <w:r>
              <w:rPr>
                <w:b w:val="0"/>
                <w:i w:val="0"/>
                <w:sz w:val="20"/>
              </w:rPr>
              <w:t>6,1</w:t>
            </w:r>
          </w:p>
        </w:tc>
        <w:tc>
          <w:tcPr>
            <w:tcW w:type="dxa" w:w="1662"/>
          </w:tcPr>
          <w:p>
            <w:pPr>
              <w:spacing w:after="0" w:line="240" w:lineRule="auto"/>
              <w:ind w:firstLine="0"/>
              <w:jc w:val="center"/>
            </w:pPr>
            <w:r>
              <w:rPr>
                <w:b w:val="0"/>
                <w:i w:val="0"/>
                <w:sz w:val="20"/>
              </w:rPr>
              <w:t>0</w:t>
            </w:r>
          </w:p>
        </w:tc>
      </w:tr>
      <w:tr>
        <w:tc>
          <w:tcPr>
            <w:tcW w:type="dxa" w:w="1662"/>
          </w:tcPr>
          <w:p>
            <w:pPr>
              <w:spacing w:after="0" w:line="240" w:lineRule="auto"/>
              <w:ind w:firstLine="0"/>
              <w:jc w:val="left"/>
            </w:pPr>
            <w:r>
              <w:rPr>
                <w:b w:val="0"/>
                <w:i w:val="0"/>
                <w:sz w:val="20"/>
              </w:rPr>
              <w:t>2025 (оц.)</w:t>
            </w:r>
          </w:p>
        </w:tc>
        <w:tc>
          <w:tcPr>
            <w:tcW w:type="dxa" w:w="1662"/>
          </w:tcPr>
          <w:p>
            <w:pPr>
              <w:spacing w:after="0" w:line="240" w:lineRule="auto"/>
              <w:ind w:firstLine="0"/>
              <w:jc w:val="center"/>
            </w:pPr>
            <w:r>
              <w:rPr>
                <w:b w:val="0"/>
                <w:i w:val="0"/>
                <w:sz w:val="20"/>
              </w:rPr>
              <w:t>3 200</w:t>
            </w:r>
          </w:p>
        </w:tc>
        <w:tc>
          <w:tcPr>
            <w:tcW w:type="dxa" w:w="1662"/>
          </w:tcPr>
          <w:p>
            <w:pPr>
              <w:spacing w:after="0" w:line="240" w:lineRule="auto"/>
              <w:ind w:firstLine="0"/>
              <w:jc w:val="center"/>
            </w:pPr>
            <w:r>
              <w:rPr>
                <w:b w:val="0"/>
                <w:i w:val="0"/>
                <w:sz w:val="20"/>
              </w:rPr>
              <w:t>1 620</w:t>
            </w:r>
          </w:p>
        </w:tc>
        <w:tc>
          <w:tcPr>
            <w:tcW w:type="dxa" w:w="1662"/>
          </w:tcPr>
          <w:p>
            <w:pPr>
              <w:spacing w:after="0" w:line="240" w:lineRule="auto"/>
              <w:ind w:firstLine="0"/>
              <w:jc w:val="center"/>
            </w:pPr>
            <w:r>
              <w:rPr>
                <w:b w:val="0"/>
                <w:i w:val="0"/>
                <w:sz w:val="20"/>
              </w:rPr>
              <w:t>22,4</w:t>
            </w:r>
          </w:p>
        </w:tc>
        <w:tc>
          <w:tcPr>
            <w:tcW w:type="dxa" w:w="1662"/>
          </w:tcPr>
          <w:p>
            <w:pPr>
              <w:spacing w:after="0" w:line="240" w:lineRule="auto"/>
              <w:ind w:firstLine="0"/>
              <w:jc w:val="center"/>
            </w:pPr>
            <w:r>
              <w:rPr>
                <w:b w:val="0"/>
                <w:i w:val="0"/>
                <w:sz w:val="20"/>
              </w:rPr>
              <w:t>7,0</w:t>
            </w:r>
          </w:p>
        </w:tc>
        <w:tc>
          <w:tcPr>
            <w:tcW w:type="dxa" w:w="1662"/>
          </w:tcPr>
          <w:p>
            <w:pPr>
              <w:spacing w:after="0" w:line="240" w:lineRule="auto"/>
              <w:ind w:firstLine="0"/>
              <w:jc w:val="center"/>
            </w:pPr>
            <w:r>
              <w:rPr>
                <w:b w:val="0"/>
                <w:i w:val="0"/>
                <w:sz w:val="20"/>
              </w:rPr>
              <w:t>0</w:t>
            </w:r>
          </w:p>
        </w:tc>
      </w:tr>
    </w:tbl>
    <w:p>
      <w:pPr>
        <w:spacing w:after="180"/>
        <w:ind w:firstLine="0"/>
      </w:pPr>
      <w:r>
        <w:rPr>
          <w:i/>
          <w:sz w:val="20"/>
        </w:rPr>
        <w:t>Источник: ФТС России (до 2021 г.); зеркальная статистика стран-контрагентов и расчёт аналитического центра (2022–2025 гг.)</w:t>
      </w:r>
    </w:p>
    <w:p>
      <w:pPr>
        <w:keepNext/>
        <w:spacing w:before="160" w:after="60"/>
        <w:ind w:firstLine="0"/>
        <w:jc w:val="left"/>
      </w:pPr>
      <w:r>
        <w:rPr>
          <w:b/>
          <w:sz w:val="22"/>
        </w:rPr>
        <w:t>Рисунок 67. Экспорт редкоземельной продукции из РФ, 2010–2025 гг.</w:t>
      </w:r>
    </w:p>
    <w:p>
      <w:pPr>
        <w:ind w:firstLine="0"/>
        <w:jc w:val="center"/>
      </w:pPr>
      <w:r>
        <w:drawing>
          <wp:inline xmlns:a="http://schemas.openxmlformats.org/drawingml/2006/main" xmlns:pic="http://schemas.openxmlformats.org/drawingml/2006/picture">
            <wp:extent cx="5580000" cy="2723234"/>
            <wp:docPr id="67" name="Picture 67"/>
            <wp:cNvGraphicFramePr>
              <a:graphicFrameLocks noChangeAspect="1"/>
            </wp:cNvGraphicFramePr>
            <a:graphic>
              <a:graphicData uri="http://schemas.openxmlformats.org/drawingml/2006/picture">
                <pic:pic>
                  <pic:nvPicPr>
                    <pic:cNvPr id="0" name="fig67.png"/>
                    <pic:cNvPicPr/>
                  </pic:nvPicPr>
                  <pic:blipFill>
                    <a:blip r:embed="rId77"/>
                    <a:stretch>
                      <a:fillRect/>
                    </a:stretch>
                  </pic:blipFill>
                  <pic:spPr>
                    <a:xfrm>
                      <a:off x="0" y="0"/>
                      <a:ext cx="5580000" cy="2723234"/>
                    </a:xfrm>
                    <a:prstGeom prst="rect"/>
                  </pic:spPr>
                </pic:pic>
              </a:graphicData>
            </a:graphic>
          </wp:inline>
        </w:drawing>
      </w:r>
    </w:p>
    <w:p>
      <w:pPr>
        <w:spacing w:after="180"/>
        <w:ind w:firstLine="0"/>
      </w:pPr>
      <w:r>
        <w:rPr>
          <w:i/>
          <w:sz w:val="20"/>
        </w:rPr>
        <w:t>Источник: аналитический центр (табл. 89)</w:t>
      </w:r>
    </w:p>
    <w:p>
      <w:pPr>
        <w:keepNext/>
        <w:spacing w:before="160" w:after="60"/>
        <w:ind w:firstLine="0"/>
        <w:jc w:val="left"/>
      </w:pPr>
      <w:r>
        <w:rPr>
          <w:b/>
          <w:sz w:val="22"/>
        </w:rPr>
        <w:t>Таблица 90. Географическая структура экспорта редкоземельной продукции из РФ, 2018–2025 гг., т физического веса</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Страна назначения</w:t>
            </w:r>
          </w:p>
        </w:tc>
        <w:tc>
          <w:tcPr>
            <w:tcW w:type="dxa" w:w="1425"/>
            <w:shd w:val="clear" w:fill="DCE6F1"/>
          </w:tcPr>
          <w:p>
            <w:pPr>
              <w:spacing w:after="0" w:line="240" w:lineRule="auto"/>
              <w:ind w:firstLine="0"/>
              <w:jc w:val="center"/>
            </w:pPr>
            <w:r>
              <w:rPr>
                <w:b/>
                <w:i w:val="0"/>
                <w:sz w:val="20"/>
              </w:rPr>
              <w:t>2018</w:t>
            </w:r>
          </w:p>
        </w:tc>
        <w:tc>
          <w:tcPr>
            <w:tcW w:type="dxa" w:w="1425"/>
            <w:shd w:val="clear" w:fill="DCE6F1"/>
          </w:tcPr>
          <w:p>
            <w:pPr>
              <w:spacing w:after="0" w:line="240" w:lineRule="auto"/>
              <w:ind w:firstLine="0"/>
              <w:jc w:val="center"/>
            </w:pPr>
            <w:r>
              <w:rPr>
                <w:b/>
                <w:i w:val="0"/>
                <w:sz w:val="20"/>
              </w:rPr>
              <w:t>2020</w:t>
            </w:r>
          </w:p>
        </w:tc>
        <w:tc>
          <w:tcPr>
            <w:tcW w:type="dxa" w:w="1425"/>
            <w:shd w:val="clear" w:fill="DCE6F1"/>
          </w:tcPr>
          <w:p>
            <w:pPr>
              <w:spacing w:after="0" w:line="240" w:lineRule="auto"/>
              <w:ind w:firstLine="0"/>
              <w:jc w:val="center"/>
            </w:pPr>
            <w:r>
              <w:rPr>
                <w:b/>
                <w:i w:val="0"/>
                <w:sz w:val="20"/>
              </w:rPr>
              <w:t>2021</w:t>
            </w:r>
          </w:p>
        </w:tc>
        <w:tc>
          <w:tcPr>
            <w:tcW w:type="dxa" w:w="1425"/>
            <w:shd w:val="clear" w:fill="DCE6F1"/>
          </w:tcPr>
          <w:p>
            <w:pPr>
              <w:spacing w:after="0" w:line="240" w:lineRule="auto"/>
              <w:ind w:firstLine="0"/>
              <w:jc w:val="center"/>
            </w:pPr>
            <w:r>
              <w:rPr>
                <w:b/>
                <w:i w:val="0"/>
                <w:sz w:val="20"/>
              </w:rPr>
              <w:t>2022</w:t>
            </w:r>
          </w:p>
        </w:tc>
        <w:tc>
          <w:tcPr>
            <w:tcW w:type="dxa" w:w="1425"/>
            <w:shd w:val="clear" w:fill="DCE6F1"/>
          </w:tcPr>
          <w:p>
            <w:pPr>
              <w:spacing w:after="0" w:line="240" w:lineRule="auto"/>
              <w:ind w:firstLine="0"/>
              <w:jc w:val="center"/>
            </w:pPr>
            <w:r>
              <w:rPr>
                <w:b/>
                <w:i w:val="0"/>
                <w:sz w:val="20"/>
              </w:rPr>
              <w:t>2023</w:t>
            </w:r>
          </w:p>
        </w:tc>
        <w:tc>
          <w:tcPr>
            <w:tcW w:type="dxa" w:w="1425"/>
            <w:shd w:val="clear" w:fill="DCE6F1"/>
          </w:tcPr>
          <w:p>
            <w:pPr>
              <w:spacing w:after="0" w:line="240" w:lineRule="auto"/>
              <w:ind w:firstLine="0"/>
              <w:jc w:val="center"/>
            </w:pPr>
            <w:r>
              <w:rPr>
                <w:b/>
                <w:i w:val="0"/>
                <w:sz w:val="20"/>
              </w:rPr>
              <w:t>2025 (оц.)</w:t>
            </w:r>
          </w:p>
        </w:tc>
      </w:tr>
      <w:tr>
        <w:tc>
          <w:tcPr>
            <w:tcW w:type="dxa" w:w="1425"/>
          </w:tcPr>
          <w:p>
            <w:pPr>
              <w:spacing w:after="0" w:line="240" w:lineRule="auto"/>
              <w:ind w:firstLine="0"/>
              <w:jc w:val="left"/>
            </w:pPr>
            <w:r>
              <w:rPr>
                <w:b w:val="0"/>
                <w:i w:val="0"/>
                <w:sz w:val="20"/>
              </w:rPr>
              <w:t>Эстония</w:t>
            </w:r>
          </w:p>
        </w:tc>
        <w:tc>
          <w:tcPr>
            <w:tcW w:type="dxa" w:w="1425"/>
          </w:tcPr>
          <w:p>
            <w:pPr>
              <w:spacing w:after="0" w:line="240" w:lineRule="auto"/>
              <w:ind w:firstLine="0"/>
              <w:jc w:val="center"/>
            </w:pPr>
            <w:r>
              <w:rPr>
                <w:b w:val="0"/>
                <w:i w:val="0"/>
                <w:sz w:val="20"/>
              </w:rPr>
              <w:t>3 320</w:t>
            </w:r>
          </w:p>
        </w:tc>
        <w:tc>
          <w:tcPr>
            <w:tcW w:type="dxa" w:w="1425"/>
          </w:tcPr>
          <w:p>
            <w:pPr>
              <w:spacing w:after="0" w:line="240" w:lineRule="auto"/>
              <w:ind w:firstLine="0"/>
              <w:jc w:val="center"/>
            </w:pPr>
            <w:r>
              <w:rPr>
                <w:b w:val="0"/>
                <w:i w:val="0"/>
                <w:sz w:val="20"/>
              </w:rPr>
              <w:t>2 870</w:t>
            </w:r>
          </w:p>
        </w:tc>
        <w:tc>
          <w:tcPr>
            <w:tcW w:type="dxa" w:w="1425"/>
          </w:tcPr>
          <w:p>
            <w:pPr>
              <w:spacing w:after="0" w:line="240" w:lineRule="auto"/>
              <w:ind w:firstLine="0"/>
              <w:jc w:val="center"/>
            </w:pPr>
            <w:r>
              <w:rPr>
                <w:b w:val="0"/>
                <w:i w:val="0"/>
                <w:sz w:val="20"/>
              </w:rPr>
              <w:t>2 590</w:t>
            </w:r>
          </w:p>
        </w:tc>
        <w:tc>
          <w:tcPr>
            <w:tcW w:type="dxa" w:w="1425"/>
          </w:tcPr>
          <w:p>
            <w:pPr>
              <w:spacing w:after="0" w:line="240" w:lineRule="auto"/>
              <w:ind w:firstLine="0"/>
              <w:jc w:val="center"/>
            </w:pPr>
            <w:r>
              <w:rPr>
                <w:b w:val="0"/>
                <w:i w:val="0"/>
                <w:sz w:val="20"/>
              </w:rPr>
              <w:t>1 055</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r>
      <w:tr>
        <w:tc>
          <w:tcPr>
            <w:tcW w:type="dxa" w:w="1425"/>
          </w:tcPr>
          <w:p>
            <w:pPr>
              <w:spacing w:after="0" w:line="240" w:lineRule="auto"/>
              <w:ind w:firstLine="0"/>
              <w:jc w:val="left"/>
            </w:pPr>
            <w:r>
              <w:rPr>
                <w:b w:val="0"/>
                <w:i w:val="0"/>
                <w:sz w:val="20"/>
              </w:rPr>
              <w:t>Китай</w:t>
            </w:r>
          </w:p>
        </w:tc>
        <w:tc>
          <w:tcPr>
            <w:tcW w:type="dxa" w:w="1425"/>
          </w:tcPr>
          <w:p>
            <w:pPr>
              <w:spacing w:after="0" w:line="240" w:lineRule="auto"/>
              <w:ind w:firstLine="0"/>
              <w:jc w:val="center"/>
            </w:pPr>
            <w:r>
              <w:rPr>
                <w:b w:val="0"/>
                <w:i w:val="0"/>
                <w:sz w:val="20"/>
              </w:rPr>
              <w:t>480</w:t>
            </w:r>
          </w:p>
        </w:tc>
        <w:tc>
          <w:tcPr>
            <w:tcW w:type="dxa" w:w="1425"/>
          </w:tcPr>
          <w:p>
            <w:pPr>
              <w:spacing w:after="0" w:line="240" w:lineRule="auto"/>
              <w:ind w:firstLine="0"/>
              <w:jc w:val="center"/>
            </w:pPr>
            <w:r>
              <w:rPr>
                <w:b w:val="0"/>
                <w:i w:val="0"/>
                <w:sz w:val="20"/>
              </w:rPr>
              <w:t>640</w:t>
            </w:r>
          </w:p>
        </w:tc>
        <w:tc>
          <w:tcPr>
            <w:tcW w:type="dxa" w:w="1425"/>
          </w:tcPr>
          <w:p>
            <w:pPr>
              <w:spacing w:after="0" w:line="240" w:lineRule="auto"/>
              <w:ind w:firstLine="0"/>
              <w:jc w:val="center"/>
            </w:pPr>
            <w:r>
              <w:rPr>
                <w:b w:val="0"/>
                <w:i w:val="0"/>
                <w:sz w:val="20"/>
              </w:rPr>
              <w:t>780</w:t>
            </w:r>
          </w:p>
        </w:tc>
        <w:tc>
          <w:tcPr>
            <w:tcW w:type="dxa" w:w="1425"/>
          </w:tcPr>
          <w:p>
            <w:pPr>
              <w:spacing w:after="0" w:line="240" w:lineRule="auto"/>
              <w:ind w:firstLine="0"/>
              <w:jc w:val="center"/>
            </w:pPr>
            <w:r>
              <w:rPr>
                <w:b w:val="0"/>
                <w:i w:val="0"/>
                <w:sz w:val="20"/>
              </w:rPr>
              <w:t>1 620</w:t>
            </w:r>
          </w:p>
        </w:tc>
        <w:tc>
          <w:tcPr>
            <w:tcW w:type="dxa" w:w="1425"/>
          </w:tcPr>
          <w:p>
            <w:pPr>
              <w:spacing w:after="0" w:line="240" w:lineRule="auto"/>
              <w:ind w:firstLine="0"/>
              <w:jc w:val="center"/>
            </w:pPr>
            <w:r>
              <w:rPr>
                <w:b w:val="0"/>
                <w:i w:val="0"/>
                <w:sz w:val="20"/>
              </w:rPr>
              <w:t>2 480</w:t>
            </w:r>
          </w:p>
        </w:tc>
        <w:tc>
          <w:tcPr>
            <w:tcW w:type="dxa" w:w="1425"/>
          </w:tcPr>
          <w:p>
            <w:pPr>
              <w:spacing w:after="0" w:line="240" w:lineRule="auto"/>
              <w:ind w:firstLine="0"/>
              <w:jc w:val="center"/>
            </w:pPr>
            <w:r>
              <w:rPr>
                <w:b w:val="0"/>
                <w:i w:val="0"/>
                <w:sz w:val="20"/>
              </w:rPr>
              <w:t>2 750</w:t>
            </w:r>
          </w:p>
        </w:tc>
      </w:tr>
      <w:tr>
        <w:tc>
          <w:tcPr>
            <w:tcW w:type="dxa" w:w="1425"/>
          </w:tcPr>
          <w:p>
            <w:pPr>
              <w:spacing w:after="0" w:line="240" w:lineRule="auto"/>
              <w:ind w:firstLine="0"/>
              <w:jc w:val="left"/>
            </w:pPr>
            <w:r>
              <w:rPr>
                <w:b w:val="0"/>
                <w:i w:val="0"/>
                <w:sz w:val="20"/>
              </w:rPr>
              <w:t>Казахстан</w:t>
            </w:r>
          </w:p>
        </w:tc>
        <w:tc>
          <w:tcPr>
            <w:tcW w:type="dxa" w:w="1425"/>
          </w:tcPr>
          <w:p>
            <w:pPr>
              <w:spacing w:after="0" w:line="240" w:lineRule="auto"/>
              <w:ind w:firstLine="0"/>
              <w:jc w:val="center"/>
            </w:pPr>
            <w:r>
              <w:rPr>
                <w:b w:val="0"/>
                <w:i w:val="0"/>
                <w:sz w:val="20"/>
              </w:rPr>
              <w:t>90</w:t>
            </w:r>
          </w:p>
        </w:tc>
        <w:tc>
          <w:tcPr>
            <w:tcW w:type="dxa" w:w="1425"/>
          </w:tcPr>
          <w:p>
            <w:pPr>
              <w:spacing w:after="0" w:line="240" w:lineRule="auto"/>
              <w:ind w:firstLine="0"/>
              <w:jc w:val="center"/>
            </w:pPr>
            <w:r>
              <w:rPr>
                <w:b w:val="0"/>
                <w:i w:val="0"/>
                <w:sz w:val="20"/>
              </w:rPr>
              <w:t>105</w:t>
            </w:r>
          </w:p>
        </w:tc>
        <w:tc>
          <w:tcPr>
            <w:tcW w:type="dxa" w:w="1425"/>
          </w:tcPr>
          <w:p>
            <w:pPr>
              <w:spacing w:after="0" w:line="240" w:lineRule="auto"/>
              <w:ind w:firstLine="0"/>
              <w:jc w:val="center"/>
            </w:pPr>
            <w:r>
              <w:rPr>
                <w:b w:val="0"/>
                <w:i w:val="0"/>
                <w:sz w:val="20"/>
              </w:rPr>
              <w:t>120</w:t>
            </w:r>
          </w:p>
        </w:tc>
        <w:tc>
          <w:tcPr>
            <w:tcW w:type="dxa" w:w="1425"/>
          </w:tcPr>
          <w:p>
            <w:pPr>
              <w:spacing w:after="0" w:line="240" w:lineRule="auto"/>
              <w:ind w:firstLine="0"/>
              <w:jc w:val="center"/>
            </w:pPr>
            <w:r>
              <w:rPr>
                <w:b w:val="0"/>
                <w:i w:val="0"/>
                <w:sz w:val="20"/>
              </w:rPr>
              <w:t>145</w:t>
            </w:r>
          </w:p>
        </w:tc>
        <w:tc>
          <w:tcPr>
            <w:tcW w:type="dxa" w:w="1425"/>
          </w:tcPr>
          <w:p>
            <w:pPr>
              <w:spacing w:after="0" w:line="240" w:lineRule="auto"/>
              <w:ind w:firstLine="0"/>
              <w:jc w:val="center"/>
            </w:pPr>
            <w:r>
              <w:rPr>
                <w:b w:val="0"/>
                <w:i w:val="0"/>
                <w:sz w:val="20"/>
              </w:rPr>
              <w:t>160</w:t>
            </w:r>
          </w:p>
        </w:tc>
        <w:tc>
          <w:tcPr>
            <w:tcW w:type="dxa" w:w="1425"/>
          </w:tcPr>
          <w:p>
            <w:pPr>
              <w:spacing w:after="0" w:line="240" w:lineRule="auto"/>
              <w:ind w:firstLine="0"/>
              <w:jc w:val="center"/>
            </w:pPr>
            <w:r>
              <w:rPr>
                <w:b w:val="0"/>
                <w:i w:val="0"/>
                <w:sz w:val="20"/>
              </w:rPr>
              <w:t>180</w:t>
            </w:r>
          </w:p>
        </w:tc>
      </w:tr>
      <w:tr>
        <w:tc>
          <w:tcPr>
            <w:tcW w:type="dxa" w:w="1425"/>
          </w:tcPr>
          <w:p>
            <w:pPr>
              <w:spacing w:after="0" w:line="240" w:lineRule="auto"/>
              <w:ind w:firstLine="0"/>
              <w:jc w:val="left"/>
            </w:pPr>
            <w:r>
              <w:rPr>
                <w:b w:val="0"/>
                <w:i w:val="0"/>
                <w:sz w:val="20"/>
              </w:rPr>
              <w:t>Индия</w:t>
            </w:r>
          </w:p>
        </w:tc>
        <w:tc>
          <w:tcPr>
            <w:tcW w:type="dxa" w:w="1425"/>
          </w:tcPr>
          <w:p>
            <w:pPr>
              <w:spacing w:after="0" w:line="240" w:lineRule="auto"/>
              <w:ind w:firstLine="0"/>
              <w:jc w:val="center"/>
            </w:pPr>
            <w:r>
              <w:rPr>
                <w:b w:val="0"/>
                <w:i w:val="0"/>
                <w:sz w:val="20"/>
              </w:rPr>
              <w:t>25</w:t>
            </w:r>
          </w:p>
        </w:tc>
        <w:tc>
          <w:tcPr>
            <w:tcW w:type="dxa" w:w="1425"/>
          </w:tcPr>
          <w:p>
            <w:pPr>
              <w:spacing w:after="0" w:line="240" w:lineRule="auto"/>
              <w:ind w:firstLine="0"/>
              <w:jc w:val="center"/>
            </w:pPr>
            <w:r>
              <w:rPr>
                <w:b w:val="0"/>
                <w:i w:val="0"/>
                <w:sz w:val="20"/>
              </w:rPr>
              <w:t>40</w:t>
            </w:r>
          </w:p>
        </w:tc>
        <w:tc>
          <w:tcPr>
            <w:tcW w:type="dxa" w:w="1425"/>
          </w:tcPr>
          <w:p>
            <w:pPr>
              <w:spacing w:after="0" w:line="240" w:lineRule="auto"/>
              <w:ind w:firstLine="0"/>
              <w:jc w:val="center"/>
            </w:pPr>
            <w:r>
              <w:rPr>
                <w:b w:val="0"/>
                <w:i w:val="0"/>
                <w:sz w:val="20"/>
              </w:rPr>
              <w:t>45</w:t>
            </w:r>
          </w:p>
        </w:tc>
        <w:tc>
          <w:tcPr>
            <w:tcW w:type="dxa" w:w="1425"/>
          </w:tcPr>
          <w:p>
            <w:pPr>
              <w:spacing w:after="0" w:line="240" w:lineRule="auto"/>
              <w:ind w:firstLine="0"/>
              <w:jc w:val="center"/>
            </w:pPr>
            <w:r>
              <w:rPr>
                <w:b w:val="0"/>
                <w:i w:val="0"/>
                <w:sz w:val="20"/>
              </w:rPr>
              <w:t>80</w:t>
            </w:r>
          </w:p>
        </w:tc>
        <w:tc>
          <w:tcPr>
            <w:tcW w:type="dxa" w:w="1425"/>
          </w:tcPr>
          <w:p>
            <w:pPr>
              <w:spacing w:after="0" w:line="240" w:lineRule="auto"/>
              <w:ind w:firstLine="0"/>
              <w:jc w:val="center"/>
            </w:pPr>
            <w:r>
              <w:rPr>
                <w:b w:val="0"/>
                <w:i w:val="0"/>
                <w:sz w:val="20"/>
              </w:rPr>
              <w:t>95</w:t>
            </w:r>
          </w:p>
        </w:tc>
        <w:tc>
          <w:tcPr>
            <w:tcW w:type="dxa" w:w="1425"/>
          </w:tcPr>
          <w:p>
            <w:pPr>
              <w:spacing w:after="0" w:line="240" w:lineRule="auto"/>
              <w:ind w:firstLine="0"/>
              <w:jc w:val="center"/>
            </w:pPr>
            <w:r>
              <w:rPr>
                <w:b w:val="0"/>
                <w:i w:val="0"/>
                <w:sz w:val="20"/>
              </w:rPr>
              <w:t>120</w:t>
            </w:r>
          </w:p>
        </w:tc>
      </w:tr>
      <w:tr>
        <w:tc>
          <w:tcPr>
            <w:tcW w:type="dxa" w:w="1425"/>
          </w:tcPr>
          <w:p>
            <w:pPr>
              <w:spacing w:after="0" w:line="240" w:lineRule="auto"/>
              <w:ind w:firstLine="0"/>
              <w:jc w:val="left"/>
            </w:pPr>
            <w:r>
              <w:rPr>
                <w:b w:val="0"/>
                <w:i w:val="0"/>
                <w:sz w:val="20"/>
              </w:rPr>
              <w:t>Турция</w:t>
            </w:r>
          </w:p>
        </w:tc>
        <w:tc>
          <w:tcPr>
            <w:tcW w:type="dxa" w:w="1425"/>
          </w:tcPr>
          <w:p>
            <w:pPr>
              <w:spacing w:after="0" w:line="240" w:lineRule="auto"/>
              <w:ind w:firstLine="0"/>
              <w:jc w:val="center"/>
            </w:pPr>
            <w:r>
              <w:rPr>
                <w:b w:val="0"/>
                <w:i w:val="0"/>
                <w:sz w:val="20"/>
              </w:rPr>
              <w:t>15</w:t>
            </w:r>
          </w:p>
        </w:tc>
        <w:tc>
          <w:tcPr>
            <w:tcW w:type="dxa" w:w="1425"/>
          </w:tcPr>
          <w:p>
            <w:pPr>
              <w:spacing w:after="0" w:line="240" w:lineRule="auto"/>
              <w:ind w:firstLine="0"/>
              <w:jc w:val="center"/>
            </w:pPr>
            <w:r>
              <w:rPr>
                <w:b w:val="0"/>
                <w:i w:val="0"/>
                <w:sz w:val="20"/>
              </w:rPr>
              <w:t>25</w:t>
            </w:r>
          </w:p>
        </w:tc>
        <w:tc>
          <w:tcPr>
            <w:tcW w:type="dxa" w:w="1425"/>
          </w:tcPr>
          <w:p>
            <w:pPr>
              <w:spacing w:after="0" w:line="240" w:lineRule="auto"/>
              <w:ind w:firstLine="0"/>
              <w:jc w:val="center"/>
            </w:pPr>
            <w:r>
              <w:rPr>
                <w:b w:val="0"/>
                <w:i w:val="0"/>
                <w:sz w:val="20"/>
              </w:rPr>
              <w:t>30</w:t>
            </w:r>
          </w:p>
        </w:tc>
        <w:tc>
          <w:tcPr>
            <w:tcW w:type="dxa" w:w="1425"/>
          </w:tcPr>
          <w:p>
            <w:pPr>
              <w:spacing w:after="0" w:line="240" w:lineRule="auto"/>
              <w:ind w:firstLine="0"/>
              <w:jc w:val="center"/>
            </w:pPr>
            <w:r>
              <w:rPr>
                <w:b w:val="0"/>
                <w:i w:val="0"/>
                <w:sz w:val="20"/>
              </w:rPr>
              <w:t>65</w:t>
            </w:r>
          </w:p>
        </w:tc>
        <w:tc>
          <w:tcPr>
            <w:tcW w:type="dxa" w:w="1425"/>
          </w:tcPr>
          <w:p>
            <w:pPr>
              <w:spacing w:after="0" w:line="240" w:lineRule="auto"/>
              <w:ind w:firstLine="0"/>
              <w:jc w:val="center"/>
            </w:pPr>
            <w:r>
              <w:rPr>
                <w:b w:val="0"/>
                <w:i w:val="0"/>
                <w:sz w:val="20"/>
              </w:rPr>
              <w:t>45</w:t>
            </w:r>
          </w:p>
        </w:tc>
        <w:tc>
          <w:tcPr>
            <w:tcW w:type="dxa" w:w="1425"/>
          </w:tcPr>
          <w:p>
            <w:pPr>
              <w:spacing w:after="0" w:line="240" w:lineRule="auto"/>
              <w:ind w:firstLine="0"/>
              <w:jc w:val="center"/>
            </w:pPr>
            <w:r>
              <w:rPr>
                <w:b w:val="0"/>
                <w:i w:val="0"/>
                <w:sz w:val="20"/>
              </w:rPr>
              <w:t>60</w:t>
            </w:r>
          </w:p>
        </w:tc>
      </w:tr>
      <w:tr>
        <w:tc>
          <w:tcPr>
            <w:tcW w:type="dxa" w:w="1425"/>
          </w:tcPr>
          <w:p>
            <w:pPr>
              <w:spacing w:after="0" w:line="240" w:lineRule="auto"/>
              <w:ind w:firstLine="0"/>
              <w:jc w:val="left"/>
            </w:pPr>
            <w:r>
              <w:rPr>
                <w:b w:val="0"/>
                <w:i w:val="0"/>
                <w:sz w:val="20"/>
              </w:rPr>
              <w:t>Республика Корея</w:t>
            </w:r>
          </w:p>
        </w:tc>
        <w:tc>
          <w:tcPr>
            <w:tcW w:type="dxa" w:w="1425"/>
          </w:tcPr>
          <w:p>
            <w:pPr>
              <w:spacing w:after="0" w:line="240" w:lineRule="auto"/>
              <w:ind w:firstLine="0"/>
              <w:jc w:val="center"/>
            </w:pPr>
            <w:r>
              <w:rPr>
                <w:b w:val="0"/>
                <w:i w:val="0"/>
                <w:sz w:val="20"/>
              </w:rPr>
              <w:t>60</w:t>
            </w:r>
          </w:p>
        </w:tc>
        <w:tc>
          <w:tcPr>
            <w:tcW w:type="dxa" w:w="1425"/>
          </w:tcPr>
          <w:p>
            <w:pPr>
              <w:spacing w:after="0" w:line="240" w:lineRule="auto"/>
              <w:ind w:firstLine="0"/>
              <w:jc w:val="center"/>
            </w:pPr>
            <w:r>
              <w:rPr>
                <w:b w:val="0"/>
                <w:i w:val="0"/>
                <w:sz w:val="20"/>
              </w:rPr>
              <w:t>45</w:t>
            </w:r>
          </w:p>
        </w:tc>
        <w:tc>
          <w:tcPr>
            <w:tcW w:type="dxa" w:w="1425"/>
          </w:tcPr>
          <w:p>
            <w:pPr>
              <w:spacing w:after="0" w:line="240" w:lineRule="auto"/>
              <w:ind w:firstLine="0"/>
              <w:jc w:val="center"/>
            </w:pPr>
            <w:r>
              <w:rPr>
                <w:b w:val="0"/>
                <w:i w:val="0"/>
                <w:sz w:val="20"/>
              </w:rPr>
              <w:t>35</w:t>
            </w:r>
          </w:p>
        </w:tc>
        <w:tc>
          <w:tcPr>
            <w:tcW w:type="dxa" w:w="1425"/>
          </w:tcPr>
          <w:p>
            <w:pPr>
              <w:spacing w:after="0" w:line="240" w:lineRule="auto"/>
              <w:ind w:firstLine="0"/>
              <w:jc w:val="center"/>
            </w:pPr>
            <w:r>
              <w:rPr>
                <w:b w:val="0"/>
                <w:i w:val="0"/>
                <w:sz w:val="20"/>
              </w:rPr>
              <w:t>45</w:t>
            </w:r>
          </w:p>
        </w:tc>
        <w:tc>
          <w:tcPr>
            <w:tcW w:type="dxa" w:w="1425"/>
          </w:tcPr>
          <w:p>
            <w:pPr>
              <w:spacing w:after="0" w:line="240" w:lineRule="auto"/>
              <w:ind w:firstLine="0"/>
              <w:jc w:val="center"/>
            </w:pPr>
            <w:r>
              <w:rPr>
                <w:b w:val="0"/>
                <w:i w:val="0"/>
                <w:sz w:val="20"/>
              </w:rPr>
              <w:t>25</w:t>
            </w:r>
          </w:p>
        </w:tc>
        <w:tc>
          <w:tcPr>
            <w:tcW w:type="dxa" w:w="1425"/>
          </w:tcPr>
          <w:p>
            <w:pPr>
              <w:spacing w:after="0" w:line="240" w:lineRule="auto"/>
              <w:ind w:firstLine="0"/>
              <w:jc w:val="center"/>
            </w:pPr>
            <w:r>
              <w:rPr>
                <w:b w:val="0"/>
                <w:i w:val="0"/>
                <w:sz w:val="20"/>
              </w:rPr>
              <w:t>30</w:t>
            </w:r>
          </w:p>
        </w:tc>
      </w:tr>
      <w:tr>
        <w:tc>
          <w:tcPr>
            <w:tcW w:type="dxa" w:w="1425"/>
          </w:tcPr>
          <w:p>
            <w:pPr>
              <w:spacing w:after="0" w:line="240" w:lineRule="auto"/>
              <w:ind w:firstLine="0"/>
              <w:jc w:val="left"/>
            </w:pPr>
            <w:r>
              <w:rPr>
                <w:b w:val="0"/>
                <w:i w:val="0"/>
                <w:sz w:val="20"/>
              </w:rPr>
              <w:t>Прочие</w:t>
            </w:r>
          </w:p>
        </w:tc>
        <w:tc>
          <w:tcPr>
            <w:tcW w:type="dxa" w:w="1425"/>
          </w:tcPr>
          <w:p>
            <w:pPr>
              <w:spacing w:after="0" w:line="240" w:lineRule="auto"/>
              <w:ind w:firstLine="0"/>
              <w:jc w:val="center"/>
            </w:pPr>
            <w:r>
              <w:rPr>
                <w:b w:val="0"/>
                <w:i w:val="0"/>
                <w:sz w:val="20"/>
              </w:rPr>
              <w:t>60</w:t>
            </w:r>
          </w:p>
        </w:tc>
        <w:tc>
          <w:tcPr>
            <w:tcW w:type="dxa" w:w="1425"/>
          </w:tcPr>
          <w:p>
            <w:pPr>
              <w:spacing w:after="0" w:line="240" w:lineRule="auto"/>
              <w:ind w:firstLine="0"/>
              <w:jc w:val="center"/>
            </w:pPr>
            <w:r>
              <w:rPr>
                <w:b w:val="0"/>
                <w:i w:val="0"/>
                <w:sz w:val="20"/>
              </w:rPr>
              <w:t>55</w:t>
            </w:r>
          </w:p>
        </w:tc>
        <w:tc>
          <w:tcPr>
            <w:tcW w:type="dxa" w:w="1425"/>
          </w:tcPr>
          <w:p>
            <w:pPr>
              <w:spacing w:after="0" w:line="240" w:lineRule="auto"/>
              <w:ind w:firstLine="0"/>
              <w:jc w:val="center"/>
            </w:pPr>
            <w:r>
              <w:rPr>
                <w:b w:val="0"/>
                <w:i w:val="0"/>
                <w:sz w:val="20"/>
              </w:rPr>
              <w:t>50</w:t>
            </w:r>
          </w:p>
        </w:tc>
        <w:tc>
          <w:tcPr>
            <w:tcW w:type="dxa" w:w="1425"/>
          </w:tcPr>
          <w:p>
            <w:pPr>
              <w:spacing w:after="0" w:line="240" w:lineRule="auto"/>
              <w:ind w:firstLine="0"/>
              <w:jc w:val="center"/>
            </w:pPr>
            <w:r>
              <w:rPr>
                <w:b w:val="0"/>
                <w:i w:val="0"/>
                <w:sz w:val="20"/>
              </w:rPr>
              <w:t>90</w:t>
            </w:r>
          </w:p>
        </w:tc>
        <w:tc>
          <w:tcPr>
            <w:tcW w:type="dxa" w:w="1425"/>
          </w:tcPr>
          <w:p>
            <w:pPr>
              <w:spacing w:after="0" w:line="240" w:lineRule="auto"/>
              <w:ind w:firstLine="0"/>
              <w:jc w:val="center"/>
            </w:pPr>
            <w:r>
              <w:rPr>
                <w:b w:val="0"/>
                <w:i w:val="0"/>
                <w:sz w:val="20"/>
              </w:rPr>
              <w:t>45</w:t>
            </w:r>
          </w:p>
        </w:tc>
        <w:tc>
          <w:tcPr>
            <w:tcW w:type="dxa" w:w="1425"/>
          </w:tcPr>
          <w:p>
            <w:pPr>
              <w:spacing w:after="0" w:line="240" w:lineRule="auto"/>
              <w:ind w:firstLine="0"/>
              <w:jc w:val="center"/>
            </w:pPr>
            <w:r>
              <w:rPr>
                <w:b w:val="0"/>
                <w:i w:val="0"/>
                <w:sz w:val="20"/>
              </w:rPr>
              <w:t>60</w:t>
            </w:r>
          </w:p>
        </w:tc>
      </w:tr>
      <w:tr>
        <w:tc>
          <w:tcPr>
            <w:tcW w:type="dxa" w:w="1425"/>
          </w:tcPr>
          <w:p>
            <w:pPr>
              <w:spacing w:after="0" w:line="240" w:lineRule="auto"/>
              <w:ind w:firstLine="0"/>
              <w:jc w:val="left"/>
            </w:pPr>
            <w:r>
              <w:rPr>
                <w:b/>
                <w:i w:val="0"/>
                <w:sz w:val="20"/>
              </w:rPr>
              <w:t>Всего</w:t>
            </w:r>
          </w:p>
        </w:tc>
        <w:tc>
          <w:tcPr>
            <w:tcW w:type="dxa" w:w="1425"/>
          </w:tcPr>
          <w:p>
            <w:pPr>
              <w:spacing w:after="0" w:line="240" w:lineRule="auto"/>
              <w:ind w:firstLine="0"/>
              <w:jc w:val="center"/>
            </w:pPr>
            <w:r>
              <w:rPr>
                <w:b/>
                <w:i w:val="0"/>
                <w:sz w:val="20"/>
              </w:rPr>
              <w:t>4 050</w:t>
            </w:r>
          </w:p>
        </w:tc>
        <w:tc>
          <w:tcPr>
            <w:tcW w:type="dxa" w:w="1425"/>
          </w:tcPr>
          <w:p>
            <w:pPr>
              <w:spacing w:after="0" w:line="240" w:lineRule="auto"/>
              <w:ind w:firstLine="0"/>
              <w:jc w:val="center"/>
            </w:pPr>
            <w:r>
              <w:rPr>
                <w:b/>
                <w:i w:val="0"/>
                <w:sz w:val="20"/>
              </w:rPr>
              <w:t>3 780</w:t>
            </w:r>
          </w:p>
        </w:tc>
        <w:tc>
          <w:tcPr>
            <w:tcW w:type="dxa" w:w="1425"/>
          </w:tcPr>
          <w:p>
            <w:pPr>
              <w:spacing w:after="0" w:line="240" w:lineRule="auto"/>
              <w:ind w:firstLine="0"/>
              <w:jc w:val="center"/>
            </w:pPr>
            <w:r>
              <w:rPr>
                <w:b/>
                <w:i w:val="0"/>
                <w:sz w:val="20"/>
              </w:rPr>
              <w:t>3 650</w:t>
            </w:r>
          </w:p>
        </w:tc>
        <w:tc>
          <w:tcPr>
            <w:tcW w:type="dxa" w:w="1425"/>
          </w:tcPr>
          <w:p>
            <w:pPr>
              <w:spacing w:after="0" w:line="240" w:lineRule="auto"/>
              <w:ind w:firstLine="0"/>
              <w:jc w:val="center"/>
            </w:pPr>
            <w:r>
              <w:rPr>
                <w:b/>
                <w:i w:val="0"/>
                <w:sz w:val="20"/>
              </w:rPr>
              <w:t>3 100</w:t>
            </w:r>
          </w:p>
        </w:tc>
        <w:tc>
          <w:tcPr>
            <w:tcW w:type="dxa" w:w="1425"/>
          </w:tcPr>
          <w:p>
            <w:pPr>
              <w:spacing w:after="0" w:line="240" w:lineRule="auto"/>
              <w:ind w:firstLine="0"/>
              <w:jc w:val="center"/>
            </w:pPr>
            <w:r>
              <w:rPr>
                <w:b/>
                <w:i w:val="0"/>
                <w:sz w:val="20"/>
              </w:rPr>
              <w:t>2 850</w:t>
            </w:r>
          </w:p>
        </w:tc>
        <w:tc>
          <w:tcPr>
            <w:tcW w:type="dxa" w:w="1425"/>
          </w:tcPr>
          <w:p>
            <w:pPr>
              <w:spacing w:after="0" w:line="240" w:lineRule="auto"/>
              <w:ind w:firstLine="0"/>
              <w:jc w:val="center"/>
            </w:pPr>
            <w:r>
              <w:rPr>
                <w:b/>
                <w:i w:val="0"/>
                <w:sz w:val="20"/>
              </w:rPr>
              <w:t>3 200</w:t>
            </w:r>
          </w:p>
        </w:tc>
      </w:tr>
    </w:tbl>
    <w:p>
      <w:pPr>
        <w:spacing w:after="180"/>
        <w:ind w:firstLine="0"/>
      </w:pPr>
      <w:r>
        <w:rPr>
          <w:i/>
          <w:sz w:val="20"/>
        </w:rPr>
        <w:t>Источник: ФТС России; зеркальная статистика; расчёт аналитического центра</w:t>
      </w:r>
    </w:p>
    <w:p>
      <w:pPr>
        <w:keepNext/>
        <w:spacing w:before="160" w:after="60"/>
        <w:ind w:firstLine="0"/>
        <w:jc w:val="left"/>
      </w:pPr>
      <w:r>
        <w:rPr>
          <w:b/>
          <w:sz w:val="22"/>
        </w:rPr>
        <w:t>Рисунок 68. Географическая структура экспорта редкоземельной продукции из РФ, 2018–2025 гг., т</w:t>
      </w:r>
    </w:p>
    <w:p>
      <w:pPr>
        <w:ind w:firstLine="0"/>
        <w:jc w:val="center"/>
      </w:pPr>
      <w:r>
        <w:drawing>
          <wp:inline xmlns:a="http://schemas.openxmlformats.org/drawingml/2006/main" xmlns:pic="http://schemas.openxmlformats.org/drawingml/2006/picture">
            <wp:extent cx="5580000" cy="2729348"/>
            <wp:docPr id="68" name="Picture 68"/>
            <wp:cNvGraphicFramePr>
              <a:graphicFrameLocks noChangeAspect="1"/>
            </wp:cNvGraphicFramePr>
            <a:graphic>
              <a:graphicData uri="http://schemas.openxmlformats.org/drawingml/2006/picture">
                <pic:pic>
                  <pic:nvPicPr>
                    <pic:cNvPr id="0" name="fig68.png"/>
                    <pic:cNvPicPr/>
                  </pic:nvPicPr>
                  <pic:blipFill>
                    <a:blip r:embed="rId78"/>
                    <a:stretch>
                      <a:fillRect/>
                    </a:stretch>
                  </pic:blipFill>
                  <pic:spPr>
                    <a:xfrm>
                      <a:off x="0" y="0"/>
                      <a:ext cx="5580000" cy="2729348"/>
                    </a:xfrm>
                    <a:prstGeom prst="rect"/>
                  </pic:spPr>
                </pic:pic>
              </a:graphicData>
            </a:graphic>
          </wp:inline>
        </w:drawing>
      </w:r>
    </w:p>
    <w:p>
      <w:pPr>
        <w:spacing w:after="180"/>
        <w:ind w:firstLine="0"/>
      </w:pPr>
      <w:r>
        <w:rPr>
          <w:i/>
          <w:sz w:val="20"/>
        </w:rPr>
        <w:t>Источник: аналитический центр (табл. 90)</w:t>
      </w:r>
    </w:p>
    <w:p>
      <w:r>
        <w:rPr>
          <w:b w:val="0"/>
          <w:i w:val="0"/>
        </w:rPr>
        <w:t>Переориентация экспорта на Китай, произошедшая в 2022–2023 гг., имеет неоднозначные последствия. С одной стороны, она обеспечила сохранение сбыта и загрузки производства. С другой — Россия из поставщика сырья для европейской перерабатывающей цепочки превратилась в поставщика сырья для главного мирового конкурента, усиливая его позиции. При этом переговорная позиция российского поставщика ослабла: если Neo Performance Materials критически зависела от российского карбоната (он составлял основу загрузки завода в Силламяэ), то для китайской перерабатывающей отрасли 1,5 тыс. т TREO составляют менее 0,5% сырьевого баланса.</w:t>
      </w:r>
    </w:p>
    <w:p>
      <w:r>
        <w:rPr>
          <w:b w:val="0"/>
          <w:i w:val="0"/>
        </w:rPr>
        <w:t>Экономический результат этого сдвига виден в динамике средней цены: в 2023–2024 гг. она снизилась до 6,1–6,8 долл./кг физического веса против 9,0 долл./кг в 2022 г., несмотря на сопоставимую конъюнктуру мирового рынка.</w:t>
      </w:r>
    </w:p>
    <w:p>
      <w:pPr>
        <w:pStyle w:val="Heading2"/>
      </w:pPr>
      <w:r>
        <w:rPr>
          <w:b w:val="0"/>
          <w:i w:val="0"/>
        </w:rPr>
        <w:t>13.3. Импорт редкоземельной продукции</w:t>
      </w:r>
    </w:p>
    <w:p>
      <w:r>
        <w:rPr>
          <w:b w:val="0"/>
          <w:i w:val="0"/>
        </w:rPr>
        <w:t>Импорт представляет собой существенно более значимую часть внешнеторгового баланса России по редкоземельной продукции — как по стоимости, так и по стратегическому значению. Страна, располагающая крупнейшими запасами и экспортирующая сырьё, импортирует практически всю номенклатуру продукции высоких переделов.</w:t>
      </w:r>
    </w:p>
    <w:p>
      <w:r>
        <w:rPr>
          <w:b/>
          <w:i w:val="0"/>
        </w:rPr>
        <w:t>Структура импорта:</w:t>
      </w:r>
    </w:p>
    <w:p>
      <w:pPr>
        <w:pStyle w:val="ListNumber"/>
        <w:spacing w:after="20"/>
        <w:ind w:firstLine="0"/>
      </w:pPr>
      <w:r>
        <w:rPr>
          <w:b/>
          <w:i w:val="0"/>
        </w:rPr>
        <w:t>Постоянные магниты</w:t>
      </w:r>
      <w:r>
        <w:rPr>
          <w:b w:val="0"/>
          <w:i w:val="0"/>
        </w:rPr>
        <w:t xml:space="preserve"> — крупнейшая позиция по стоимости. Импортируются как отдельные магниты, так и магнитные системы и сборки, а также готовые изделия, содержащие магниты (электродвигатели, генераторы, приводы). Основной поставщик — КНР (свыше 90%).</w:t>
      </w:r>
    </w:p>
    <w:p>
      <w:pPr>
        <w:pStyle w:val="ListNumber"/>
        <w:spacing w:after="20"/>
        <w:ind w:firstLine="0"/>
      </w:pPr>
      <w:r>
        <w:rPr>
          <w:b/>
          <w:i w:val="0"/>
        </w:rPr>
        <w:t>Индивидуальные оксиды и соли РЗМ</w:t>
      </w:r>
      <w:r>
        <w:rPr>
          <w:b w:val="0"/>
          <w:i w:val="0"/>
        </w:rPr>
        <w:t xml:space="preserve"> — для стекольной, керамической, катализаторной, оптической промышленности, а также для атомной отрасли (гадолиний, самарий, европий).</w:t>
      </w:r>
    </w:p>
    <w:p>
      <w:pPr>
        <w:pStyle w:val="ListNumber"/>
        <w:spacing w:after="20"/>
        <w:ind w:firstLine="0"/>
      </w:pPr>
      <w:r>
        <w:rPr>
          <w:b/>
          <w:i w:val="0"/>
        </w:rPr>
        <w:t>Полировальные материалы</w:t>
      </w:r>
      <w:r>
        <w:rPr>
          <w:b w:val="0"/>
          <w:i w:val="0"/>
        </w:rPr>
        <w:t xml:space="preserve"> на основе оксида церия.</w:t>
      </w:r>
    </w:p>
    <w:p>
      <w:pPr>
        <w:pStyle w:val="ListNumber"/>
        <w:spacing w:after="20"/>
        <w:ind w:firstLine="0"/>
      </w:pPr>
      <w:r>
        <w:rPr>
          <w:b/>
          <w:i w:val="0"/>
        </w:rPr>
        <w:t>Люминофоры и оптические материалы.</w:t>
      </w:r>
    </w:p>
    <w:p>
      <w:pPr>
        <w:pStyle w:val="ListNumber"/>
        <w:spacing w:after="20"/>
        <w:ind w:firstLine="0"/>
      </w:pPr>
      <w:r>
        <w:rPr>
          <w:b/>
          <w:i w:val="0"/>
        </w:rPr>
        <w:t>Лигатуры и металлы</w:t>
      </w:r>
      <w:r>
        <w:rPr>
          <w:b w:val="0"/>
          <w:i w:val="0"/>
        </w:rPr>
        <w:t xml:space="preserve"> для металлургии.</w:t>
      </w:r>
    </w:p>
    <w:p>
      <w:pPr>
        <w:pStyle w:val="ListNumber"/>
        <w:spacing w:after="20"/>
        <w:ind w:firstLine="0"/>
      </w:pPr>
      <w:r>
        <w:rPr>
          <w:b/>
          <w:i w:val="0"/>
        </w:rPr>
        <w:t>Катализаторы</w:t>
      </w:r>
      <w:r>
        <w:rPr>
          <w:b w:val="0"/>
          <w:i w:val="0"/>
        </w:rPr>
        <w:t xml:space="preserve"> с редкоземельными компонентами.</w:t>
      </w:r>
    </w:p>
    <w:p>
      <w:pPr>
        <w:keepNext/>
        <w:spacing w:before="160" w:after="60"/>
        <w:ind w:firstLine="0"/>
        <w:jc w:val="left"/>
      </w:pPr>
      <w:r>
        <w:rPr>
          <w:b/>
          <w:sz w:val="22"/>
        </w:rPr>
        <w:t>Таблица 91. Импорт редкоземельной продукции в Российскую Федерацию по товарным группам, 2018–2025 гг., т</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Товарная группа</w:t>
            </w:r>
          </w:p>
        </w:tc>
        <w:tc>
          <w:tcPr>
            <w:tcW w:type="dxa" w:w="1425"/>
            <w:shd w:val="clear" w:fill="DCE6F1"/>
          </w:tcPr>
          <w:p>
            <w:pPr>
              <w:spacing w:after="0" w:line="240" w:lineRule="auto"/>
              <w:ind w:firstLine="0"/>
              <w:jc w:val="center"/>
            </w:pPr>
            <w:r>
              <w:rPr>
                <w:b/>
                <w:i w:val="0"/>
                <w:sz w:val="20"/>
              </w:rPr>
              <w:t>2018</w:t>
            </w:r>
          </w:p>
        </w:tc>
        <w:tc>
          <w:tcPr>
            <w:tcW w:type="dxa" w:w="1425"/>
            <w:shd w:val="clear" w:fill="DCE6F1"/>
          </w:tcPr>
          <w:p>
            <w:pPr>
              <w:spacing w:after="0" w:line="240" w:lineRule="auto"/>
              <w:ind w:firstLine="0"/>
              <w:jc w:val="center"/>
            </w:pPr>
            <w:r>
              <w:rPr>
                <w:b/>
                <w:i w:val="0"/>
                <w:sz w:val="20"/>
              </w:rPr>
              <w:t>2020</w:t>
            </w:r>
          </w:p>
        </w:tc>
        <w:tc>
          <w:tcPr>
            <w:tcW w:type="dxa" w:w="1425"/>
            <w:shd w:val="clear" w:fill="DCE6F1"/>
          </w:tcPr>
          <w:p>
            <w:pPr>
              <w:spacing w:after="0" w:line="240" w:lineRule="auto"/>
              <w:ind w:firstLine="0"/>
              <w:jc w:val="center"/>
            </w:pPr>
            <w:r>
              <w:rPr>
                <w:b/>
                <w:i w:val="0"/>
                <w:sz w:val="20"/>
              </w:rPr>
              <w:t>2021</w:t>
            </w:r>
          </w:p>
        </w:tc>
        <w:tc>
          <w:tcPr>
            <w:tcW w:type="dxa" w:w="1425"/>
            <w:shd w:val="clear" w:fill="DCE6F1"/>
          </w:tcPr>
          <w:p>
            <w:pPr>
              <w:spacing w:after="0" w:line="240" w:lineRule="auto"/>
              <w:ind w:firstLine="0"/>
              <w:jc w:val="center"/>
            </w:pPr>
            <w:r>
              <w:rPr>
                <w:b/>
                <w:i w:val="0"/>
                <w:sz w:val="20"/>
              </w:rPr>
              <w:t>2022</w:t>
            </w:r>
          </w:p>
        </w:tc>
        <w:tc>
          <w:tcPr>
            <w:tcW w:type="dxa" w:w="1425"/>
            <w:shd w:val="clear" w:fill="DCE6F1"/>
          </w:tcPr>
          <w:p>
            <w:pPr>
              <w:spacing w:after="0" w:line="240" w:lineRule="auto"/>
              <w:ind w:firstLine="0"/>
              <w:jc w:val="center"/>
            </w:pPr>
            <w:r>
              <w:rPr>
                <w:b/>
                <w:i w:val="0"/>
                <w:sz w:val="20"/>
              </w:rPr>
              <w:t>2023</w:t>
            </w:r>
          </w:p>
        </w:tc>
        <w:tc>
          <w:tcPr>
            <w:tcW w:type="dxa" w:w="1425"/>
            <w:shd w:val="clear" w:fill="DCE6F1"/>
          </w:tcPr>
          <w:p>
            <w:pPr>
              <w:spacing w:after="0" w:line="240" w:lineRule="auto"/>
              <w:ind w:firstLine="0"/>
              <w:jc w:val="center"/>
            </w:pPr>
            <w:r>
              <w:rPr>
                <w:b/>
                <w:i w:val="0"/>
                <w:sz w:val="20"/>
              </w:rPr>
              <w:t>2025 (оц.)</w:t>
            </w:r>
          </w:p>
        </w:tc>
      </w:tr>
      <w:tr>
        <w:tc>
          <w:tcPr>
            <w:tcW w:type="dxa" w:w="1425"/>
          </w:tcPr>
          <w:p>
            <w:pPr>
              <w:spacing w:after="0" w:line="240" w:lineRule="auto"/>
              <w:ind w:firstLine="0"/>
              <w:jc w:val="left"/>
            </w:pPr>
            <w:r>
              <w:rPr>
                <w:b w:val="0"/>
                <w:i w:val="0"/>
                <w:sz w:val="20"/>
              </w:rPr>
              <w:t>Постоянные магниты РЗМ</w:t>
            </w:r>
          </w:p>
        </w:tc>
        <w:tc>
          <w:tcPr>
            <w:tcW w:type="dxa" w:w="1425"/>
          </w:tcPr>
          <w:p>
            <w:pPr>
              <w:spacing w:after="0" w:line="240" w:lineRule="auto"/>
              <w:ind w:firstLine="0"/>
              <w:jc w:val="center"/>
            </w:pPr>
            <w:r>
              <w:rPr>
                <w:b w:val="0"/>
                <w:i w:val="0"/>
                <w:sz w:val="20"/>
              </w:rPr>
              <w:t>3 200</w:t>
            </w:r>
          </w:p>
        </w:tc>
        <w:tc>
          <w:tcPr>
            <w:tcW w:type="dxa" w:w="1425"/>
          </w:tcPr>
          <w:p>
            <w:pPr>
              <w:spacing w:after="0" w:line="240" w:lineRule="auto"/>
              <w:ind w:firstLine="0"/>
              <w:jc w:val="center"/>
            </w:pPr>
            <w:r>
              <w:rPr>
                <w:b w:val="0"/>
                <w:i w:val="0"/>
                <w:sz w:val="20"/>
              </w:rPr>
              <w:t>3 650</w:t>
            </w:r>
          </w:p>
        </w:tc>
        <w:tc>
          <w:tcPr>
            <w:tcW w:type="dxa" w:w="1425"/>
          </w:tcPr>
          <w:p>
            <w:pPr>
              <w:spacing w:after="0" w:line="240" w:lineRule="auto"/>
              <w:ind w:firstLine="0"/>
              <w:jc w:val="center"/>
            </w:pPr>
            <w:r>
              <w:rPr>
                <w:b w:val="0"/>
                <w:i w:val="0"/>
                <w:sz w:val="20"/>
              </w:rPr>
              <w:t>4 100</w:t>
            </w:r>
          </w:p>
        </w:tc>
        <w:tc>
          <w:tcPr>
            <w:tcW w:type="dxa" w:w="1425"/>
          </w:tcPr>
          <w:p>
            <w:pPr>
              <w:spacing w:after="0" w:line="240" w:lineRule="auto"/>
              <w:ind w:firstLine="0"/>
              <w:jc w:val="center"/>
            </w:pPr>
            <w:r>
              <w:rPr>
                <w:b w:val="0"/>
                <w:i w:val="0"/>
                <w:sz w:val="20"/>
              </w:rPr>
              <w:t>3 400</w:t>
            </w:r>
          </w:p>
        </w:tc>
        <w:tc>
          <w:tcPr>
            <w:tcW w:type="dxa" w:w="1425"/>
          </w:tcPr>
          <w:p>
            <w:pPr>
              <w:spacing w:after="0" w:line="240" w:lineRule="auto"/>
              <w:ind w:firstLine="0"/>
              <w:jc w:val="center"/>
            </w:pPr>
            <w:r>
              <w:rPr>
                <w:b w:val="0"/>
                <w:i w:val="0"/>
                <w:sz w:val="20"/>
              </w:rPr>
              <w:t>4 800</w:t>
            </w:r>
          </w:p>
        </w:tc>
        <w:tc>
          <w:tcPr>
            <w:tcW w:type="dxa" w:w="1425"/>
          </w:tcPr>
          <w:p>
            <w:pPr>
              <w:spacing w:after="0" w:line="240" w:lineRule="auto"/>
              <w:ind w:firstLine="0"/>
              <w:jc w:val="center"/>
            </w:pPr>
            <w:r>
              <w:rPr>
                <w:b w:val="0"/>
                <w:i w:val="0"/>
                <w:sz w:val="20"/>
              </w:rPr>
              <w:t>5 600</w:t>
            </w:r>
          </w:p>
        </w:tc>
      </w:tr>
      <w:tr>
        <w:tc>
          <w:tcPr>
            <w:tcW w:type="dxa" w:w="1425"/>
          </w:tcPr>
          <w:p>
            <w:pPr>
              <w:spacing w:after="0" w:line="240" w:lineRule="auto"/>
              <w:ind w:firstLine="0"/>
              <w:jc w:val="left"/>
            </w:pPr>
            <w:r>
              <w:rPr>
                <w:b w:val="0"/>
                <w:i w:val="0"/>
                <w:sz w:val="20"/>
              </w:rPr>
              <w:t>Оксиды и соли РЗМ</w:t>
            </w:r>
          </w:p>
        </w:tc>
        <w:tc>
          <w:tcPr>
            <w:tcW w:type="dxa" w:w="1425"/>
          </w:tcPr>
          <w:p>
            <w:pPr>
              <w:spacing w:after="0" w:line="240" w:lineRule="auto"/>
              <w:ind w:firstLine="0"/>
              <w:jc w:val="center"/>
            </w:pPr>
            <w:r>
              <w:rPr>
                <w:b w:val="0"/>
                <w:i w:val="0"/>
                <w:sz w:val="20"/>
              </w:rPr>
              <w:t>1 250</w:t>
            </w:r>
          </w:p>
        </w:tc>
        <w:tc>
          <w:tcPr>
            <w:tcW w:type="dxa" w:w="1425"/>
          </w:tcPr>
          <w:p>
            <w:pPr>
              <w:spacing w:after="0" w:line="240" w:lineRule="auto"/>
              <w:ind w:firstLine="0"/>
              <w:jc w:val="center"/>
            </w:pPr>
            <w:r>
              <w:rPr>
                <w:b w:val="0"/>
                <w:i w:val="0"/>
                <w:sz w:val="20"/>
              </w:rPr>
              <w:t>1 380</w:t>
            </w:r>
          </w:p>
        </w:tc>
        <w:tc>
          <w:tcPr>
            <w:tcW w:type="dxa" w:w="1425"/>
          </w:tcPr>
          <w:p>
            <w:pPr>
              <w:spacing w:after="0" w:line="240" w:lineRule="auto"/>
              <w:ind w:firstLine="0"/>
              <w:jc w:val="center"/>
            </w:pPr>
            <w:r>
              <w:rPr>
                <w:b w:val="0"/>
                <w:i w:val="0"/>
                <w:sz w:val="20"/>
              </w:rPr>
              <w:t>1 520</w:t>
            </w:r>
          </w:p>
        </w:tc>
        <w:tc>
          <w:tcPr>
            <w:tcW w:type="dxa" w:w="1425"/>
          </w:tcPr>
          <w:p>
            <w:pPr>
              <w:spacing w:after="0" w:line="240" w:lineRule="auto"/>
              <w:ind w:firstLine="0"/>
              <w:jc w:val="center"/>
            </w:pPr>
            <w:r>
              <w:rPr>
                <w:b w:val="0"/>
                <w:i w:val="0"/>
                <w:sz w:val="20"/>
              </w:rPr>
              <w:t>1 180</w:t>
            </w:r>
          </w:p>
        </w:tc>
        <w:tc>
          <w:tcPr>
            <w:tcW w:type="dxa" w:w="1425"/>
          </w:tcPr>
          <w:p>
            <w:pPr>
              <w:spacing w:after="0" w:line="240" w:lineRule="auto"/>
              <w:ind w:firstLine="0"/>
              <w:jc w:val="center"/>
            </w:pPr>
            <w:r>
              <w:rPr>
                <w:b w:val="0"/>
                <w:i w:val="0"/>
                <w:sz w:val="20"/>
              </w:rPr>
              <w:t>1 450</w:t>
            </w:r>
          </w:p>
        </w:tc>
        <w:tc>
          <w:tcPr>
            <w:tcW w:type="dxa" w:w="1425"/>
          </w:tcPr>
          <w:p>
            <w:pPr>
              <w:spacing w:after="0" w:line="240" w:lineRule="auto"/>
              <w:ind w:firstLine="0"/>
              <w:jc w:val="center"/>
            </w:pPr>
            <w:r>
              <w:rPr>
                <w:b w:val="0"/>
                <w:i w:val="0"/>
                <w:sz w:val="20"/>
              </w:rPr>
              <w:t>1 700</w:t>
            </w:r>
          </w:p>
        </w:tc>
      </w:tr>
      <w:tr>
        <w:tc>
          <w:tcPr>
            <w:tcW w:type="dxa" w:w="1425"/>
          </w:tcPr>
          <w:p>
            <w:pPr>
              <w:spacing w:after="0" w:line="240" w:lineRule="auto"/>
              <w:ind w:firstLine="0"/>
              <w:jc w:val="left"/>
            </w:pPr>
            <w:r>
              <w:rPr>
                <w:b w:val="0"/>
                <w:i w:val="0"/>
                <w:sz w:val="20"/>
              </w:rPr>
              <w:t>Полировальные материалы</w:t>
            </w:r>
          </w:p>
        </w:tc>
        <w:tc>
          <w:tcPr>
            <w:tcW w:type="dxa" w:w="1425"/>
          </w:tcPr>
          <w:p>
            <w:pPr>
              <w:spacing w:after="0" w:line="240" w:lineRule="auto"/>
              <w:ind w:firstLine="0"/>
              <w:jc w:val="center"/>
            </w:pPr>
            <w:r>
              <w:rPr>
                <w:b w:val="0"/>
                <w:i w:val="0"/>
                <w:sz w:val="20"/>
              </w:rPr>
              <w:t>780</w:t>
            </w:r>
          </w:p>
        </w:tc>
        <w:tc>
          <w:tcPr>
            <w:tcW w:type="dxa" w:w="1425"/>
          </w:tcPr>
          <w:p>
            <w:pPr>
              <w:spacing w:after="0" w:line="240" w:lineRule="auto"/>
              <w:ind w:firstLine="0"/>
              <w:jc w:val="center"/>
            </w:pPr>
            <w:r>
              <w:rPr>
                <w:b w:val="0"/>
                <w:i w:val="0"/>
                <w:sz w:val="20"/>
              </w:rPr>
              <w:t>850</w:t>
            </w:r>
          </w:p>
        </w:tc>
        <w:tc>
          <w:tcPr>
            <w:tcW w:type="dxa" w:w="1425"/>
          </w:tcPr>
          <w:p>
            <w:pPr>
              <w:spacing w:after="0" w:line="240" w:lineRule="auto"/>
              <w:ind w:firstLine="0"/>
              <w:jc w:val="center"/>
            </w:pPr>
            <w:r>
              <w:rPr>
                <w:b w:val="0"/>
                <w:i w:val="0"/>
                <w:sz w:val="20"/>
              </w:rPr>
              <w:t>920</w:t>
            </w:r>
          </w:p>
        </w:tc>
        <w:tc>
          <w:tcPr>
            <w:tcW w:type="dxa" w:w="1425"/>
          </w:tcPr>
          <w:p>
            <w:pPr>
              <w:spacing w:after="0" w:line="240" w:lineRule="auto"/>
              <w:ind w:firstLine="0"/>
              <w:jc w:val="center"/>
            </w:pPr>
            <w:r>
              <w:rPr>
                <w:b w:val="0"/>
                <w:i w:val="0"/>
                <w:sz w:val="20"/>
              </w:rPr>
              <w:t>690</w:t>
            </w:r>
          </w:p>
        </w:tc>
        <w:tc>
          <w:tcPr>
            <w:tcW w:type="dxa" w:w="1425"/>
          </w:tcPr>
          <w:p>
            <w:pPr>
              <w:spacing w:after="0" w:line="240" w:lineRule="auto"/>
              <w:ind w:firstLine="0"/>
              <w:jc w:val="center"/>
            </w:pPr>
            <w:r>
              <w:rPr>
                <w:b w:val="0"/>
                <w:i w:val="0"/>
                <w:sz w:val="20"/>
              </w:rPr>
              <w:t>810</w:t>
            </w:r>
          </w:p>
        </w:tc>
        <w:tc>
          <w:tcPr>
            <w:tcW w:type="dxa" w:w="1425"/>
          </w:tcPr>
          <w:p>
            <w:pPr>
              <w:spacing w:after="0" w:line="240" w:lineRule="auto"/>
              <w:ind w:firstLine="0"/>
              <w:jc w:val="center"/>
            </w:pPr>
            <w:r>
              <w:rPr>
                <w:b w:val="0"/>
                <w:i w:val="0"/>
                <w:sz w:val="20"/>
              </w:rPr>
              <w:t>950</w:t>
            </w:r>
          </w:p>
        </w:tc>
      </w:tr>
      <w:tr>
        <w:tc>
          <w:tcPr>
            <w:tcW w:type="dxa" w:w="1425"/>
          </w:tcPr>
          <w:p>
            <w:pPr>
              <w:spacing w:after="0" w:line="240" w:lineRule="auto"/>
              <w:ind w:firstLine="0"/>
              <w:jc w:val="left"/>
            </w:pPr>
            <w:r>
              <w:rPr>
                <w:b w:val="0"/>
                <w:i w:val="0"/>
                <w:sz w:val="20"/>
              </w:rPr>
              <w:t>Металлы и лигатуры</w:t>
            </w:r>
          </w:p>
        </w:tc>
        <w:tc>
          <w:tcPr>
            <w:tcW w:type="dxa" w:w="1425"/>
          </w:tcPr>
          <w:p>
            <w:pPr>
              <w:spacing w:after="0" w:line="240" w:lineRule="auto"/>
              <w:ind w:firstLine="0"/>
              <w:jc w:val="center"/>
            </w:pPr>
            <w:r>
              <w:rPr>
                <w:b w:val="0"/>
                <w:i w:val="0"/>
                <w:sz w:val="20"/>
              </w:rPr>
              <w:t>210</w:t>
            </w:r>
          </w:p>
        </w:tc>
        <w:tc>
          <w:tcPr>
            <w:tcW w:type="dxa" w:w="1425"/>
          </w:tcPr>
          <w:p>
            <w:pPr>
              <w:spacing w:after="0" w:line="240" w:lineRule="auto"/>
              <w:ind w:firstLine="0"/>
              <w:jc w:val="center"/>
            </w:pPr>
            <w:r>
              <w:rPr>
                <w:b w:val="0"/>
                <w:i w:val="0"/>
                <w:sz w:val="20"/>
              </w:rPr>
              <w:t>240</w:t>
            </w:r>
          </w:p>
        </w:tc>
        <w:tc>
          <w:tcPr>
            <w:tcW w:type="dxa" w:w="1425"/>
          </w:tcPr>
          <w:p>
            <w:pPr>
              <w:spacing w:after="0" w:line="240" w:lineRule="auto"/>
              <w:ind w:firstLine="0"/>
              <w:jc w:val="center"/>
            </w:pPr>
            <w:r>
              <w:rPr>
                <w:b w:val="0"/>
                <w:i w:val="0"/>
                <w:sz w:val="20"/>
              </w:rPr>
              <w:t>275</w:t>
            </w:r>
          </w:p>
        </w:tc>
        <w:tc>
          <w:tcPr>
            <w:tcW w:type="dxa" w:w="1425"/>
          </w:tcPr>
          <w:p>
            <w:pPr>
              <w:spacing w:after="0" w:line="240" w:lineRule="auto"/>
              <w:ind w:firstLine="0"/>
              <w:jc w:val="center"/>
            </w:pPr>
            <w:r>
              <w:rPr>
                <w:b w:val="0"/>
                <w:i w:val="0"/>
                <w:sz w:val="20"/>
              </w:rPr>
              <w:t>195</w:t>
            </w:r>
          </w:p>
        </w:tc>
        <w:tc>
          <w:tcPr>
            <w:tcW w:type="dxa" w:w="1425"/>
          </w:tcPr>
          <w:p>
            <w:pPr>
              <w:spacing w:after="0" w:line="240" w:lineRule="auto"/>
              <w:ind w:firstLine="0"/>
              <w:jc w:val="center"/>
            </w:pPr>
            <w:r>
              <w:rPr>
                <w:b w:val="0"/>
                <w:i w:val="0"/>
                <w:sz w:val="20"/>
              </w:rPr>
              <w:t>265</w:t>
            </w:r>
          </w:p>
        </w:tc>
        <w:tc>
          <w:tcPr>
            <w:tcW w:type="dxa" w:w="1425"/>
          </w:tcPr>
          <w:p>
            <w:pPr>
              <w:spacing w:after="0" w:line="240" w:lineRule="auto"/>
              <w:ind w:firstLine="0"/>
              <w:jc w:val="center"/>
            </w:pPr>
            <w:r>
              <w:rPr>
                <w:b w:val="0"/>
                <w:i w:val="0"/>
                <w:sz w:val="20"/>
              </w:rPr>
              <w:t>320</w:t>
            </w:r>
          </w:p>
        </w:tc>
      </w:tr>
      <w:tr>
        <w:tc>
          <w:tcPr>
            <w:tcW w:type="dxa" w:w="1425"/>
          </w:tcPr>
          <w:p>
            <w:pPr>
              <w:spacing w:after="0" w:line="240" w:lineRule="auto"/>
              <w:ind w:firstLine="0"/>
              <w:jc w:val="left"/>
            </w:pPr>
            <w:r>
              <w:rPr>
                <w:b w:val="0"/>
                <w:i w:val="0"/>
                <w:sz w:val="20"/>
              </w:rPr>
              <w:t>Люминофоры и оптич. материалы</w:t>
            </w:r>
          </w:p>
        </w:tc>
        <w:tc>
          <w:tcPr>
            <w:tcW w:type="dxa" w:w="1425"/>
          </w:tcPr>
          <w:p>
            <w:pPr>
              <w:spacing w:after="0" w:line="240" w:lineRule="auto"/>
              <w:ind w:firstLine="0"/>
              <w:jc w:val="center"/>
            </w:pPr>
            <w:r>
              <w:rPr>
                <w:b w:val="0"/>
                <w:i w:val="0"/>
                <w:sz w:val="20"/>
              </w:rPr>
              <w:t>95</w:t>
            </w:r>
          </w:p>
        </w:tc>
        <w:tc>
          <w:tcPr>
            <w:tcW w:type="dxa" w:w="1425"/>
          </w:tcPr>
          <w:p>
            <w:pPr>
              <w:spacing w:after="0" w:line="240" w:lineRule="auto"/>
              <w:ind w:firstLine="0"/>
              <w:jc w:val="center"/>
            </w:pPr>
            <w:r>
              <w:rPr>
                <w:b w:val="0"/>
                <w:i w:val="0"/>
                <w:sz w:val="20"/>
              </w:rPr>
              <w:t>82</w:t>
            </w:r>
          </w:p>
        </w:tc>
        <w:tc>
          <w:tcPr>
            <w:tcW w:type="dxa" w:w="1425"/>
          </w:tcPr>
          <w:p>
            <w:pPr>
              <w:spacing w:after="0" w:line="240" w:lineRule="auto"/>
              <w:ind w:firstLine="0"/>
              <w:jc w:val="center"/>
            </w:pPr>
            <w:r>
              <w:rPr>
                <w:b w:val="0"/>
                <w:i w:val="0"/>
                <w:sz w:val="20"/>
              </w:rPr>
              <w:t>78</w:t>
            </w:r>
          </w:p>
        </w:tc>
        <w:tc>
          <w:tcPr>
            <w:tcW w:type="dxa" w:w="1425"/>
          </w:tcPr>
          <w:p>
            <w:pPr>
              <w:spacing w:after="0" w:line="240" w:lineRule="auto"/>
              <w:ind w:firstLine="0"/>
              <w:jc w:val="center"/>
            </w:pPr>
            <w:r>
              <w:rPr>
                <w:b w:val="0"/>
                <w:i w:val="0"/>
                <w:sz w:val="20"/>
              </w:rPr>
              <w:t>55</w:t>
            </w:r>
          </w:p>
        </w:tc>
        <w:tc>
          <w:tcPr>
            <w:tcW w:type="dxa" w:w="1425"/>
          </w:tcPr>
          <w:p>
            <w:pPr>
              <w:spacing w:after="0" w:line="240" w:lineRule="auto"/>
              <w:ind w:firstLine="0"/>
              <w:jc w:val="center"/>
            </w:pPr>
            <w:r>
              <w:rPr>
                <w:b w:val="0"/>
                <w:i w:val="0"/>
                <w:sz w:val="20"/>
              </w:rPr>
              <w:t>68</w:t>
            </w:r>
          </w:p>
        </w:tc>
        <w:tc>
          <w:tcPr>
            <w:tcW w:type="dxa" w:w="1425"/>
          </w:tcPr>
          <w:p>
            <w:pPr>
              <w:spacing w:after="0" w:line="240" w:lineRule="auto"/>
              <w:ind w:firstLine="0"/>
              <w:jc w:val="center"/>
            </w:pPr>
            <w:r>
              <w:rPr>
                <w:b w:val="0"/>
                <w:i w:val="0"/>
                <w:sz w:val="20"/>
              </w:rPr>
              <w:t>80</w:t>
            </w:r>
          </w:p>
        </w:tc>
      </w:tr>
      <w:tr>
        <w:tc>
          <w:tcPr>
            <w:tcW w:type="dxa" w:w="1425"/>
          </w:tcPr>
          <w:p>
            <w:pPr>
              <w:spacing w:after="0" w:line="240" w:lineRule="auto"/>
              <w:ind w:firstLine="0"/>
              <w:jc w:val="left"/>
            </w:pPr>
            <w:r>
              <w:rPr>
                <w:b w:val="0"/>
                <w:i w:val="0"/>
                <w:sz w:val="20"/>
              </w:rPr>
              <w:t>Катализаторы (в пересчёте на РЗМ)</w:t>
            </w:r>
          </w:p>
        </w:tc>
        <w:tc>
          <w:tcPr>
            <w:tcW w:type="dxa" w:w="1425"/>
          </w:tcPr>
          <w:p>
            <w:pPr>
              <w:spacing w:after="0" w:line="240" w:lineRule="auto"/>
              <w:ind w:firstLine="0"/>
              <w:jc w:val="center"/>
            </w:pPr>
            <w:r>
              <w:rPr>
                <w:b w:val="0"/>
                <w:i w:val="0"/>
                <w:sz w:val="20"/>
              </w:rPr>
              <w:t>620</w:t>
            </w:r>
          </w:p>
        </w:tc>
        <w:tc>
          <w:tcPr>
            <w:tcW w:type="dxa" w:w="1425"/>
          </w:tcPr>
          <w:p>
            <w:pPr>
              <w:spacing w:after="0" w:line="240" w:lineRule="auto"/>
              <w:ind w:firstLine="0"/>
              <w:jc w:val="center"/>
            </w:pPr>
            <w:r>
              <w:rPr>
                <w:b w:val="0"/>
                <w:i w:val="0"/>
                <w:sz w:val="20"/>
              </w:rPr>
              <w:t>680</w:t>
            </w:r>
          </w:p>
        </w:tc>
        <w:tc>
          <w:tcPr>
            <w:tcW w:type="dxa" w:w="1425"/>
          </w:tcPr>
          <w:p>
            <w:pPr>
              <w:spacing w:after="0" w:line="240" w:lineRule="auto"/>
              <w:ind w:firstLine="0"/>
              <w:jc w:val="center"/>
            </w:pPr>
            <w:r>
              <w:rPr>
                <w:b w:val="0"/>
                <w:i w:val="0"/>
                <w:sz w:val="20"/>
              </w:rPr>
              <w:t>710</w:t>
            </w:r>
          </w:p>
        </w:tc>
        <w:tc>
          <w:tcPr>
            <w:tcW w:type="dxa" w:w="1425"/>
          </w:tcPr>
          <w:p>
            <w:pPr>
              <w:spacing w:after="0" w:line="240" w:lineRule="auto"/>
              <w:ind w:firstLine="0"/>
              <w:jc w:val="center"/>
            </w:pPr>
            <w:r>
              <w:rPr>
                <w:b w:val="0"/>
                <w:i w:val="0"/>
                <w:sz w:val="20"/>
              </w:rPr>
              <w:t>540</w:t>
            </w:r>
          </w:p>
        </w:tc>
        <w:tc>
          <w:tcPr>
            <w:tcW w:type="dxa" w:w="1425"/>
          </w:tcPr>
          <w:p>
            <w:pPr>
              <w:spacing w:after="0" w:line="240" w:lineRule="auto"/>
              <w:ind w:firstLine="0"/>
              <w:jc w:val="center"/>
            </w:pPr>
            <w:r>
              <w:rPr>
                <w:b w:val="0"/>
                <w:i w:val="0"/>
                <w:sz w:val="20"/>
              </w:rPr>
              <w:t>620</w:t>
            </w:r>
          </w:p>
        </w:tc>
        <w:tc>
          <w:tcPr>
            <w:tcW w:type="dxa" w:w="1425"/>
          </w:tcPr>
          <w:p>
            <w:pPr>
              <w:spacing w:after="0" w:line="240" w:lineRule="auto"/>
              <w:ind w:firstLine="0"/>
              <w:jc w:val="center"/>
            </w:pPr>
            <w:r>
              <w:rPr>
                <w:b w:val="0"/>
                <w:i w:val="0"/>
                <w:sz w:val="20"/>
              </w:rPr>
              <w:t>700</w:t>
            </w:r>
          </w:p>
        </w:tc>
      </w:tr>
      <w:tr>
        <w:tc>
          <w:tcPr>
            <w:tcW w:type="dxa" w:w="1425"/>
          </w:tcPr>
          <w:p>
            <w:pPr>
              <w:spacing w:after="0" w:line="240" w:lineRule="auto"/>
              <w:ind w:firstLine="0"/>
              <w:jc w:val="left"/>
            </w:pPr>
            <w:r>
              <w:rPr>
                <w:b/>
                <w:i w:val="0"/>
                <w:sz w:val="20"/>
              </w:rPr>
              <w:t>Всего (без магнитов), т</w:t>
            </w:r>
          </w:p>
        </w:tc>
        <w:tc>
          <w:tcPr>
            <w:tcW w:type="dxa" w:w="1425"/>
          </w:tcPr>
          <w:p>
            <w:pPr>
              <w:spacing w:after="0" w:line="240" w:lineRule="auto"/>
              <w:ind w:firstLine="0"/>
              <w:jc w:val="center"/>
            </w:pPr>
            <w:r>
              <w:rPr>
                <w:b/>
                <w:i w:val="0"/>
                <w:sz w:val="20"/>
              </w:rPr>
              <w:t>2 955</w:t>
            </w:r>
          </w:p>
        </w:tc>
        <w:tc>
          <w:tcPr>
            <w:tcW w:type="dxa" w:w="1425"/>
          </w:tcPr>
          <w:p>
            <w:pPr>
              <w:spacing w:after="0" w:line="240" w:lineRule="auto"/>
              <w:ind w:firstLine="0"/>
              <w:jc w:val="center"/>
            </w:pPr>
            <w:r>
              <w:rPr>
                <w:b/>
                <w:i w:val="0"/>
                <w:sz w:val="20"/>
              </w:rPr>
              <w:t>3 232</w:t>
            </w:r>
          </w:p>
        </w:tc>
        <w:tc>
          <w:tcPr>
            <w:tcW w:type="dxa" w:w="1425"/>
          </w:tcPr>
          <w:p>
            <w:pPr>
              <w:spacing w:after="0" w:line="240" w:lineRule="auto"/>
              <w:ind w:firstLine="0"/>
              <w:jc w:val="center"/>
            </w:pPr>
            <w:r>
              <w:rPr>
                <w:b/>
                <w:i w:val="0"/>
                <w:sz w:val="20"/>
              </w:rPr>
              <w:t>3 503</w:t>
            </w:r>
          </w:p>
        </w:tc>
        <w:tc>
          <w:tcPr>
            <w:tcW w:type="dxa" w:w="1425"/>
          </w:tcPr>
          <w:p>
            <w:pPr>
              <w:spacing w:after="0" w:line="240" w:lineRule="auto"/>
              <w:ind w:firstLine="0"/>
              <w:jc w:val="center"/>
            </w:pPr>
            <w:r>
              <w:rPr>
                <w:b/>
                <w:i w:val="0"/>
                <w:sz w:val="20"/>
              </w:rPr>
              <w:t>2 660</w:t>
            </w:r>
          </w:p>
        </w:tc>
        <w:tc>
          <w:tcPr>
            <w:tcW w:type="dxa" w:w="1425"/>
          </w:tcPr>
          <w:p>
            <w:pPr>
              <w:spacing w:after="0" w:line="240" w:lineRule="auto"/>
              <w:ind w:firstLine="0"/>
              <w:jc w:val="center"/>
            </w:pPr>
            <w:r>
              <w:rPr>
                <w:b/>
                <w:i w:val="0"/>
                <w:sz w:val="20"/>
              </w:rPr>
              <w:t>3 213</w:t>
            </w:r>
          </w:p>
        </w:tc>
        <w:tc>
          <w:tcPr>
            <w:tcW w:type="dxa" w:w="1425"/>
          </w:tcPr>
          <w:p>
            <w:pPr>
              <w:spacing w:after="0" w:line="240" w:lineRule="auto"/>
              <w:ind w:firstLine="0"/>
              <w:jc w:val="center"/>
            </w:pPr>
            <w:r>
              <w:rPr>
                <w:b/>
                <w:i w:val="0"/>
                <w:sz w:val="20"/>
              </w:rPr>
              <w:t>3 750</w:t>
            </w:r>
          </w:p>
        </w:tc>
      </w:tr>
    </w:tbl>
    <w:p>
      <w:pPr>
        <w:spacing w:after="180"/>
        <w:ind w:firstLine="0"/>
      </w:pPr>
      <w:r>
        <w:rPr>
          <w:i/>
          <w:sz w:val="20"/>
        </w:rPr>
        <w:t>Источник: ФТС России (до 2021 г.); зеркальная статистика КНР и стран ЕС; расчёт аналитического центра</w:t>
      </w:r>
    </w:p>
    <w:p>
      <w:pPr>
        <w:keepNext/>
        <w:spacing w:before="160" w:after="60"/>
        <w:ind w:firstLine="0"/>
        <w:jc w:val="left"/>
      </w:pPr>
      <w:r>
        <w:rPr>
          <w:b/>
          <w:sz w:val="22"/>
        </w:rPr>
        <w:t>Таблица 92. Стоимостные показатели импорта редкоземельной продукции в РФ, 2018–2025 гг., млн $</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Товарная группа</w:t>
            </w:r>
          </w:p>
        </w:tc>
        <w:tc>
          <w:tcPr>
            <w:tcW w:type="dxa" w:w="1425"/>
            <w:shd w:val="clear" w:fill="DCE6F1"/>
          </w:tcPr>
          <w:p>
            <w:pPr>
              <w:spacing w:after="0" w:line="240" w:lineRule="auto"/>
              <w:ind w:firstLine="0"/>
              <w:jc w:val="center"/>
            </w:pPr>
            <w:r>
              <w:rPr>
                <w:b/>
                <w:i w:val="0"/>
                <w:sz w:val="20"/>
              </w:rPr>
              <w:t>2018</w:t>
            </w:r>
          </w:p>
        </w:tc>
        <w:tc>
          <w:tcPr>
            <w:tcW w:type="dxa" w:w="1425"/>
            <w:shd w:val="clear" w:fill="DCE6F1"/>
          </w:tcPr>
          <w:p>
            <w:pPr>
              <w:spacing w:after="0" w:line="240" w:lineRule="auto"/>
              <w:ind w:firstLine="0"/>
              <w:jc w:val="center"/>
            </w:pPr>
            <w:r>
              <w:rPr>
                <w:b/>
                <w:i w:val="0"/>
                <w:sz w:val="20"/>
              </w:rPr>
              <w:t>2020</w:t>
            </w:r>
          </w:p>
        </w:tc>
        <w:tc>
          <w:tcPr>
            <w:tcW w:type="dxa" w:w="1425"/>
            <w:shd w:val="clear" w:fill="DCE6F1"/>
          </w:tcPr>
          <w:p>
            <w:pPr>
              <w:spacing w:after="0" w:line="240" w:lineRule="auto"/>
              <w:ind w:firstLine="0"/>
              <w:jc w:val="center"/>
            </w:pPr>
            <w:r>
              <w:rPr>
                <w:b/>
                <w:i w:val="0"/>
                <w:sz w:val="20"/>
              </w:rPr>
              <w:t>2021</w:t>
            </w:r>
          </w:p>
        </w:tc>
        <w:tc>
          <w:tcPr>
            <w:tcW w:type="dxa" w:w="1425"/>
            <w:shd w:val="clear" w:fill="DCE6F1"/>
          </w:tcPr>
          <w:p>
            <w:pPr>
              <w:spacing w:after="0" w:line="240" w:lineRule="auto"/>
              <w:ind w:firstLine="0"/>
              <w:jc w:val="center"/>
            </w:pPr>
            <w:r>
              <w:rPr>
                <w:b/>
                <w:i w:val="0"/>
                <w:sz w:val="20"/>
              </w:rPr>
              <w:t>2022</w:t>
            </w:r>
          </w:p>
        </w:tc>
        <w:tc>
          <w:tcPr>
            <w:tcW w:type="dxa" w:w="1425"/>
            <w:shd w:val="clear" w:fill="DCE6F1"/>
          </w:tcPr>
          <w:p>
            <w:pPr>
              <w:spacing w:after="0" w:line="240" w:lineRule="auto"/>
              <w:ind w:firstLine="0"/>
              <w:jc w:val="center"/>
            </w:pPr>
            <w:r>
              <w:rPr>
                <w:b/>
                <w:i w:val="0"/>
                <w:sz w:val="20"/>
              </w:rPr>
              <w:t>2023</w:t>
            </w:r>
          </w:p>
        </w:tc>
        <w:tc>
          <w:tcPr>
            <w:tcW w:type="dxa" w:w="1425"/>
            <w:shd w:val="clear" w:fill="DCE6F1"/>
          </w:tcPr>
          <w:p>
            <w:pPr>
              <w:spacing w:after="0" w:line="240" w:lineRule="auto"/>
              <w:ind w:firstLine="0"/>
              <w:jc w:val="center"/>
            </w:pPr>
            <w:r>
              <w:rPr>
                <w:b/>
                <w:i w:val="0"/>
                <w:sz w:val="20"/>
              </w:rPr>
              <w:t>2025 (оц.)</w:t>
            </w:r>
          </w:p>
        </w:tc>
      </w:tr>
      <w:tr>
        <w:tc>
          <w:tcPr>
            <w:tcW w:type="dxa" w:w="1425"/>
          </w:tcPr>
          <w:p>
            <w:pPr>
              <w:spacing w:after="0" w:line="240" w:lineRule="auto"/>
              <w:ind w:firstLine="0"/>
              <w:jc w:val="left"/>
            </w:pPr>
            <w:r>
              <w:rPr>
                <w:b w:val="0"/>
                <w:i w:val="0"/>
                <w:sz w:val="20"/>
              </w:rPr>
              <w:t>Постоянные магниты РЗМ</w:t>
            </w:r>
          </w:p>
        </w:tc>
        <w:tc>
          <w:tcPr>
            <w:tcW w:type="dxa" w:w="1425"/>
          </w:tcPr>
          <w:p>
            <w:pPr>
              <w:spacing w:after="0" w:line="240" w:lineRule="auto"/>
              <w:ind w:firstLine="0"/>
              <w:jc w:val="center"/>
            </w:pPr>
            <w:r>
              <w:rPr>
                <w:b w:val="0"/>
                <w:i w:val="0"/>
                <w:sz w:val="20"/>
              </w:rPr>
              <w:t>172,8</w:t>
            </w:r>
          </w:p>
        </w:tc>
        <w:tc>
          <w:tcPr>
            <w:tcW w:type="dxa" w:w="1425"/>
          </w:tcPr>
          <w:p>
            <w:pPr>
              <w:spacing w:after="0" w:line="240" w:lineRule="auto"/>
              <w:ind w:firstLine="0"/>
              <w:jc w:val="center"/>
            </w:pPr>
            <w:r>
              <w:rPr>
                <w:b w:val="0"/>
                <w:i w:val="0"/>
                <w:sz w:val="20"/>
              </w:rPr>
              <w:t>197,1</w:t>
            </w:r>
          </w:p>
        </w:tc>
        <w:tc>
          <w:tcPr>
            <w:tcW w:type="dxa" w:w="1425"/>
          </w:tcPr>
          <w:p>
            <w:pPr>
              <w:spacing w:after="0" w:line="240" w:lineRule="auto"/>
              <w:ind w:firstLine="0"/>
              <w:jc w:val="center"/>
            </w:pPr>
            <w:r>
              <w:rPr>
                <w:b w:val="0"/>
                <w:i w:val="0"/>
                <w:sz w:val="20"/>
              </w:rPr>
              <w:t>246,0</w:t>
            </w:r>
          </w:p>
        </w:tc>
        <w:tc>
          <w:tcPr>
            <w:tcW w:type="dxa" w:w="1425"/>
          </w:tcPr>
          <w:p>
            <w:pPr>
              <w:spacing w:after="0" w:line="240" w:lineRule="auto"/>
              <w:ind w:firstLine="0"/>
              <w:jc w:val="center"/>
            </w:pPr>
            <w:r>
              <w:rPr>
                <w:b w:val="0"/>
                <w:i w:val="0"/>
                <w:sz w:val="20"/>
              </w:rPr>
              <w:t>224,4</w:t>
            </w:r>
          </w:p>
        </w:tc>
        <w:tc>
          <w:tcPr>
            <w:tcW w:type="dxa" w:w="1425"/>
          </w:tcPr>
          <w:p>
            <w:pPr>
              <w:spacing w:after="0" w:line="240" w:lineRule="auto"/>
              <w:ind w:firstLine="0"/>
              <w:jc w:val="center"/>
            </w:pPr>
            <w:r>
              <w:rPr>
                <w:b w:val="0"/>
                <w:i w:val="0"/>
                <w:sz w:val="20"/>
              </w:rPr>
              <w:t>259,2</w:t>
            </w:r>
          </w:p>
        </w:tc>
        <w:tc>
          <w:tcPr>
            <w:tcW w:type="dxa" w:w="1425"/>
          </w:tcPr>
          <w:p>
            <w:pPr>
              <w:spacing w:after="0" w:line="240" w:lineRule="auto"/>
              <w:ind w:firstLine="0"/>
              <w:jc w:val="center"/>
            </w:pPr>
            <w:r>
              <w:rPr>
                <w:b w:val="0"/>
                <w:i w:val="0"/>
                <w:sz w:val="20"/>
              </w:rPr>
              <w:t>358,4</w:t>
            </w:r>
          </w:p>
        </w:tc>
      </w:tr>
      <w:tr>
        <w:tc>
          <w:tcPr>
            <w:tcW w:type="dxa" w:w="1425"/>
          </w:tcPr>
          <w:p>
            <w:pPr>
              <w:spacing w:after="0" w:line="240" w:lineRule="auto"/>
              <w:ind w:firstLine="0"/>
              <w:jc w:val="left"/>
            </w:pPr>
            <w:r>
              <w:rPr>
                <w:b w:val="0"/>
                <w:i w:val="0"/>
                <w:sz w:val="20"/>
              </w:rPr>
              <w:t>Оксиды и соли РЗМ</w:t>
            </w:r>
          </w:p>
        </w:tc>
        <w:tc>
          <w:tcPr>
            <w:tcW w:type="dxa" w:w="1425"/>
          </w:tcPr>
          <w:p>
            <w:pPr>
              <w:spacing w:after="0" w:line="240" w:lineRule="auto"/>
              <w:ind w:firstLine="0"/>
              <w:jc w:val="center"/>
            </w:pPr>
            <w:r>
              <w:rPr>
                <w:b w:val="0"/>
                <w:i w:val="0"/>
                <w:sz w:val="20"/>
              </w:rPr>
              <w:t>28,4</w:t>
            </w:r>
          </w:p>
        </w:tc>
        <w:tc>
          <w:tcPr>
            <w:tcW w:type="dxa" w:w="1425"/>
          </w:tcPr>
          <w:p>
            <w:pPr>
              <w:spacing w:after="0" w:line="240" w:lineRule="auto"/>
              <w:ind w:firstLine="0"/>
              <w:jc w:val="center"/>
            </w:pPr>
            <w:r>
              <w:rPr>
                <w:b w:val="0"/>
                <w:i w:val="0"/>
                <w:sz w:val="20"/>
              </w:rPr>
              <w:t>31,5</w:t>
            </w:r>
          </w:p>
        </w:tc>
        <w:tc>
          <w:tcPr>
            <w:tcW w:type="dxa" w:w="1425"/>
          </w:tcPr>
          <w:p>
            <w:pPr>
              <w:spacing w:after="0" w:line="240" w:lineRule="auto"/>
              <w:ind w:firstLine="0"/>
              <w:jc w:val="center"/>
            </w:pPr>
            <w:r>
              <w:rPr>
                <w:b w:val="0"/>
                <w:i w:val="0"/>
                <w:sz w:val="20"/>
              </w:rPr>
              <w:t>48,1</w:t>
            </w:r>
          </w:p>
        </w:tc>
        <w:tc>
          <w:tcPr>
            <w:tcW w:type="dxa" w:w="1425"/>
          </w:tcPr>
          <w:p>
            <w:pPr>
              <w:spacing w:after="0" w:line="240" w:lineRule="auto"/>
              <w:ind w:firstLine="0"/>
              <w:jc w:val="center"/>
            </w:pPr>
            <w:r>
              <w:rPr>
                <w:b w:val="0"/>
                <w:i w:val="0"/>
                <w:sz w:val="20"/>
              </w:rPr>
              <w:t>42,3</w:t>
            </w:r>
          </w:p>
        </w:tc>
        <w:tc>
          <w:tcPr>
            <w:tcW w:type="dxa" w:w="1425"/>
          </w:tcPr>
          <w:p>
            <w:pPr>
              <w:spacing w:after="0" w:line="240" w:lineRule="auto"/>
              <w:ind w:firstLine="0"/>
              <w:jc w:val="center"/>
            </w:pPr>
            <w:r>
              <w:rPr>
                <w:b w:val="0"/>
                <w:i w:val="0"/>
                <w:sz w:val="20"/>
              </w:rPr>
              <w:t>34,8</w:t>
            </w:r>
          </w:p>
        </w:tc>
        <w:tc>
          <w:tcPr>
            <w:tcW w:type="dxa" w:w="1425"/>
          </w:tcPr>
          <w:p>
            <w:pPr>
              <w:spacing w:after="0" w:line="240" w:lineRule="auto"/>
              <w:ind w:firstLine="0"/>
              <w:jc w:val="center"/>
            </w:pPr>
            <w:r>
              <w:rPr>
                <w:b w:val="0"/>
                <w:i w:val="0"/>
                <w:sz w:val="20"/>
              </w:rPr>
              <w:t>46,2</w:t>
            </w:r>
          </w:p>
        </w:tc>
      </w:tr>
      <w:tr>
        <w:tc>
          <w:tcPr>
            <w:tcW w:type="dxa" w:w="1425"/>
          </w:tcPr>
          <w:p>
            <w:pPr>
              <w:spacing w:after="0" w:line="240" w:lineRule="auto"/>
              <w:ind w:firstLine="0"/>
              <w:jc w:val="left"/>
            </w:pPr>
            <w:r>
              <w:rPr>
                <w:b w:val="0"/>
                <w:i w:val="0"/>
                <w:sz w:val="20"/>
              </w:rPr>
              <w:t>Полировальные материалы</w:t>
            </w:r>
          </w:p>
        </w:tc>
        <w:tc>
          <w:tcPr>
            <w:tcW w:type="dxa" w:w="1425"/>
          </w:tcPr>
          <w:p>
            <w:pPr>
              <w:spacing w:after="0" w:line="240" w:lineRule="auto"/>
              <w:ind w:firstLine="0"/>
              <w:jc w:val="center"/>
            </w:pPr>
            <w:r>
              <w:rPr>
                <w:b w:val="0"/>
                <w:i w:val="0"/>
                <w:sz w:val="20"/>
              </w:rPr>
              <w:t>5,5</w:t>
            </w:r>
          </w:p>
        </w:tc>
        <w:tc>
          <w:tcPr>
            <w:tcW w:type="dxa" w:w="1425"/>
          </w:tcPr>
          <w:p>
            <w:pPr>
              <w:spacing w:after="0" w:line="240" w:lineRule="auto"/>
              <w:ind w:firstLine="0"/>
              <w:jc w:val="center"/>
            </w:pPr>
            <w:r>
              <w:rPr>
                <w:b w:val="0"/>
                <w:i w:val="0"/>
                <w:sz w:val="20"/>
              </w:rPr>
              <w:t>5,9</w:t>
            </w:r>
          </w:p>
        </w:tc>
        <w:tc>
          <w:tcPr>
            <w:tcW w:type="dxa" w:w="1425"/>
          </w:tcPr>
          <w:p>
            <w:pPr>
              <w:spacing w:after="0" w:line="240" w:lineRule="auto"/>
              <w:ind w:firstLine="0"/>
              <w:jc w:val="center"/>
            </w:pPr>
            <w:r>
              <w:rPr>
                <w:b w:val="0"/>
                <w:i w:val="0"/>
                <w:sz w:val="20"/>
              </w:rPr>
              <w:t>6,4</w:t>
            </w:r>
          </w:p>
        </w:tc>
        <w:tc>
          <w:tcPr>
            <w:tcW w:type="dxa" w:w="1425"/>
          </w:tcPr>
          <w:p>
            <w:pPr>
              <w:spacing w:after="0" w:line="240" w:lineRule="auto"/>
              <w:ind w:firstLine="0"/>
              <w:jc w:val="center"/>
            </w:pPr>
            <w:r>
              <w:rPr>
                <w:b w:val="0"/>
                <w:i w:val="0"/>
                <w:sz w:val="20"/>
              </w:rPr>
              <w:t>5,2</w:t>
            </w:r>
          </w:p>
        </w:tc>
        <w:tc>
          <w:tcPr>
            <w:tcW w:type="dxa" w:w="1425"/>
          </w:tcPr>
          <w:p>
            <w:pPr>
              <w:spacing w:after="0" w:line="240" w:lineRule="auto"/>
              <w:ind w:firstLine="0"/>
              <w:jc w:val="center"/>
            </w:pPr>
            <w:r>
              <w:rPr>
                <w:b w:val="0"/>
                <w:i w:val="0"/>
                <w:sz w:val="20"/>
              </w:rPr>
              <w:t>5,7</w:t>
            </w:r>
          </w:p>
        </w:tc>
        <w:tc>
          <w:tcPr>
            <w:tcW w:type="dxa" w:w="1425"/>
          </w:tcPr>
          <w:p>
            <w:pPr>
              <w:spacing w:after="0" w:line="240" w:lineRule="auto"/>
              <w:ind w:firstLine="0"/>
              <w:jc w:val="center"/>
            </w:pPr>
            <w:r>
              <w:rPr>
                <w:b w:val="0"/>
                <w:i w:val="0"/>
                <w:sz w:val="20"/>
              </w:rPr>
              <w:t>7,1</w:t>
            </w:r>
          </w:p>
        </w:tc>
      </w:tr>
      <w:tr>
        <w:tc>
          <w:tcPr>
            <w:tcW w:type="dxa" w:w="1425"/>
          </w:tcPr>
          <w:p>
            <w:pPr>
              <w:spacing w:after="0" w:line="240" w:lineRule="auto"/>
              <w:ind w:firstLine="0"/>
              <w:jc w:val="left"/>
            </w:pPr>
            <w:r>
              <w:rPr>
                <w:b w:val="0"/>
                <w:i w:val="0"/>
                <w:sz w:val="20"/>
              </w:rPr>
              <w:t>Металлы и лигатуры</w:t>
            </w:r>
          </w:p>
        </w:tc>
        <w:tc>
          <w:tcPr>
            <w:tcW w:type="dxa" w:w="1425"/>
          </w:tcPr>
          <w:p>
            <w:pPr>
              <w:spacing w:after="0" w:line="240" w:lineRule="auto"/>
              <w:ind w:firstLine="0"/>
              <w:jc w:val="center"/>
            </w:pPr>
            <w:r>
              <w:rPr>
                <w:b w:val="0"/>
                <w:i w:val="0"/>
                <w:sz w:val="20"/>
              </w:rPr>
              <w:t>14,7</w:t>
            </w:r>
          </w:p>
        </w:tc>
        <w:tc>
          <w:tcPr>
            <w:tcW w:type="dxa" w:w="1425"/>
          </w:tcPr>
          <w:p>
            <w:pPr>
              <w:spacing w:after="0" w:line="240" w:lineRule="auto"/>
              <w:ind w:firstLine="0"/>
              <w:jc w:val="center"/>
            </w:pPr>
            <w:r>
              <w:rPr>
                <w:b w:val="0"/>
                <w:i w:val="0"/>
                <w:sz w:val="20"/>
              </w:rPr>
              <w:t>16,3</w:t>
            </w:r>
          </w:p>
        </w:tc>
        <w:tc>
          <w:tcPr>
            <w:tcW w:type="dxa" w:w="1425"/>
          </w:tcPr>
          <w:p>
            <w:pPr>
              <w:spacing w:after="0" w:line="240" w:lineRule="auto"/>
              <w:ind w:firstLine="0"/>
              <w:jc w:val="center"/>
            </w:pPr>
            <w:r>
              <w:rPr>
                <w:b w:val="0"/>
                <w:i w:val="0"/>
                <w:sz w:val="20"/>
              </w:rPr>
              <w:t>24,8</w:t>
            </w:r>
          </w:p>
        </w:tc>
        <w:tc>
          <w:tcPr>
            <w:tcW w:type="dxa" w:w="1425"/>
          </w:tcPr>
          <w:p>
            <w:pPr>
              <w:spacing w:after="0" w:line="240" w:lineRule="auto"/>
              <w:ind w:firstLine="0"/>
              <w:jc w:val="center"/>
            </w:pPr>
            <w:r>
              <w:rPr>
                <w:b w:val="0"/>
                <w:i w:val="0"/>
                <w:sz w:val="20"/>
              </w:rPr>
              <w:t>22,4</w:t>
            </w:r>
          </w:p>
        </w:tc>
        <w:tc>
          <w:tcPr>
            <w:tcW w:type="dxa" w:w="1425"/>
          </w:tcPr>
          <w:p>
            <w:pPr>
              <w:spacing w:after="0" w:line="240" w:lineRule="auto"/>
              <w:ind w:firstLine="0"/>
              <w:jc w:val="center"/>
            </w:pPr>
            <w:r>
              <w:rPr>
                <w:b w:val="0"/>
                <w:i w:val="0"/>
                <w:sz w:val="20"/>
              </w:rPr>
              <w:t>19,4</w:t>
            </w:r>
          </w:p>
        </w:tc>
        <w:tc>
          <w:tcPr>
            <w:tcW w:type="dxa" w:w="1425"/>
          </w:tcPr>
          <w:p>
            <w:pPr>
              <w:spacing w:after="0" w:line="240" w:lineRule="auto"/>
              <w:ind w:firstLine="0"/>
              <w:jc w:val="center"/>
            </w:pPr>
            <w:r>
              <w:rPr>
                <w:b w:val="0"/>
                <w:i w:val="0"/>
                <w:sz w:val="20"/>
              </w:rPr>
              <w:t>28,5</w:t>
            </w:r>
          </w:p>
        </w:tc>
      </w:tr>
      <w:tr>
        <w:tc>
          <w:tcPr>
            <w:tcW w:type="dxa" w:w="1425"/>
          </w:tcPr>
          <w:p>
            <w:pPr>
              <w:spacing w:after="0" w:line="240" w:lineRule="auto"/>
              <w:ind w:firstLine="0"/>
              <w:jc w:val="left"/>
            </w:pPr>
            <w:r>
              <w:rPr>
                <w:b w:val="0"/>
                <w:i w:val="0"/>
                <w:sz w:val="20"/>
              </w:rPr>
              <w:t>Люминофоры и оптич. материалы</w:t>
            </w:r>
          </w:p>
        </w:tc>
        <w:tc>
          <w:tcPr>
            <w:tcW w:type="dxa" w:w="1425"/>
          </w:tcPr>
          <w:p>
            <w:pPr>
              <w:spacing w:after="0" w:line="240" w:lineRule="auto"/>
              <w:ind w:firstLine="0"/>
              <w:jc w:val="center"/>
            </w:pPr>
            <w:r>
              <w:rPr>
                <w:b w:val="0"/>
                <w:i w:val="0"/>
                <w:sz w:val="20"/>
              </w:rPr>
              <w:t>8,6</w:t>
            </w:r>
          </w:p>
        </w:tc>
        <w:tc>
          <w:tcPr>
            <w:tcW w:type="dxa" w:w="1425"/>
          </w:tcPr>
          <w:p>
            <w:pPr>
              <w:spacing w:after="0" w:line="240" w:lineRule="auto"/>
              <w:ind w:firstLine="0"/>
              <w:jc w:val="center"/>
            </w:pPr>
            <w:r>
              <w:rPr>
                <w:b w:val="0"/>
                <w:i w:val="0"/>
                <w:sz w:val="20"/>
              </w:rPr>
              <w:t>7,4</w:t>
            </w:r>
          </w:p>
        </w:tc>
        <w:tc>
          <w:tcPr>
            <w:tcW w:type="dxa" w:w="1425"/>
          </w:tcPr>
          <w:p>
            <w:pPr>
              <w:spacing w:after="0" w:line="240" w:lineRule="auto"/>
              <w:ind w:firstLine="0"/>
              <w:jc w:val="center"/>
            </w:pPr>
            <w:r>
              <w:rPr>
                <w:b w:val="0"/>
                <w:i w:val="0"/>
                <w:sz w:val="20"/>
              </w:rPr>
              <w:t>7,1</w:t>
            </w:r>
          </w:p>
        </w:tc>
        <w:tc>
          <w:tcPr>
            <w:tcW w:type="dxa" w:w="1425"/>
          </w:tcPr>
          <w:p>
            <w:pPr>
              <w:spacing w:after="0" w:line="240" w:lineRule="auto"/>
              <w:ind w:firstLine="0"/>
              <w:jc w:val="center"/>
            </w:pPr>
            <w:r>
              <w:rPr>
                <w:b w:val="0"/>
                <w:i w:val="0"/>
                <w:sz w:val="20"/>
              </w:rPr>
              <w:t>5,4</w:t>
            </w:r>
          </w:p>
        </w:tc>
        <w:tc>
          <w:tcPr>
            <w:tcW w:type="dxa" w:w="1425"/>
          </w:tcPr>
          <w:p>
            <w:pPr>
              <w:spacing w:after="0" w:line="240" w:lineRule="auto"/>
              <w:ind w:firstLine="0"/>
              <w:jc w:val="center"/>
            </w:pPr>
            <w:r>
              <w:rPr>
                <w:b w:val="0"/>
                <w:i w:val="0"/>
                <w:sz w:val="20"/>
              </w:rPr>
              <w:t>6,1</w:t>
            </w:r>
          </w:p>
        </w:tc>
        <w:tc>
          <w:tcPr>
            <w:tcW w:type="dxa" w:w="1425"/>
          </w:tcPr>
          <w:p>
            <w:pPr>
              <w:spacing w:after="0" w:line="240" w:lineRule="auto"/>
              <w:ind w:firstLine="0"/>
              <w:jc w:val="center"/>
            </w:pPr>
            <w:r>
              <w:rPr>
                <w:b w:val="0"/>
                <w:i w:val="0"/>
                <w:sz w:val="20"/>
              </w:rPr>
              <w:t>7,6</w:t>
            </w:r>
          </w:p>
        </w:tc>
      </w:tr>
      <w:tr>
        <w:tc>
          <w:tcPr>
            <w:tcW w:type="dxa" w:w="1425"/>
          </w:tcPr>
          <w:p>
            <w:pPr>
              <w:spacing w:after="0" w:line="240" w:lineRule="auto"/>
              <w:ind w:firstLine="0"/>
              <w:jc w:val="left"/>
            </w:pPr>
            <w:r>
              <w:rPr>
                <w:b w:val="0"/>
                <w:i w:val="0"/>
                <w:sz w:val="20"/>
              </w:rPr>
              <w:t>Катализаторы</w:t>
            </w:r>
          </w:p>
        </w:tc>
        <w:tc>
          <w:tcPr>
            <w:tcW w:type="dxa" w:w="1425"/>
          </w:tcPr>
          <w:p>
            <w:pPr>
              <w:spacing w:after="0" w:line="240" w:lineRule="auto"/>
              <w:ind w:firstLine="0"/>
              <w:jc w:val="center"/>
            </w:pPr>
            <w:r>
              <w:rPr>
                <w:b w:val="0"/>
                <w:i w:val="0"/>
                <w:sz w:val="20"/>
              </w:rPr>
              <w:t>11,2</w:t>
            </w:r>
          </w:p>
        </w:tc>
        <w:tc>
          <w:tcPr>
            <w:tcW w:type="dxa" w:w="1425"/>
          </w:tcPr>
          <w:p>
            <w:pPr>
              <w:spacing w:after="0" w:line="240" w:lineRule="auto"/>
              <w:ind w:firstLine="0"/>
              <w:jc w:val="center"/>
            </w:pPr>
            <w:r>
              <w:rPr>
                <w:b w:val="0"/>
                <w:i w:val="0"/>
                <w:sz w:val="20"/>
              </w:rPr>
              <w:t>12,1</w:t>
            </w:r>
          </w:p>
        </w:tc>
        <w:tc>
          <w:tcPr>
            <w:tcW w:type="dxa" w:w="1425"/>
          </w:tcPr>
          <w:p>
            <w:pPr>
              <w:spacing w:after="0" w:line="240" w:lineRule="auto"/>
              <w:ind w:firstLine="0"/>
              <w:jc w:val="center"/>
            </w:pPr>
            <w:r>
              <w:rPr>
                <w:b w:val="0"/>
                <w:i w:val="0"/>
                <w:sz w:val="20"/>
              </w:rPr>
              <w:t>13,5</w:t>
            </w:r>
          </w:p>
        </w:tc>
        <w:tc>
          <w:tcPr>
            <w:tcW w:type="dxa" w:w="1425"/>
          </w:tcPr>
          <w:p>
            <w:pPr>
              <w:spacing w:after="0" w:line="240" w:lineRule="auto"/>
              <w:ind w:firstLine="0"/>
              <w:jc w:val="center"/>
            </w:pPr>
            <w:r>
              <w:rPr>
                <w:b w:val="0"/>
                <w:i w:val="0"/>
                <w:sz w:val="20"/>
              </w:rPr>
              <w:t>10,8</w:t>
            </w:r>
          </w:p>
        </w:tc>
        <w:tc>
          <w:tcPr>
            <w:tcW w:type="dxa" w:w="1425"/>
          </w:tcPr>
          <w:p>
            <w:pPr>
              <w:spacing w:after="0" w:line="240" w:lineRule="auto"/>
              <w:ind w:firstLine="0"/>
              <w:jc w:val="center"/>
            </w:pPr>
            <w:r>
              <w:rPr>
                <w:b w:val="0"/>
                <w:i w:val="0"/>
                <w:sz w:val="20"/>
              </w:rPr>
              <w:t>11,4</w:t>
            </w:r>
          </w:p>
        </w:tc>
        <w:tc>
          <w:tcPr>
            <w:tcW w:type="dxa" w:w="1425"/>
          </w:tcPr>
          <w:p>
            <w:pPr>
              <w:spacing w:after="0" w:line="240" w:lineRule="auto"/>
              <w:ind w:firstLine="0"/>
              <w:jc w:val="center"/>
            </w:pPr>
            <w:r>
              <w:rPr>
                <w:b w:val="0"/>
                <w:i w:val="0"/>
                <w:sz w:val="20"/>
              </w:rPr>
              <w:t>13,8</w:t>
            </w:r>
          </w:p>
        </w:tc>
      </w:tr>
      <w:tr>
        <w:tc>
          <w:tcPr>
            <w:tcW w:type="dxa" w:w="1425"/>
          </w:tcPr>
          <w:p>
            <w:pPr>
              <w:spacing w:after="0" w:line="240" w:lineRule="auto"/>
              <w:ind w:firstLine="0"/>
              <w:jc w:val="left"/>
            </w:pPr>
            <w:r>
              <w:rPr>
                <w:b/>
                <w:i w:val="0"/>
                <w:sz w:val="20"/>
              </w:rPr>
              <w:t>Всего</w:t>
            </w:r>
          </w:p>
        </w:tc>
        <w:tc>
          <w:tcPr>
            <w:tcW w:type="dxa" w:w="1425"/>
          </w:tcPr>
          <w:p>
            <w:pPr>
              <w:spacing w:after="0" w:line="240" w:lineRule="auto"/>
              <w:ind w:firstLine="0"/>
              <w:jc w:val="center"/>
            </w:pPr>
            <w:r>
              <w:rPr>
                <w:b/>
                <w:i w:val="0"/>
                <w:sz w:val="20"/>
              </w:rPr>
              <w:t>241,2</w:t>
            </w:r>
          </w:p>
        </w:tc>
        <w:tc>
          <w:tcPr>
            <w:tcW w:type="dxa" w:w="1425"/>
          </w:tcPr>
          <w:p>
            <w:pPr>
              <w:spacing w:after="0" w:line="240" w:lineRule="auto"/>
              <w:ind w:firstLine="0"/>
              <w:jc w:val="center"/>
            </w:pPr>
            <w:r>
              <w:rPr>
                <w:b/>
                <w:i w:val="0"/>
                <w:sz w:val="20"/>
              </w:rPr>
              <w:t>270,3</w:t>
            </w:r>
          </w:p>
        </w:tc>
        <w:tc>
          <w:tcPr>
            <w:tcW w:type="dxa" w:w="1425"/>
          </w:tcPr>
          <w:p>
            <w:pPr>
              <w:spacing w:after="0" w:line="240" w:lineRule="auto"/>
              <w:ind w:firstLine="0"/>
              <w:jc w:val="center"/>
            </w:pPr>
            <w:r>
              <w:rPr>
                <w:b/>
                <w:i w:val="0"/>
                <w:sz w:val="20"/>
              </w:rPr>
              <w:t>345,9</w:t>
            </w:r>
          </w:p>
        </w:tc>
        <w:tc>
          <w:tcPr>
            <w:tcW w:type="dxa" w:w="1425"/>
          </w:tcPr>
          <w:p>
            <w:pPr>
              <w:spacing w:after="0" w:line="240" w:lineRule="auto"/>
              <w:ind w:firstLine="0"/>
              <w:jc w:val="center"/>
            </w:pPr>
            <w:r>
              <w:rPr>
                <w:b/>
                <w:i w:val="0"/>
                <w:sz w:val="20"/>
              </w:rPr>
              <w:t>310,5</w:t>
            </w:r>
          </w:p>
        </w:tc>
        <w:tc>
          <w:tcPr>
            <w:tcW w:type="dxa" w:w="1425"/>
          </w:tcPr>
          <w:p>
            <w:pPr>
              <w:spacing w:after="0" w:line="240" w:lineRule="auto"/>
              <w:ind w:firstLine="0"/>
              <w:jc w:val="center"/>
            </w:pPr>
            <w:r>
              <w:rPr>
                <w:b/>
                <w:i w:val="0"/>
                <w:sz w:val="20"/>
              </w:rPr>
              <w:t>336,6</w:t>
            </w:r>
          </w:p>
        </w:tc>
        <w:tc>
          <w:tcPr>
            <w:tcW w:type="dxa" w:w="1425"/>
          </w:tcPr>
          <w:p>
            <w:pPr>
              <w:spacing w:after="0" w:line="240" w:lineRule="auto"/>
              <w:ind w:firstLine="0"/>
              <w:jc w:val="center"/>
            </w:pPr>
            <w:r>
              <w:rPr>
                <w:b/>
                <w:i w:val="0"/>
                <w:sz w:val="20"/>
              </w:rPr>
              <w:t>461,6</w:t>
            </w:r>
          </w:p>
        </w:tc>
      </w:tr>
    </w:tbl>
    <w:p>
      <w:pPr>
        <w:spacing w:after="180"/>
        <w:ind w:firstLine="0"/>
      </w:pPr>
      <w:r>
        <w:rPr>
          <w:i/>
          <w:sz w:val="20"/>
        </w:rPr>
        <w:t>Источник: расчёт аналитического центра</w:t>
      </w:r>
    </w:p>
    <w:p>
      <w:pPr>
        <w:keepNext/>
        <w:spacing w:before="160" w:after="60"/>
        <w:ind w:firstLine="0"/>
        <w:jc w:val="left"/>
      </w:pPr>
      <w:r>
        <w:rPr>
          <w:b/>
          <w:sz w:val="22"/>
        </w:rPr>
        <w:t>Рисунок 69. Сопоставление экспорта и импорта редкоземельной продукции РФ в стоимостном выражении, млн $</w:t>
      </w:r>
    </w:p>
    <w:p>
      <w:pPr>
        <w:ind w:firstLine="0"/>
        <w:jc w:val="center"/>
      </w:pPr>
      <w:r>
        <w:drawing>
          <wp:inline xmlns:a="http://schemas.openxmlformats.org/drawingml/2006/main" xmlns:pic="http://schemas.openxmlformats.org/drawingml/2006/picture">
            <wp:extent cx="5580000" cy="2729348"/>
            <wp:docPr id="69" name="Picture 69"/>
            <wp:cNvGraphicFramePr>
              <a:graphicFrameLocks noChangeAspect="1"/>
            </wp:cNvGraphicFramePr>
            <a:graphic>
              <a:graphicData uri="http://schemas.openxmlformats.org/drawingml/2006/picture">
                <pic:pic>
                  <pic:nvPicPr>
                    <pic:cNvPr id="0" name="fig69.png"/>
                    <pic:cNvPicPr/>
                  </pic:nvPicPr>
                  <pic:blipFill>
                    <a:blip r:embed="rId79"/>
                    <a:stretch>
                      <a:fillRect/>
                    </a:stretch>
                  </pic:blipFill>
                  <pic:spPr>
                    <a:xfrm>
                      <a:off x="0" y="0"/>
                      <a:ext cx="5580000" cy="2729348"/>
                    </a:xfrm>
                    <a:prstGeom prst="rect"/>
                  </pic:spPr>
                </pic:pic>
              </a:graphicData>
            </a:graphic>
          </wp:inline>
        </w:drawing>
      </w:r>
    </w:p>
    <w:p>
      <w:pPr>
        <w:spacing w:after="180"/>
        <w:ind w:firstLine="0"/>
      </w:pPr>
      <w:r>
        <w:rPr>
          <w:i/>
          <w:sz w:val="20"/>
        </w:rPr>
        <w:t>Источник: аналитический центр (табл. 89, 92)</w:t>
      </w:r>
    </w:p>
    <w:p>
      <w:r>
        <w:rPr>
          <w:b w:val="0"/>
          <w:i w:val="0"/>
        </w:rPr>
        <w:t>Рисунок 69 наглядно демонстрирует характер российской позиции на редкоземельном рынке. Отрицательное сальдо внешней торговли редкоземельной продукцией составляет 300–440 млн долл. в год и устойчиво растёт. При этом соотношение стоимости импорта к стоимости экспорта увеличилось с 9,8 раза в 2018 г. до 20,6 раза в 2025 г. Экономический смысл этой динамики: страна поставляет сырьё стоимостью 6–7 долл./кг и приобретает продукцию стоимостью 60–65 долл./кг, произведённую в том числе из этого сырья.</w:t>
      </w:r>
    </w:p>
    <w:p>
      <w:pPr>
        <w:keepNext/>
        <w:spacing w:before="160" w:after="60"/>
        <w:ind w:firstLine="0"/>
        <w:jc w:val="left"/>
      </w:pPr>
      <w:r>
        <w:rPr>
          <w:b/>
          <w:sz w:val="22"/>
        </w:rPr>
        <w:t>Таблица 93. Географическая структура импорта редкоземельной продукции в РФ, 2025 г. (оценка)</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Страна происхождения</w:t>
            </w:r>
          </w:p>
        </w:tc>
        <w:tc>
          <w:tcPr>
            <w:tcW w:type="dxa" w:w="2493"/>
            <w:shd w:val="clear" w:fill="DCE6F1"/>
          </w:tcPr>
          <w:p>
            <w:pPr>
              <w:spacing w:after="0" w:line="240" w:lineRule="auto"/>
              <w:ind w:firstLine="0"/>
              <w:jc w:val="center"/>
            </w:pPr>
            <w:r>
              <w:rPr>
                <w:b/>
                <w:i w:val="0"/>
                <w:sz w:val="20"/>
              </w:rPr>
              <w:t>Объём, т</w:t>
            </w:r>
          </w:p>
        </w:tc>
        <w:tc>
          <w:tcPr>
            <w:tcW w:type="dxa" w:w="2493"/>
            <w:shd w:val="clear" w:fill="DCE6F1"/>
          </w:tcPr>
          <w:p>
            <w:pPr>
              <w:spacing w:after="0" w:line="240" w:lineRule="auto"/>
              <w:ind w:firstLine="0"/>
              <w:jc w:val="center"/>
            </w:pPr>
            <w:r>
              <w:rPr>
                <w:b/>
                <w:i w:val="0"/>
                <w:sz w:val="20"/>
              </w:rPr>
              <w:t>Доля, %</w:t>
            </w:r>
          </w:p>
        </w:tc>
        <w:tc>
          <w:tcPr>
            <w:tcW w:type="dxa" w:w="2493"/>
            <w:shd w:val="clear" w:fill="DCE6F1"/>
          </w:tcPr>
          <w:p>
            <w:pPr>
              <w:spacing w:after="0" w:line="240" w:lineRule="auto"/>
              <w:ind w:firstLine="0"/>
              <w:jc w:val="center"/>
            </w:pPr>
            <w:r>
              <w:rPr>
                <w:b/>
                <w:i w:val="0"/>
                <w:sz w:val="20"/>
              </w:rPr>
              <w:t>Основная номенклатура</w:t>
            </w:r>
          </w:p>
        </w:tc>
      </w:tr>
      <w:tr>
        <w:tc>
          <w:tcPr>
            <w:tcW w:type="dxa" w:w="2493"/>
          </w:tcPr>
          <w:p>
            <w:pPr>
              <w:spacing w:after="0" w:line="240" w:lineRule="auto"/>
              <w:ind w:firstLine="0"/>
              <w:jc w:val="left"/>
            </w:pPr>
            <w:r>
              <w:rPr>
                <w:b w:val="0"/>
                <w:i w:val="0"/>
                <w:sz w:val="20"/>
              </w:rPr>
              <w:t>Китай</w:t>
            </w:r>
          </w:p>
        </w:tc>
        <w:tc>
          <w:tcPr>
            <w:tcW w:type="dxa" w:w="2493"/>
          </w:tcPr>
          <w:p>
            <w:pPr>
              <w:spacing w:after="0" w:line="240" w:lineRule="auto"/>
              <w:ind w:firstLine="0"/>
              <w:jc w:val="center"/>
            </w:pPr>
            <w:r>
              <w:rPr>
                <w:b w:val="0"/>
                <w:i w:val="0"/>
                <w:sz w:val="20"/>
              </w:rPr>
              <w:t>8 420</w:t>
            </w:r>
          </w:p>
        </w:tc>
        <w:tc>
          <w:tcPr>
            <w:tcW w:type="dxa" w:w="2493"/>
          </w:tcPr>
          <w:p>
            <w:pPr>
              <w:spacing w:after="0" w:line="240" w:lineRule="auto"/>
              <w:ind w:firstLine="0"/>
              <w:jc w:val="center"/>
            </w:pPr>
            <w:r>
              <w:rPr>
                <w:b w:val="0"/>
                <w:i w:val="0"/>
                <w:sz w:val="20"/>
              </w:rPr>
              <w:t>90,1</w:t>
            </w:r>
          </w:p>
        </w:tc>
        <w:tc>
          <w:tcPr>
            <w:tcW w:type="dxa" w:w="2493"/>
          </w:tcPr>
          <w:p>
            <w:pPr>
              <w:spacing w:after="0" w:line="240" w:lineRule="auto"/>
              <w:ind w:firstLine="0"/>
              <w:jc w:val="center"/>
            </w:pPr>
            <w:r>
              <w:rPr>
                <w:b w:val="0"/>
                <w:i w:val="0"/>
                <w:sz w:val="20"/>
              </w:rPr>
              <w:t>магниты, оксиды, полировальные</w:t>
            </w:r>
          </w:p>
        </w:tc>
      </w:tr>
      <w:tr>
        <w:tc>
          <w:tcPr>
            <w:tcW w:type="dxa" w:w="2493"/>
          </w:tcPr>
          <w:p>
            <w:pPr>
              <w:spacing w:after="0" w:line="240" w:lineRule="auto"/>
              <w:ind w:firstLine="0"/>
              <w:jc w:val="left"/>
            </w:pPr>
            <w:r>
              <w:rPr>
                <w:b w:val="0"/>
                <w:i w:val="0"/>
                <w:sz w:val="20"/>
              </w:rPr>
              <w:t>Индия</w:t>
            </w:r>
          </w:p>
        </w:tc>
        <w:tc>
          <w:tcPr>
            <w:tcW w:type="dxa" w:w="2493"/>
          </w:tcPr>
          <w:p>
            <w:pPr>
              <w:spacing w:after="0" w:line="240" w:lineRule="auto"/>
              <w:ind w:firstLine="0"/>
              <w:jc w:val="center"/>
            </w:pPr>
            <w:r>
              <w:rPr>
                <w:b w:val="0"/>
                <w:i w:val="0"/>
                <w:sz w:val="20"/>
              </w:rPr>
              <w:t>320</w:t>
            </w:r>
          </w:p>
        </w:tc>
        <w:tc>
          <w:tcPr>
            <w:tcW w:type="dxa" w:w="2493"/>
          </w:tcPr>
          <w:p>
            <w:pPr>
              <w:spacing w:after="0" w:line="240" w:lineRule="auto"/>
              <w:ind w:firstLine="0"/>
              <w:jc w:val="center"/>
            </w:pPr>
            <w:r>
              <w:rPr>
                <w:b w:val="0"/>
                <w:i w:val="0"/>
                <w:sz w:val="20"/>
              </w:rPr>
              <w:t>3,4</w:t>
            </w:r>
          </w:p>
        </w:tc>
        <w:tc>
          <w:tcPr>
            <w:tcW w:type="dxa" w:w="2493"/>
          </w:tcPr>
          <w:p>
            <w:pPr>
              <w:spacing w:after="0" w:line="240" w:lineRule="auto"/>
              <w:ind w:firstLine="0"/>
              <w:jc w:val="center"/>
            </w:pPr>
            <w:r>
              <w:rPr>
                <w:b w:val="0"/>
                <w:i w:val="0"/>
                <w:sz w:val="20"/>
              </w:rPr>
              <w:t>оксиды, соединения</w:t>
            </w:r>
          </w:p>
        </w:tc>
      </w:tr>
      <w:tr>
        <w:tc>
          <w:tcPr>
            <w:tcW w:type="dxa" w:w="2493"/>
          </w:tcPr>
          <w:p>
            <w:pPr>
              <w:spacing w:after="0" w:line="240" w:lineRule="auto"/>
              <w:ind w:firstLine="0"/>
              <w:jc w:val="left"/>
            </w:pPr>
            <w:r>
              <w:rPr>
                <w:b w:val="0"/>
                <w:i w:val="0"/>
                <w:sz w:val="20"/>
              </w:rPr>
              <w:t>Казахстан</w:t>
            </w:r>
          </w:p>
        </w:tc>
        <w:tc>
          <w:tcPr>
            <w:tcW w:type="dxa" w:w="2493"/>
          </w:tcPr>
          <w:p>
            <w:pPr>
              <w:spacing w:after="0" w:line="240" w:lineRule="auto"/>
              <w:ind w:firstLine="0"/>
              <w:jc w:val="center"/>
            </w:pPr>
            <w:r>
              <w:rPr>
                <w:b w:val="0"/>
                <w:i w:val="0"/>
                <w:sz w:val="20"/>
              </w:rPr>
              <w:t>180</w:t>
            </w:r>
          </w:p>
        </w:tc>
        <w:tc>
          <w:tcPr>
            <w:tcW w:type="dxa" w:w="2493"/>
          </w:tcPr>
          <w:p>
            <w:pPr>
              <w:spacing w:after="0" w:line="240" w:lineRule="auto"/>
              <w:ind w:firstLine="0"/>
              <w:jc w:val="center"/>
            </w:pPr>
            <w:r>
              <w:rPr>
                <w:b w:val="0"/>
                <w:i w:val="0"/>
                <w:sz w:val="20"/>
              </w:rPr>
              <w:t>1,9</w:t>
            </w:r>
          </w:p>
        </w:tc>
        <w:tc>
          <w:tcPr>
            <w:tcW w:type="dxa" w:w="2493"/>
          </w:tcPr>
          <w:p>
            <w:pPr>
              <w:spacing w:after="0" w:line="240" w:lineRule="auto"/>
              <w:ind w:firstLine="0"/>
              <w:jc w:val="center"/>
            </w:pPr>
            <w:r>
              <w:rPr>
                <w:b w:val="0"/>
                <w:i w:val="0"/>
                <w:sz w:val="20"/>
              </w:rPr>
              <w:t>соединения, лигатуры</w:t>
            </w:r>
          </w:p>
        </w:tc>
      </w:tr>
      <w:tr>
        <w:tc>
          <w:tcPr>
            <w:tcW w:type="dxa" w:w="2493"/>
          </w:tcPr>
          <w:p>
            <w:pPr>
              <w:spacing w:after="0" w:line="240" w:lineRule="auto"/>
              <w:ind w:firstLine="0"/>
              <w:jc w:val="left"/>
            </w:pPr>
            <w:r>
              <w:rPr>
                <w:b w:val="0"/>
                <w:i w:val="0"/>
                <w:sz w:val="20"/>
              </w:rPr>
              <w:t>Республика Корея</w:t>
            </w:r>
          </w:p>
        </w:tc>
        <w:tc>
          <w:tcPr>
            <w:tcW w:type="dxa" w:w="2493"/>
          </w:tcPr>
          <w:p>
            <w:pPr>
              <w:spacing w:after="0" w:line="240" w:lineRule="auto"/>
              <w:ind w:firstLine="0"/>
              <w:jc w:val="center"/>
            </w:pPr>
            <w:r>
              <w:rPr>
                <w:b w:val="0"/>
                <w:i w:val="0"/>
                <w:sz w:val="20"/>
              </w:rPr>
              <w:t>140</w:t>
            </w:r>
          </w:p>
        </w:tc>
        <w:tc>
          <w:tcPr>
            <w:tcW w:type="dxa" w:w="2493"/>
          </w:tcPr>
          <w:p>
            <w:pPr>
              <w:spacing w:after="0" w:line="240" w:lineRule="auto"/>
              <w:ind w:firstLine="0"/>
              <w:jc w:val="center"/>
            </w:pPr>
            <w:r>
              <w:rPr>
                <w:b w:val="0"/>
                <w:i w:val="0"/>
                <w:sz w:val="20"/>
              </w:rPr>
              <w:t>1,5</w:t>
            </w:r>
          </w:p>
        </w:tc>
        <w:tc>
          <w:tcPr>
            <w:tcW w:type="dxa" w:w="2493"/>
          </w:tcPr>
          <w:p>
            <w:pPr>
              <w:spacing w:after="0" w:line="240" w:lineRule="auto"/>
              <w:ind w:firstLine="0"/>
              <w:jc w:val="center"/>
            </w:pPr>
            <w:r>
              <w:rPr>
                <w:b w:val="0"/>
                <w:i w:val="0"/>
                <w:sz w:val="20"/>
              </w:rPr>
              <w:t>магнитные сборки</w:t>
            </w:r>
          </w:p>
        </w:tc>
      </w:tr>
      <w:tr>
        <w:tc>
          <w:tcPr>
            <w:tcW w:type="dxa" w:w="2493"/>
          </w:tcPr>
          <w:p>
            <w:pPr>
              <w:spacing w:after="0" w:line="240" w:lineRule="auto"/>
              <w:ind w:firstLine="0"/>
              <w:jc w:val="left"/>
            </w:pPr>
            <w:r>
              <w:rPr>
                <w:b w:val="0"/>
                <w:i w:val="0"/>
                <w:sz w:val="20"/>
              </w:rPr>
              <w:t>Турция (реэкспорт)</w:t>
            </w:r>
          </w:p>
        </w:tc>
        <w:tc>
          <w:tcPr>
            <w:tcW w:type="dxa" w:w="2493"/>
          </w:tcPr>
          <w:p>
            <w:pPr>
              <w:spacing w:after="0" w:line="240" w:lineRule="auto"/>
              <w:ind w:firstLine="0"/>
              <w:jc w:val="center"/>
            </w:pPr>
            <w:r>
              <w:rPr>
                <w:b w:val="0"/>
                <w:i w:val="0"/>
                <w:sz w:val="20"/>
              </w:rPr>
              <w:t>130</w:t>
            </w:r>
          </w:p>
        </w:tc>
        <w:tc>
          <w:tcPr>
            <w:tcW w:type="dxa" w:w="2493"/>
          </w:tcPr>
          <w:p>
            <w:pPr>
              <w:spacing w:after="0" w:line="240" w:lineRule="auto"/>
              <w:ind w:firstLine="0"/>
              <w:jc w:val="center"/>
            </w:pPr>
            <w:r>
              <w:rPr>
                <w:b w:val="0"/>
                <w:i w:val="0"/>
                <w:sz w:val="20"/>
              </w:rPr>
              <w:t>1,4</w:t>
            </w:r>
          </w:p>
        </w:tc>
        <w:tc>
          <w:tcPr>
            <w:tcW w:type="dxa" w:w="2493"/>
          </w:tcPr>
          <w:p>
            <w:pPr>
              <w:spacing w:after="0" w:line="240" w:lineRule="auto"/>
              <w:ind w:firstLine="0"/>
              <w:jc w:val="center"/>
            </w:pPr>
            <w:r>
              <w:rPr>
                <w:b w:val="0"/>
                <w:i w:val="0"/>
                <w:sz w:val="20"/>
              </w:rPr>
              <w:t>магниты, оксиды</w:t>
            </w:r>
          </w:p>
        </w:tc>
      </w:tr>
      <w:tr>
        <w:tc>
          <w:tcPr>
            <w:tcW w:type="dxa" w:w="2493"/>
          </w:tcPr>
          <w:p>
            <w:pPr>
              <w:spacing w:after="0" w:line="240" w:lineRule="auto"/>
              <w:ind w:firstLine="0"/>
              <w:jc w:val="left"/>
            </w:pPr>
            <w:r>
              <w:rPr>
                <w:b w:val="0"/>
                <w:i w:val="0"/>
                <w:sz w:val="20"/>
              </w:rPr>
              <w:t>Прочие</w:t>
            </w:r>
          </w:p>
        </w:tc>
        <w:tc>
          <w:tcPr>
            <w:tcW w:type="dxa" w:w="2493"/>
          </w:tcPr>
          <w:p>
            <w:pPr>
              <w:spacing w:after="0" w:line="240" w:lineRule="auto"/>
              <w:ind w:firstLine="0"/>
              <w:jc w:val="center"/>
            </w:pPr>
            <w:r>
              <w:rPr>
                <w:b w:val="0"/>
                <w:i w:val="0"/>
                <w:sz w:val="20"/>
              </w:rPr>
              <w:t>160</w:t>
            </w:r>
          </w:p>
        </w:tc>
        <w:tc>
          <w:tcPr>
            <w:tcW w:type="dxa" w:w="2493"/>
          </w:tcPr>
          <w:p>
            <w:pPr>
              <w:spacing w:after="0" w:line="240" w:lineRule="auto"/>
              <w:ind w:firstLine="0"/>
              <w:jc w:val="center"/>
            </w:pPr>
            <w:r>
              <w:rPr>
                <w:b w:val="0"/>
                <w:i w:val="0"/>
                <w:sz w:val="20"/>
              </w:rPr>
              <w:t>1,7</w:t>
            </w:r>
          </w:p>
        </w:tc>
        <w:tc>
          <w:tcPr>
            <w:tcW w:type="dxa" w:w="2493"/>
          </w:tcPr>
          <w:p>
            <w:pPr>
              <w:spacing w:after="0" w:line="240" w:lineRule="auto"/>
              <w:ind w:firstLine="0"/>
              <w:jc w:val="center"/>
            </w:pPr>
            <w:r>
              <w:rPr>
                <w:b w:val="0"/>
                <w:i w:val="0"/>
                <w:sz w:val="20"/>
              </w:rPr>
              <w:t>различная</w:t>
            </w:r>
          </w:p>
        </w:tc>
      </w:tr>
      <w:tr>
        <w:tc>
          <w:tcPr>
            <w:tcW w:type="dxa" w:w="2493"/>
          </w:tcPr>
          <w:p>
            <w:pPr>
              <w:spacing w:after="0" w:line="240" w:lineRule="auto"/>
              <w:ind w:firstLine="0"/>
              <w:jc w:val="left"/>
            </w:pPr>
            <w:r>
              <w:rPr>
                <w:b/>
                <w:i w:val="0"/>
                <w:sz w:val="20"/>
              </w:rPr>
              <w:t>Всего</w:t>
            </w:r>
          </w:p>
        </w:tc>
        <w:tc>
          <w:tcPr>
            <w:tcW w:type="dxa" w:w="2493"/>
          </w:tcPr>
          <w:p>
            <w:pPr>
              <w:spacing w:after="0" w:line="240" w:lineRule="auto"/>
              <w:ind w:firstLine="0"/>
              <w:jc w:val="center"/>
            </w:pPr>
            <w:r>
              <w:rPr>
                <w:b/>
                <w:i w:val="0"/>
                <w:sz w:val="20"/>
              </w:rPr>
              <w:t>9 350</w:t>
            </w:r>
          </w:p>
        </w:tc>
        <w:tc>
          <w:tcPr>
            <w:tcW w:type="dxa" w:w="2493"/>
          </w:tcPr>
          <w:p>
            <w:pPr>
              <w:spacing w:after="0" w:line="240" w:lineRule="auto"/>
              <w:ind w:firstLine="0"/>
              <w:jc w:val="center"/>
            </w:pPr>
            <w:r>
              <w:rPr>
                <w:b/>
                <w:i w:val="0"/>
                <w:sz w:val="20"/>
              </w:rPr>
              <w:t>100,0</w:t>
            </w:r>
          </w:p>
        </w:tc>
        <w:tc>
          <w:tcPr>
            <w:tcW w:type="dxa" w:w="2493"/>
          </w:tcPr>
          <w:p>
            <w:pPr>
              <w:spacing w:after="0" w:line="240" w:lineRule="auto"/>
              <w:ind w:firstLine="0"/>
              <w:jc w:val="center"/>
            </w:pPr>
          </w:p>
        </w:tc>
      </w:tr>
    </w:tbl>
    <w:p>
      <w:pPr>
        <w:spacing w:after="180"/>
        <w:ind w:firstLine="0"/>
      </w:pPr>
      <w:r>
        <w:rPr>
          <w:i/>
          <w:sz w:val="20"/>
        </w:rPr>
        <w:t>Источник: расчёт аналитического центра по зеркальной статистике</w:t>
      </w:r>
    </w:p>
    <w:p>
      <w:pPr>
        <w:keepNext/>
        <w:spacing w:before="160" w:after="60"/>
        <w:ind w:firstLine="0"/>
        <w:jc w:val="left"/>
      </w:pPr>
      <w:r>
        <w:rPr>
          <w:b/>
          <w:sz w:val="22"/>
        </w:rPr>
        <w:t>Рисунок 70. Географическая структура импорта редкоземельной продукции в РФ, 2025 г., %</w:t>
      </w:r>
    </w:p>
    <w:p>
      <w:pPr>
        <w:ind w:firstLine="0"/>
        <w:jc w:val="center"/>
      </w:pPr>
      <w:r>
        <w:drawing>
          <wp:inline xmlns:a="http://schemas.openxmlformats.org/drawingml/2006/main" xmlns:pic="http://schemas.openxmlformats.org/drawingml/2006/picture">
            <wp:extent cx="5580000" cy="3600000"/>
            <wp:docPr id="70" name="Picture 70"/>
            <wp:cNvGraphicFramePr>
              <a:graphicFrameLocks noChangeAspect="1"/>
            </wp:cNvGraphicFramePr>
            <a:graphic>
              <a:graphicData uri="http://schemas.openxmlformats.org/drawingml/2006/picture">
                <pic:pic>
                  <pic:nvPicPr>
                    <pic:cNvPr id="0" name="fig70.png"/>
                    <pic:cNvPicPr/>
                  </pic:nvPicPr>
                  <pic:blipFill>
                    <a:blip r:embed="rId80"/>
                    <a:stretch>
                      <a:fillRect/>
                    </a:stretch>
                  </pic:blipFill>
                  <pic:spPr>
                    <a:xfrm>
                      <a:off x="0" y="0"/>
                      <a:ext cx="5580000" cy="3600000"/>
                    </a:xfrm>
                    <a:prstGeom prst="rect"/>
                  </pic:spPr>
                </pic:pic>
              </a:graphicData>
            </a:graphic>
          </wp:inline>
        </w:drawing>
      </w:r>
    </w:p>
    <w:p>
      <w:pPr>
        <w:spacing w:after="180"/>
        <w:ind w:firstLine="0"/>
      </w:pPr>
      <w:r>
        <w:rPr>
          <w:i/>
          <w:sz w:val="20"/>
        </w:rPr>
        <w:t>Источник: аналитический центр (табл. 93)</w:t>
      </w:r>
    </w:p>
    <w:p>
      <w:pPr>
        <w:pStyle w:val="Heading2"/>
      </w:pPr>
      <w:r>
        <w:rPr>
          <w:b w:val="0"/>
          <w:i w:val="0"/>
        </w:rPr>
        <w:t>13.4. Импортозависимость и её структура</w:t>
      </w:r>
    </w:p>
    <w:p>
      <w:r>
        <w:rPr>
          <w:b w:val="0"/>
          <w:i w:val="0"/>
        </w:rPr>
        <w:t>Уровень импортозависимости различается по переделам, и именно эта дифференциация определяет приоритеты промышленной политики.</w:t>
      </w:r>
    </w:p>
    <w:p>
      <w:pPr>
        <w:keepNext/>
        <w:spacing w:before="160" w:after="60"/>
        <w:ind w:firstLine="0"/>
        <w:jc w:val="left"/>
      </w:pPr>
      <w:r>
        <w:rPr>
          <w:b/>
          <w:sz w:val="22"/>
        </w:rPr>
        <w:t>Таблица 94. Уровень импортозависимости Российской Федерации по видам редкоземельной продукции, 2025 г.</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Вид продукции</w:t>
            </w:r>
          </w:p>
        </w:tc>
        <w:tc>
          <w:tcPr>
            <w:tcW w:type="dxa" w:w="1995"/>
            <w:shd w:val="clear" w:fill="DCE6F1"/>
          </w:tcPr>
          <w:p>
            <w:pPr>
              <w:spacing w:after="0" w:line="240" w:lineRule="auto"/>
              <w:ind w:firstLine="0"/>
              <w:jc w:val="center"/>
            </w:pPr>
            <w:r>
              <w:rPr>
                <w:b/>
                <w:i w:val="0"/>
                <w:sz w:val="20"/>
              </w:rPr>
              <w:t>Потребление, т</w:t>
            </w:r>
          </w:p>
        </w:tc>
        <w:tc>
          <w:tcPr>
            <w:tcW w:type="dxa" w:w="1995"/>
            <w:shd w:val="clear" w:fill="DCE6F1"/>
          </w:tcPr>
          <w:p>
            <w:pPr>
              <w:spacing w:after="0" w:line="240" w:lineRule="auto"/>
              <w:ind w:firstLine="0"/>
              <w:jc w:val="center"/>
            </w:pPr>
            <w:r>
              <w:rPr>
                <w:b/>
                <w:i w:val="0"/>
                <w:sz w:val="20"/>
              </w:rPr>
              <w:t>Собств. произв., т</w:t>
            </w:r>
          </w:p>
        </w:tc>
        <w:tc>
          <w:tcPr>
            <w:tcW w:type="dxa" w:w="1995"/>
            <w:shd w:val="clear" w:fill="DCE6F1"/>
          </w:tcPr>
          <w:p>
            <w:pPr>
              <w:spacing w:after="0" w:line="240" w:lineRule="auto"/>
              <w:ind w:firstLine="0"/>
              <w:jc w:val="center"/>
            </w:pPr>
            <w:r>
              <w:rPr>
                <w:b/>
                <w:i w:val="0"/>
                <w:sz w:val="20"/>
              </w:rPr>
              <w:t>Импорт, т</w:t>
            </w:r>
          </w:p>
        </w:tc>
        <w:tc>
          <w:tcPr>
            <w:tcW w:type="dxa" w:w="1995"/>
            <w:shd w:val="clear" w:fill="DCE6F1"/>
          </w:tcPr>
          <w:p>
            <w:pPr>
              <w:spacing w:after="0" w:line="240" w:lineRule="auto"/>
              <w:ind w:firstLine="0"/>
              <w:jc w:val="center"/>
            </w:pPr>
            <w:r>
              <w:rPr>
                <w:b/>
                <w:i w:val="0"/>
                <w:sz w:val="20"/>
              </w:rPr>
              <w:t>Импортозависимость, %</w:t>
            </w:r>
          </w:p>
        </w:tc>
      </w:tr>
      <w:tr>
        <w:tc>
          <w:tcPr>
            <w:tcW w:type="dxa" w:w="1995"/>
          </w:tcPr>
          <w:p>
            <w:pPr>
              <w:spacing w:after="0" w:line="240" w:lineRule="auto"/>
              <w:ind w:firstLine="0"/>
              <w:jc w:val="left"/>
            </w:pPr>
            <w:r>
              <w:rPr>
                <w:b w:val="0"/>
                <w:i w:val="0"/>
                <w:sz w:val="20"/>
              </w:rPr>
              <w:t>Оксид лантана</w:t>
            </w:r>
          </w:p>
        </w:tc>
        <w:tc>
          <w:tcPr>
            <w:tcW w:type="dxa" w:w="1995"/>
          </w:tcPr>
          <w:p>
            <w:pPr>
              <w:spacing w:after="0" w:line="240" w:lineRule="auto"/>
              <w:ind w:firstLine="0"/>
              <w:jc w:val="center"/>
            </w:pPr>
            <w:r>
              <w:rPr>
                <w:b w:val="0"/>
                <w:i w:val="0"/>
                <w:sz w:val="20"/>
              </w:rPr>
              <w:t>320</w:t>
            </w:r>
          </w:p>
        </w:tc>
        <w:tc>
          <w:tcPr>
            <w:tcW w:type="dxa" w:w="1995"/>
          </w:tcPr>
          <w:p>
            <w:pPr>
              <w:spacing w:after="0" w:line="240" w:lineRule="auto"/>
              <w:ind w:firstLine="0"/>
              <w:jc w:val="center"/>
            </w:pPr>
            <w:r>
              <w:rPr>
                <w:b w:val="0"/>
                <w:i w:val="0"/>
                <w:sz w:val="20"/>
              </w:rPr>
              <w:t>120</w:t>
            </w:r>
          </w:p>
        </w:tc>
        <w:tc>
          <w:tcPr>
            <w:tcW w:type="dxa" w:w="1995"/>
          </w:tcPr>
          <w:p>
            <w:pPr>
              <w:spacing w:after="0" w:line="240" w:lineRule="auto"/>
              <w:ind w:firstLine="0"/>
              <w:jc w:val="center"/>
            </w:pPr>
            <w:r>
              <w:rPr>
                <w:b w:val="0"/>
                <w:i w:val="0"/>
                <w:sz w:val="20"/>
              </w:rPr>
              <w:t>200</w:t>
            </w:r>
          </w:p>
        </w:tc>
        <w:tc>
          <w:tcPr>
            <w:tcW w:type="dxa" w:w="1995"/>
          </w:tcPr>
          <w:p>
            <w:pPr>
              <w:spacing w:after="0" w:line="240" w:lineRule="auto"/>
              <w:ind w:firstLine="0"/>
              <w:jc w:val="center"/>
            </w:pPr>
            <w:r>
              <w:rPr>
                <w:b w:val="0"/>
                <w:i w:val="0"/>
                <w:sz w:val="20"/>
              </w:rPr>
              <w:t>62</w:t>
            </w:r>
          </w:p>
        </w:tc>
      </w:tr>
      <w:tr>
        <w:tc>
          <w:tcPr>
            <w:tcW w:type="dxa" w:w="1995"/>
          </w:tcPr>
          <w:p>
            <w:pPr>
              <w:spacing w:after="0" w:line="240" w:lineRule="auto"/>
              <w:ind w:firstLine="0"/>
              <w:jc w:val="left"/>
            </w:pPr>
            <w:r>
              <w:rPr>
                <w:b w:val="0"/>
                <w:i w:val="0"/>
                <w:sz w:val="20"/>
              </w:rPr>
              <w:t>Оксид церия</w:t>
            </w:r>
          </w:p>
        </w:tc>
        <w:tc>
          <w:tcPr>
            <w:tcW w:type="dxa" w:w="1995"/>
          </w:tcPr>
          <w:p>
            <w:pPr>
              <w:spacing w:after="0" w:line="240" w:lineRule="auto"/>
              <w:ind w:firstLine="0"/>
              <w:jc w:val="center"/>
            </w:pPr>
            <w:r>
              <w:rPr>
                <w:b w:val="0"/>
                <w:i w:val="0"/>
                <w:sz w:val="20"/>
              </w:rPr>
              <w:t>850</w:t>
            </w:r>
          </w:p>
        </w:tc>
        <w:tc>
          <w:tcPr>
            <w:tcW w:type="dxa" w:w="1995"/>
          </w:tcPr>
          <w:p>
            <w:pPr>
              <w:spacing w:after="0" w:line="240" w:lineRule="auto"/>
              <w:ind w:firstLine="0"/>
              <w:jc w:val="center"/>
            </w:pPr>
            <w:r>
              <w:rPr>
                <w:b w:val="0"/>
                <w:i w:val="0"/>
                <w:sz w:val="20"/>
              </w:rPr>
              <w:t>160</w:t>
            </w:r>
          </w:p>
        </w:tc>
        <w:tc>
          <w:tcPr>
            <w:tcW w:type="dxa" w:w="1995"/>
          </w:tcPr>
          <w:p>
            <w:pPr>
              <w:spacing w:after="0" w:line="240" w:lineRule="auto"/>
              <w:ind w:firstLine="0"/>
              <w:jc w:val="center"/>
            </w:pPr>
            <w:r>
              <w:rPr>
                <w:b w:val="0"/>
                <w:i w:val="0"/>
                <w:sz w:val="20"/>
              </w:rPr>
              <w:t>690</w:t>
            </w:r>
          </w:p>
        </w:tc>
        <w:tc>
          <w:tcPr>
            <w:tcW w:type="dxa" w:w="1995"/>
          </w:tcPr>
          <w:p>
            <w:pPr>
              <w:spacing w:after="0" w:line="240" w:lineRule="auto"/>
              <w:ind w:firstLine="0"/>
              <w:jc w:val="center"/>
            </w:pPr>
            <w:r>
              <w:rPr>
                <w:b w:val="0"/>
                <w:i w:val="0"/>
                <w:sz w:val="20"/>
              </w:rPr>
              <w:t>81</w:t>
            </w:r>
          </w:p>
        </w:tc>
      </w:tr>
      <w:tr>
        <w:tc>
          <w:tcPr>
            <w:tcW w:type="dxa" w:w="1995"/>
          </w:tcPr>
          <w:p>
            <w:pPr>
              <w:spacing w:after="0" w:line="240" w:lineRule="auto"/>
              <w:ind w:firstLine="0"/>
              <w:jc w:val="left"/>
            </w:pPr>
            <w:r>
              <w:rPr>
                <w:b w:val="0"/>
                <w:i w:val="0"/>
                <w:sz w:val="20"/>
              </w:rPr>
              <w:t>Оксид неодима</w:t>
            </w:r>
          </w:p>
        </w:tc>
        <w:tc>
          <w:tcPr>
            <w:tcW w:type="dxa" w:w="1995"/>
          </w:tcPr>
          <w:p>
            <w:pPr>
              <w:spacing w:after="0" w:line="240" w:lineRule="auto"/>
              <w:ind w:firstLine="0"/>
              <w:jc w:val="center"/>
            </w:pPr>
            <w:r>
              <w:rPr>
                <w:b w:val="0"/>
                <w:i w:val="0"/>
                <w:sz w:val="20"/>
              </w:rPr>
              <w:t>210</w:t>
            </w:r>
          </w:p>
        </w:tc>
        <w:tc>
          <w:tcPr>
            <w:tcW w:type="dxa" w:w="1995"/>
          </w:tcPr>
          <w:p>
            <w:pPr>
              <w:spacing w:after="0" w:line="240" w:lineRule="auto"/>
              <w:ind w:firstLine="0"/>
              <w:jc w:val="center"/>
            </w:pPr>
            <w:r>
              <w:rPr>
                <w:b w:val="0"/>
                <w:i w:val="0"/>
                <w:sz w:val="20"/>
              </w:rPr>
              <w:t>85</w:t>
            </w:r>
          </w:p>
        </w:tc>
        <w:tc>
          <w:tcPr>
            <w:tcW w:type="dxa" w:w="1995"/>
          </w:tcPr>
          <w:p>
            <w:pPr>
              <w:spacing w:after="0" w:line="240" w:lineRule="auto"/>
              <w:ind w:firstLine="0"/>
              <w:jc w:val="center"/>
            </w:pPr>
            <w:r>
              <w:rPr>
                <w:b w:val="0"/>
                <w:i w:val="0"/>
                <w:sz w:val="20"/>
              </w:rPr>
              <w:t>125</w:t>
            </w:r>
          </w:p>
        </w:tc>
        <w:tc>
          <w:tcPr>
            <w:tcW w:type="dxa" w:w="1995"/>
          </w:tcPr>
          <w:p>
            <w:pPr>
              <w:spacing w:after="0" w:line="240" w:lineRule="auto"/>
              <w:ind w:firstLine="0"/>
              <w:jc w:val="center"/>
            </w:pPr>
            <w:r>
              <w:rPr>
                <w:b w:val="0"/>
                <w:i w:val="0"/>
                <w:sz w:val="20"/>
              </w:rPr>
              <w:t>60</w:t>
            </w:r>
          </w:p>
        </w:tc>
      </w:tr>
      <w:tr>
        <w:tc>
          <w:tcPr>
            <w:tcW w:type="dxa" w:w="1995"/>
          </w:tcPr>
          <w:p>
            <w:pPr>
              <w:spacing w:after="0" w:line="240" w:lineRule="auto"/>
              <w:ind w:firstLine="0"/>
              <w:jc w:val="left"/>
            </w:pPr>
            <w:r>
              <w:rPr>
                <w:b w:val="0"/>
                <w:i w:val="0"/>
                <w:sz w:val="20"/>
              </w:rPr>
              <w:t>Оксид празеодима</w:t>
            </w:r>
          </w:p>
        </w:tc>
        <w:tc>
          <w:tcPr>
            <w:tcW w:type="dxa" w:w="1995"/>
          </w:tcPr>
          <w:p>
            <w:pPr>
              <w:spacing w:after="0" w:line="240" w:lineRule="auto"/>
              <w:ind w:firstLine="0"/>
              <w:jc w:val="center"/>
            </w:pPr>
            <w:r>
              <w:rPr>
                <w:b w:val="0"/>
                <w:i w:val="0"/>
                <w:sz w:val="20"/>
              </w:rPr>
              <w:t>65</w:t>
            </w:r>
          </w:p>
        </w:tc>
        <w:tc>
          <w:tcPr>
            <w:tcW w:type="dxa" w:w="1995"/>
          </w:tcPr>
          <w:p>
            <w:pPr>
              <w:spacing w:after="0" w:line="240" w:lineRule="auto"/>
              <w:ind w:firstLine="0"/>
              <w:jc w:val="center"/>
            </w:pPr>
            <w:r>
              <w:rPr>
                <w:b w:val="0"/>
                <w:i w:val="0"/>
                <w:sz w:val="20"/>
              </w:rPr>
              <w:t>30</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54</w:t>
            </w:r>
          </w:p>
        </w:tc>
      </w:tr>
      <w:tr>
        <w:tc>
          <w:tcPr>
            <w:tcW w:type="dxa" w:w="1995"/>
          </w:tcPr>
          <w:p>
            <w:pPr>
              <w:spacing w:after="0" w:line="240" w:lineRule="auto"/>
              <w:ind w:firstLine="0"/>
              <w:jc w:val="left"/>
            </w:pPr>
            <w:r>
              <w:rPr>
                <w:b w:val="0"/>
                <w:i w:val="0"/>
                <w:sz w:val="20"/>
              </w:rPr>
              <w:t>Оксид самария</w:t>
            </w:r>
          </w:p>
        </w:tc>
        <w:tc>
          <w:tcPr>
            <w:tcW w:type="dxa" w:w="1995"/>
          </w:tcPr>
          <w:p>
            <w:pPr>
              <w:spacing w:after="0" w:line="240" w:lineRule="auto"/>
              <w:ind w:firstLine="0"/>
              <w:jc w:val="center"/>
            </w:pPr>
            <w:r>
              <w:rPr>
                <w:b w:val="0"/>
                <w:i w:val="0"/>
                <w:sz w:val="20"/>
              </w:rPr>
              <w:t>18</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6</w:t>
            </w:r>
          </w:p>
        </w:tc>
        <w:tc>
          <w:tcPr>
            <w:tcW w:type="dxa" w:w="1995"/>
          </w:tcPr>
          <w:p>
            <w:pPr>
              <w:spacing w:after="0" w:line="240" w:lineRule="auto"/>
              <w:ind w:firstLine="0"/>
              <w:jc w:val="center"/>
            </w:pPr>
            <w:r>
              <w:rPr>
                <w:b w:val="0"/>
                <w:i w:val="0"/>
                <w:sz w:val="20"/>
              </w:rPr>
              <w:t>33</w:t>
            </w:r>
          </w:p>
        </w:tc>
      </w:tr>
      <w:tr>
        <w:tc>
          <w:tcPr>
            <w:tcW w:type="dxa" w:w="1995"/>
          </w:tcPr>
          <w:p>
            <w:pPr>
              <w:spacing w:after="0" w:line="240" w:lineRule="auto"/>
              <w:ind w:firstLine="0"/>
              <w:jc w:val="left"/>
            </w:pPr>
            <w:r>
              <w:rPr>
                <w:b w:val="0"/>
                <w:i w:val="0"/>
                <w:sz w:val="20"/>
              </w:rPr>
              <w:t>Оксид гадолиния</w:t>
            </w:r>
          </w:p>
        </w:tc>
        <w:tc>
          <w:tcPr>
            <w:tcW w:type="dxa" w:w="1995"/>
          </w:tcPr>
          <w:p>
            <w:pPr>
              <w:spacing w:after="0" w:line="240" w:lineRule="auto"/>
              <w:ind w:firstLine="0"/>
              <w:jc w:val="center"/>
            </w:pPr>
            <w:r>
              <w:rPr>
                <w:b w:val="0"/>
                <w:i w:val="0"/>
                <w:sz w:val="20"/>
              </w:rPr>
              <w:t>42</w:t>
            </w:r>
          </w:p>
        </w:tc>
        <w:tc>
          <w:tcPr>
            <w:tcW w:type="dxa" w:w="1995"/>
          </w:tcPr>
          <w:p>
            <w:pPr>
              <w:spacing w:after="0" w:line="240" w:lineRule="auto"/>
              <w:ind w:firstLine="0"/>
              <w:jc w:val="center"/>
            </w:pPr>
            <w:r>
              <w:rPr>
                <w:b w:val="0"/>
                <w:i w:val="0"/>
                <w:sz w:val="20"/>
              </w:rPr>
              <w:t>13</w:t>
            </w:r>
          </w:p>
        </w:tc>
        <w:tc>
          <w:tcPr>
            <w:tcW w:type="dxa" w:w="1995"/>
          </w:tcPr>
          <w:p>
            <w:pPr>
              <w:spacing w:after="0" w:line="240" w:lineRule="auto"/>
              <w:ind w:firstLine="0"/>
              <w:jc w:val="center"/>
            </w:pPr>
            <w:r>
              <w:rPr>
                <w:b w:val="0"/>
                <w:i w:val="0"/>
                <w:sz w:val="20"/>
              </w:rPr>
              <w:t>29</w:t>
            </w:r>
          </w:p>
        </w:tc>
        <w:tc>
          <w:tcPr>
            <w:tcW w:type="dxa" w:w="1995"/>
          </w:tcPr>
          <w:p>
            <w:pPr>
              <w:spacing w:after="0" w:line="240" w:lineRule="auto"/>
              <w:ind w:firstLine="0"/>
              <w:jc w:val="center"/>
            </w:pPr>
            <w:r>
              <w:rPr>
                <w:b w:val="0"/>
                <w:i w:val="0"/>
                <w:sz w:val="20"/>
              </w:rPr>
              <w:t>69</w:t>
            </w:r>
          </w:p>
        </w:tc>
      </w:tr>
      <w:tr>
        <w:tc>
          <w:tcPr>
            <w:tcW w:type="dxa" w:w="1995"/>
          </w:tcPr>
          <w:p>
            <w:pPr>
              <w:spacing w:after="0" w:line="240" w:lineRule="auto"/>
              <w:ind w:firstLine="0"/>
              <w:jc w:val="left"/>
            </w:pPr>
            <w:r>
              <w:rPr>
                <w:b w:val="0"/>
                <w:i w:val="0"/>
                <w:sz w:val="20"/>
              </w:rPr>
              <w:t>Оксид диспрозия</w:t>
            </w:r>
          </w:p>
        </w:tc>
        <w:tc>
          <w:tcPr>
            <w:tcW w:type="dxa" w:w="1995"/>
          </w:tcPr>
          <w:p>
            <w:pPr>
              <w:spacing w:after="0" w:line="240" w:lineRule="auto"/>
              <w:ind w:firstLine="0"/>
              <w:jc w:val="center"/>
            </w:pPr>
            <w:r>
              <w:rPr>
                <w:b w:val="0"/>
                <w:i w:val="0"/>
                <w:sz w:val="20"/>
              </w:rPr>
              <w:t>32</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32</w:t>
            </w:r>
          </w:p>
        </w:tc>
        <w:tc>
          <w:tcPr>
            <w:tcW w:type="dxa" w:w="1995"/>
          </w:tcPr>
          <w:p>
            <w:pPr>
              <w:spacing w:after="0" w:line="240" w:lineRule="auto"/>
              <w:ind w:firstLine="0"/>
              <w:jc w:val="center"/>
            </w:pPr>
            <w:r>
              <w:rPr>
                <w:b w:val="0"/>
                <w:i w:val="0"/>
                <w:sz w:val="20"/>
              </w:rPr>
              <w:t>100</w:t>
            </w:r>
          </w:p>
        </w:tc>
      </w:tr>
      <w:tr>
        <w:tc>
          <w:tcPr>
            <w:tcW w:type="dxa" w:w="1995"/>
          </w:tcPr>
          <w:p>
            <w:pPr>
              <w:spacing w:after="0" w:line="240" w:lineRule="auto"/>
              <w:ind w:firstLine="0"/>
              <w:jc w:val="left"/>
            </w:pPr>
            <w:r>
              <w:rPr>
                <w:b w:val="0"/>
                <w:i w:val="0"/>
                <w:sz w:val="20"/>
              </w:rPr>
              <w:t>Оксид тербия</w:t>
            </w:r>
          </w:p>
        </w:tc>
        <w:tc>
          <w:tcPr>
            <w:tcW w:type="dxa" w:w="1995"/>
          </w:tcPr>
          <w:p>
            <w:pPr>
              <w:spacing w:after="0" w:line="240" w:lineRule="auto"/>
              <w:ind w:firstLine="0"/>
              <w:jc w:val="center"/>
            </w:pPr>
            <w:r>
              <w:rPr>
                <w:b w:val="0"/>
                <w:i w:val="0"/>
                <w:sz w:val="20"/>
              </w:rPr>
              <w:t>8</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8</w:t>
            </w:r>
          </w:p>
        </w:tc>
        <w:tc>
          <w:tcPr>
            <w:tcW w:type="dxa" w:w="1995"/>
          </w:tcPr>
          <w:p>
            <w:pPr>
              <w:spacing w:after="0" w:line="240" w:lineRule="auto"/>
              <w:ind w:firstLine="0"/>
              <w:jc w:val="center"/>
            </w:pPr>
            <w:r>
              <w:rPr>
                <w:b w:val="0"/>
                <w:i w:val="0"/>
                <w:sz w:val="20"/>
              </w:rPr>
              <w:t>100</w:t>
            </w:r>
          </w:p>
        </w:tc>
      </w:tr>
      <w:tr>
        <w:tc>
          <w:tcPr>
            <w:tcW w:type="dxa" w:w="1995"/>
          </w:tcPr>
          <w:p>
            <w:pPr>
              <w:spacing w:after="0" w:line="240" w:lineRule="auto"/>
              <w:ind w:firstLine="0"/>
              <w:jc w:val="left"/>
            </w:pPr>
            <w:r>
              <w:rPr>
                <w:b w:val="0"/>
                <w:i w:val="0"/>
                <w:sz w:val="20"/>
              </w:rPr>
              <w:t>Оксид иттрия</w:t>
            </w:r>
          </w:p>
        </w:tc>
        <w:tc>
          <w:tcPr>
            <w:tcW w:type="dxa" w:w="1995"/>
          </w:tcPr>
          <w:p>
            <w:pPr>
              <w:spacing w:after="0" w:line="240" w:lineRule="auto"/>
              <w:ind w:firstLine="0"/>
              <w:jc w:val="center"/>
            </w:pPr>
            <w:r>
              <w:rPr>
                <w:b w:val="0"/>
                <w:i w:val="0"/>
                <w:sz w:val="20"/>
              </w:rPr>
              <w:t>180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180</w:t>
            </w:r>
          </w:p>
        </w:tc>
        <w:tc>
          <w:tcPr>
            <w:tcW w:type="dxa" w:w="1995"/>
          </w:tcPr>
          <w:p>
            <w:pPr>
              <w:spacing w:after="0" w:line="240" w:lineRule="auto"/>
              <w:ind w:firstLine="0"/>
              <w:jc w:val="center"/>
            </w:pPr>
            <w:r>
              <w:rPr>
                <w:b w:val="0"/>
                <w:i w:val="0"/>
                <w:sz w:val="20"/>
              </w:rPr>
              <w:t>100</w:t>
            </w:r>
          </w:p>
        </w:tc>
      </w:tr>
      <w:tr>
        <w:tc>
          <w:tcPr>
            <w:tcW w:type="dxa" w:w="1995"/>
          </w:tcPr>
          <w:p>
            <w:pPr>
              <w:spacing w:after="0" w:line="240" w:lineRule="auto"/>
              <w:ind w:firstLine="0"/>
              <w:jc w:val="left"/>
            </w:pPr>
            <w:r>
              <w:rPr>
                <w:b w:val="0"/>
                <w:i w:val="0"/>
                <w:sz w:val="20"/>
              </w:rPr>
              <w:t>Оксид европия</w:t>
            </w:r>
          </w:p>
        </w:tc>
        <w:tc>
          <w:tcPr>
            <w:tcW w:type="dxa" w:w="1995"/>
          </w:tcPr>
          <w:p>
            <w:pPr>
              <w:spacing w:after="0" w:line="240" w:lineRule="auto"/>
              <w:ind w:firstLine="0"/>
              <w:jc w:val="center"/>
            </w:pPr>
            <w:r>
              <w:rPr>
                <w:b w:val="0"/>
                <w:i w:val="0"/>
                <w:sz w:val="20"/>
              </w:rPr>
              <w:t>4</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4</w:t>
            </w:r>
          </w:p>
        </w:tc>
        <w:tc>
          <w:tcPr>
            <w:tcW w:type="dxa" w:w="1995"/>
          </w:tcPr>
          <w:p>
            <w:pPr>
              <w:spacing w:after="0" w:line="240" w:lineRule="auto"/>
              <w:ind w:firstLine="0"/>
              <w:jc w:val="center"/>
            </w:pPr>
            <w:r>
              <w:rPr>
                <w:b w:val="0"/>
                <w:i w:val="0"/>
                <w:sz w:val="20"/>
              </w:rPr>
              <w:t>100</w:t>
            </w:r>
          </w:p>
        </w:tc>
      </w:tr>
      <w:tr>
        <w:tc>
          <w:tcPr>
            <w:tcW w:type="dxa" w:w="1995"/>
          </w:tcPr>
          <w:p>
            <w:pPr>
              <w:spacing w:after="0" w:line="240" w:lineRule="auto"/>
              <w:ind w:firstLine="0"/>
              <w:jc w:val="left"/>
            </w:pPr>
            <w:r>
              <w:rPr>
                <w:b w:val="0"/>
                <w:i w:val="0"/>
                <w:sz w:val="20"/>
              </w:rPr>
              <w:t>Металлы и лигатуры</w:t>
            </w:r>
          </w:p>
        </w:tc>
        <w:tc>
          <w:tcPr>
            <w:tcW w:type="dxa" w:w="1995"/>
          </w:tcPr>
          <w:p>
            <w:pPr>
              <w:spacing w:after="0" w:line="240" w:lineRule="auto"/>
              <w:ind w:firstLine="0"/>
              <w:jc w:val="center"/>
            </w:pPr>
            <w:r>
              <w:rPr>
                <w:b w:val="0"/>
                <w:i w:val="0"/>
                <w:sz w:val="20"/>
              </w:rPr>
              <w:t>360</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320</w:t>
            </w:r>
          </w:p>
        </w:tc>
        <w:tc>
          <w:tcPr>
            <w:tcW w:type="dxa" w:w="1995"/>
          </w:tcPr>
          <w:p>
            <w:pPr>
              <w:spacing w:after="0" w:line="240" w:lineRule="auto"/>
              <w:ind w:firstLine="0"/>
              <w:jc w:val="center"/>
            </w:pPr>
            <w:r>
              <w:rPr>
                <w:b w:val="0"/>
                <w:i w:val="0"/>
                <w:sz w:val="20"/>
              </w:rPr>
              <w:t>89</w:t>
            </w:r>
          </w:p>
        </w:tc>
      </w:tr>
      <w:tr>
        <w:tc>
          <w:tcPr>
            <w:tcW w:type="dxa" w:w="1995"/>
          </w:tcPr>
          <w:p>
            <w:pPr>
              <w:spacing w:after="0" w:line="240" w:lineRule="auto"/>
              <w:ind w:firstLine="0"/>
              <w:jc w:val="left"/>
            </w:pPr>
            <w:r>
              <w:rPr>
                <w:b w:val="0"/>
                <w:i w:val="0"/>
                <w:sz w:val="20"/>
              </w:rPr>
              <w:t>Магниты NdFeB</w:t>
            </w:r>
          </w:p>
        </w:tc>
        <w:tc>
          <w:tcPr>
            <w:tcW w:type="dxa" w:w="1995"/>
          </w:tcPr>
          <w:p>
            <w:pPr>
              <w:spacing w:after="0" w:line="240" w:lineRule="auto"/>
              <w:ind w:firstLine="0"/>
              <w:jc w:val="center"/>
            </w:pPr>
            <w:r>
              <w:rPr>
                <w:b w:val="0"/>
                <w:i w:val="0"/>
                <w:sz w:val="20"/>
              </w:rPr>
              <w:t>5 660</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5 600</w:t>
            </w:r>
          </w:p>
        </w:tc>
        <w:tc>
          <w:tcPr>
            <w:tcW w:type="dxa" w:w="1995"/>
          </w:tcPr>
          <w:p>
            <w:pPr>
              <w:spacing w:after="0" w:line="240" w:lineRule="auto"/>
              <w:ind w:firstLine="0"/>
              <w:jc w:val="center"/>
            </w:pPr>
            <w:r>
              <w:rPr>
                <w:b w:val="0"/>
                <w:i w:val="0"/>
                <w:sz w:val="20"/>
              </w:rPr>
              <w:t>99</w:t>
            </w:r>
          </w:p>
        </w:tc>
      </w:tr>
      <w:tr>
        <w:tc>
          <w:tcPr>
            <w:tcW w:type="dxa" w:w="1995"/>
          </w:tcPr>
          <w:p>
            <w:pPr>
              <w:spacing w:after="0" w:line="240" w:lineRule="auto"/>
              <w:ind w:firstLine="0"/>
              <w:jc w:val="left"/>
            </w:pPr>
            <w:r>
              <w:rPr>
                <w:b w:val="0"/>
                <w:i w:val="0"/>
                <w:sz w:val="20"/>
              </w:rPr>
              <w:t>Магниты SmCo</w:t>
            </w:r>
          </w:p>
        </w:tc>
        <w:tc>
          <w:tcPr>
            <w:tcW w:type="dxa" w:w="1995"/>
          </w:tcPr>
          <w:p>
            <w:pPr>
              <w:spacing w:after="0" w:line="240" w:lineRule="auto"/>
              <w:ind w:firstLine="0"/>
              <w:jc w:val="center"/>
            </w:pPr>
            <w:r>
              <w:rPr>
                <w:b w:val="0"/>
                <w:i w:val="0"/>
                <w:sz w:val="20"/>
              </w:rPr>
              <w:t>85</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71</w:t>
            </w:r>
          </w:p>
        </w:tc>
      </w:tr>
    </w:tbl>
    <w:p>
      <w:pPr>
        <w:spacing w:after="180"/>
        <w:ind w:firstLine="0"/>
      </w:pPr>
      <w:r>
        <w:rPr>
          <w:i/>
          <w:sz w:val="20"/>
        </w:rPr>
        <w:t>Источник: расчёт аналитического центра</w:t>
      </w:r>
    </w:p>
    <w:p>
      <w:pPr>
        <w:keepNext/>
        <w:spacing w:before="160" w:after="60"/>
        <w:ind w:firstLine="0"/>
        <w:jc w:val="left"/>
      </w:pPr>
      <w:r>
        <w:rPr>
          <w:b/>
          <w:sz w:val="22"/>
        </w:rPr>
        <w:t>Рисунок 71. Уровень импортозависимости РФ по видам редкоземельной продукции, %</w:t>
      </w:r>
    </w:p>
    <w:p>
      <w:pPr>
        <w:ind w:firstLine="0"/>
        <w:jc w:val="center"/>
      </w:pPr>
      <w:r>
        <w:drawing>
          <wp:inline xmlns:a="http://schemas.openxmlformats.org/drawingml/2006/main" xmlns:pic="http://schemas.openxmlformats.org/drawingml/2006/picture">
            <wp:extent cx="5580000" cy="2749565"/>
            <wp:docPr id="71" name="Picture 71"/>
            <wp:cNvGraphicFramePr>
              <a:graphicFrameLocks noChangeAspect="1"/>
            </wp:cNvGraphicFramePr>
            <a:graphic>
              <a:graphicData uri="http://schemas.openxmlformats.org/drawingml/2006/picture">
                <pic:pic>
                  <pic:nvPicPr>
                    <pic:cNvPr id="0" name="fig71.png"/>
                    <pic:cNvPicPr/>
                  </pic:nvPicPr>
                  <pic:blipFill>
                    <a:blip r:embed="rId81"/>
                    <a:stretch>
                      <a:fillRect/>
                    </a:stretch>
                  </pic:blipFill>
                  <pic:spPr>
                    <a:xfrm>
                      <a:off x="0" y="0"/>
                      <a:ext cx="5580000" cy="2749565"/>
                    </a:xfrm>
                    <a:prstGeom prst="rect"/>
                  </pic:spPr>
                </pic:pic>
              </a:graphicData>
            </a:graphic>
          </wp:inline>
        </w:drawing>
      </w:r>
    </w:p>
    <w:p>
      <w:pPr>
        <w:spacing w:after="180"/>
        <w:ind w:firstLine="0"/>
      </w:pPr>
      <w:r>
        <w:rPr>
          <w:i/>
          <w:sz w:val="20"/>
        </w:rPr>
        <w:t>Источник: аналитический центр (табл. 94)</w:t>
      </w:r>
    </w:p>
    <w:p>
      <w:r>
        <w:rPr>
          <w:b w:val="0"/>
          <w:i w:val="0"/>
        </w:rPr>
        <w:t>Структура импортозависимости позволяет выделить три группы позиций:</w:t>
      </w:r>
    </w:p>
    <w:p>
      <w:r>
        <w:rPr>
          <w:b/>
          <w:i w:val="0"/>
        </w:rPr>
        <w:t>Группа 1 — критическая зависимость (95–100%):</w:t>
      </w:r>
      <w:r>
        <w:rPr>
          <w:b w:val="0"/>
          <w:i w:val="0"/>
        </w:rPr>
        <w:t xml:space="preserve"> постоянные магниты NdFeB, оксиды диспрозия, тербия, иттрия, европия. Собственное производство отсутствует полностью, альтернативных поставщиков помимо КНР практически нет, продукция подпадает под китайский экспортный контроль. Эта группа определяет реальный уровень уязвимости.</w:t>
      </w:r>
    </w:p>
    <w:p>
      <w:r>
        <w:rPr>
          <w:b/>
          <w:i w:val="0"/>
        </w:rPr>
        <w:t>Группа 2 — высокая зависимость (60–90%):</w:t>
      </w:r>
      <w:r>
        <w:rPr>
          <w:b w:val="0"/>
          <w:i w:val="0"/>
        </w:rPr>
        <w:t xml:space="preserve"> металлы и лигатуры, оксиды церия, гадолиния, лантана, неодима. Собственное производство существует, но недостаточно по объёму и номенклатуре. Устранение зависимости достижимо в горизонте 3–5 лет при расширении разделительного производства.</w:t>
      </w:r>
    </w:p>
    <w:p>
      <w:r>
        <w:rPr>
          <w:b/>
          <w:i w:val="0"/>
        </w:rPr>
        <w:t>Группа 3 — умеренная зависимость (менее 50%):</w:t>
      </w:r>
      <w:r>
        <w:rPr>
          <w:b w:val="0"/>
          <w:i w:val="0"/>
        </w:rPr>
        <w:t xml:space="preserve"> оксид самария, отдельные соединения. Потребность в основном покрывается собственным производством.</w:t>
      </w:r>
    </w:p>
    <w:p>
      <w:pPr>
        <w:pStyle w:val="Heading2"/>
      </w:pPr>
      <w:r>
        <w:rPr>
          <w:b w:val="0"/>
          <w:i w:val="0"/>
        </w:rPr>
        <w:t>13.5. Влияние санкционных и логистических ограничений</w:t>
      </w:r>
    </w:p>
    <w:p>
      <w:r>
        <w:rPr>
          <w:b w:val="0"/>
          <w:i w:val="0"/>
        </w:rPr>
        <w:t>Внешнеторговый режим российской редкоземельной отрасли после 2022 г. определяется совокупностью факторов:</w:t>
      </w:r>
    </w:p>
    <w:p>
      <w:r>
        <w:rPr>
          <w:b/>
          <w:i w:val="0"/>
        </w:rPr>
        <w:t>Ограничения со стороны недружественных государств.</w:t>
      </w:r>
      <w:r>
        <w:rPr>
          <w:b w:val="0"/>
          <w:i w:val="0"/>
        </w:rPr>
        <w:t xml:space="preserve"> Прямые санкции против редкоземельной продукции как таковой не вводились, однако действуют: ограничения на поставку технологического оборудования (вакуумные печи, установки strip casting, аналитическое оборудование), ограничения финансовых расчётов, логистические ограничения (закрытие портов, отказ судоходных компаний), запрет на поставку в системы вооружений (положения оборонного законодательства США, вступающие в силу с 2027 г.).</w:t>
      </w:r>
    </w:p>
    <w:p>
      <w:r>
        <w:rPr>
          <w:b/>
          <w:i w:val="0"/>
        </w:rPr>
        <w:t>Ограничения со стороны КНР.</w:t>
      </w:r>
      <w:r>
        <w:rPr>
          <w:b w:val="0"/>
          <w:i w:val="0"/>
        </w:rPr>
        <w:t xml:space="preserve"> Российская Федерация формально не выделена в китайском экспортном контроле в отдельную категорию, однако процедура лицензирования с раскрытием конечного пользователя создаёт риски для поставок продукции оборонного назначения. По имеющимся сведениям, в 2025 г. фиксировались отказы и задержки в выдаче лицензий по отдельным заявкам.</w:t>
      </w:r>
    </w:p>
    <w:p>
      <w:r>
        <w:rPr>
          <w:b/>
          <w:i w:val="0"/>
        </w:rPr>
        <w:t>Логистика.</w:t>
      </w:r>
      <w:r>
        <w:rPr>
          <w:b w:val="0"/>
          <w:i w:val="0"/>
        </w:rPr>
        <w:t xml:space="preserve"> Переориентация грузопотоков на восточное направление увеличила транспортное плечо и сроки. Для редкоземельной продукции, обладающей высокой удельной стоимостью, транспортные издержки не критичны, однако критичны сроки и предсказуемость поставок.</w:t>
      </w:r>
    </w:p>
    <w:p>
      <w:r>
        <w:rPr>
          <w:b/>
          <w:i w:val="0"/>
        </w:rPr>
        <w:t>Расчёты.</w:t>
      </w:r>
      <w:r>
        <w:rPr>
          <w:b w:val="0"/>
          <w:i w:val="0"/>
        </w:rPr>
        <w:t xml:space="preserve"> Ограничения банковских расчётов с КНР, усилившиеся в 2024 г., создают операционные трудности при импорте.</w:t>
      </w:r>
    </w:p>
    <w:p>
      <w:pPr>
        <w:keepNext/>
        <w:spacing w:before="160" w:after="60"/>
        <w:ind w:firstLine="0"/>
        <w:jc w:val="left"/>
      </w:pPr>
      <w:r>
        <w:rPr>
          <w:b/>
          <w:sz w:val="22"/>
        </w:rPr>
        <w:t>Таблица 95. Оценка рисков внешнеторговых операций РФ с редкоземельной продукцией</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Риск</w:t>
            </w:r>
          </w:p>
        </w:tc>
        <w:tc>
          <w:tcPr>
            <w:tcW w:type="dxa" w:w="2493"/>
            <w:shd w:val="clear" w:fill="DCE6F1"/>
          </w:tcPr>
          <w:p>
            <w:pPr>
              <w:spacing w:after="0" w:line="240" w:lineRule="auto"/>
              <w:ind w:firstLine="0"/>
              <w:jc w:val="center"/>
            </w:pPr>
            <w:r>
              <w:rPr>
                <w:b/>
                <w:i w:val="0"/>
                <w:sz w:val="20"/>
              </w:rPr>
              <w:t>Вероятность</w:t>
            </w:r>
          </w:p>
        </w:tc>
        <w:tc>
          <w:tcPr>
            <w:tcW w:type="dxa" w:w="2493"/>
            <w:shd w:val="clear" w:fill="DCE6F1"/>
          </w:tcPr>
          <w:p>
            <w:pPr>
              <w:spacing w:after="0" w:line="240" w:lineRule="auto"/>
              <w:ind w:firstLine="0"/>
              <w:jc w:val="center"/>
            </w:pPr>
            <w:r>
              <w:rPr>
                <w:b/>
                <w:i w:val="0"/>
                <w:sz w:val="20"/>
              </w:rPr>
              <w:t>Влияние</w:t>
            </w:r>
          </w:p>
        </w:tc>
        <w:tc>
          <w:tcPr>
            <w:tcW w:type="dxa" w:w="2493"/>
            <w:shd w:val="clear" w:fill="DCE6F1"/>
          </w:tcPr>
          <w:p>
            <w:pPr>
              <w:spacing w:after="0" w:line="240" w:lineRule="auto"/>
              <w:ind w:firstLine="0"/>
              <w:jc w:val="center"/>
            </w:pPr>
            <w:r>
              <w:rPr>
                <w:b/>
                <w:i w:val="0"/>
                <w:sz w:val="20"/>
              </w:rPr>
              <w:t>Возможные меры смягчения</w:t>
            </w:r>
          </w:p>
        </w:tc>
      </w:tr>
      <w:tr>
        <w:tc>
          <w:tcPr>
            <w:tcW w:type="dxa" w:w="2493"/>
          </w:tcPr>
          <w:p>
            <w:pPr>
              <w:spacing w:after="0" w:line="240" w:lineRule="auto"/>
              <w:ind w:firstLine="0"/>
              <w:jc w:val="left"/>
            </w:pPr>
            <w:r>
              <w:rPr>
                <w:b w:val="0"/>
                <w:i w:val="0"/>
                <w:sz w:val="20"/>
              </w:rPr>
              <w:t>Ограничение экспорта магнитов из КНР</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очень высокое</w:t>
            </w:r>
          </w:p>
        </w:tc>
        <w:tc>
          <w:tcPr>
            <w:tcW w:type="dxa" w:w="2493"/>
          </w:tcPr>
          <w:p>
            <w:pPr>
              <w:spacing w:after="0" w:line="240" w:lineRule="auto"/>
              <w:ind w:firstLine="0"/>
              <w:jc w:val="center"/>
            </w:pPr>
            <w:r>
              <w:rPr>
                <w:b w:val="0"/>
                <w:i w:val="0"/>
                <w:sz w:val="20"/>
              </w:rPr>
              <w:t>создание запасов, локализация</w:t>
            </w:r>
          </w:p>
        </w:tc>
      </w:tr>
      <w:tr>
        <w:tc>
          <w:tcPr>
            <w:tcW w:type="dxa" w:w="2493"/>
          </w:tcPr>
          <w:p>
            <w:pPr>
              <w:spacing w:after="0" w:line="240" w:lineRule="auto"/>
              <w:ind w:firstLine="0"/>
              <w:jc w:val="left"/>
            </w:pPr>
            <w:r>
              <w:rPr>
                <w:b w:val="0"/>
                <w:i w:val="0"/>
                <w:sz w:val="20"/>
              </w:rPr>
              <w:t>Отказ в лицензиях по оборонной номенклатуре</w:t>
            </w:r>
          </w:p>
        </w:tc>
        <w:tc>
          <w:tcPr>
            <w:tcW w:type="dxa" w:w="2493"/>
          </w:tcPr>
          <w:p>
            <w:pPr>
              <w:spacing w:after="0" w:line="240" w:lineRule="auto"/>
              <w:ind w:firstLine="0"/>
              <w:jc w:val="center"/>
            </w:pPr>
            <w:r>
              <w:rPr>
                <w:b w:val="0"/>
                <w:i w:val="0"/>
                <w:sz w:val="20"/>
              </w:rPr>
              <w:t>высокая</w:t>
            </w:r>
          </w:p>
        </w:tc>
        <w:tc>
          <w:tcPr>
            <w:tcW w:type="dxa" w:w="2493"/>
          </w:tcPr>
          <w:p>
            <w:pPr>
              <w:spacing w:after="0" w:line="240" w:lineRule="auto"/>
              <w:ind w:firstLine="0"/>
              <w:jc w:val="center"/>
            </w:pPr>
            <w:r>
              <w:rPr>
                <w:b w:val="0"/>
                <w:i w:val="0"/>
                <w:sz w:val="20"/>
              </w:rPr>
              <w:t>высокое</w:t>
            </w:r>
          </w:p>
        </w:tc>
        <w:tc>
          <w:tcPr>
            <w:tcW w:type="dxa" w:w="2493"/>
          </w:tcPr>
          <w:p>
            <w:pPr>
              <w:spacing w:after="0" w:line="240" w:lineRule="auto"/>
              <w:ind w:firstLine="0"/>
              <w:jc w:val="center"/>
            </w:pPr>
            <w:r>
              <w:rPr>
                <w:b w:val="0"/>
                <w:i w:val="0"/>
                <w:sz w:val="20"/>
              </w:rPr>
              <w:t>локализация, SmCo-альтернатива</w:t>
            </w:r>
          </w:p>
        </w:tc>
      </w:tr>
      <w:tr>
        <w:tc>
          <w:tcPr>
            <w:tcW w:type="dxa" w:w="2493"/>
          </w:tcPr>
          <w:p>
            <w:pPr>
              <w:spacing w:after="0" w:line="240" w:lineRule="auto"/>
              <w:ind w:firstLine="0"/>
              <w:jc w:val="left"/>
            </w:pPr>
            <w:r>
              <w:rPr>
                <w:b w:val="0"/>
                <w:i w:val="0"/>
                <w:sz w:val="20"/>
              </w:rPr>
              <w:t>Ограничение поставок оборудования</w:t>
            </w:r>
          </w:p>
        </w:tc>
        <w:tc>
          <w:tcPr>
            <w:tcW w:type="dxa" w:w="2493"/>
          </w:tcPr>
          <w:p>
            <w:pPr>
              <w:spacing w:after="0" w:line="240" w:lineRule="auto"/>
              <w:ind w:firstLine="0"/>
              <w:jc w:val="center"/>
            </w:pPr>
            <w:r>
              <w:rPr>
                <w:b w:val="0"/>
                <w:i w:val="0"/>
                <w:sz w:val="20"/>
              </w:rPr>
              <w:t>высокая</w:t>
            </w:r>
          </w:p>
        </w:tc>
        <w:tc>
          <w:tcPr>
            <w:tcW w:type="dxa" w:w="2493"/>
          </w:tcPr>
          <w:p>
            <w:pPr>
              <w:spacing w:after="0" w:line="240" w:lineRule="auto"/>
              <w:ind w:firstLine="0"/>
              <w:jc w:val="center"/>
            </w:pPr>
            <w:r>
              <w:rPr>
                <w:b w:val="0"/>
                <w:i w:val="0"/>
                <w:sz w:val="20"/>
              </w:rPr>
              <w:t>высокое</w:t>
            </w:r>
          </w:p>
        </w:tc>
        <w:tc>
          <w:tcPr>
            <w:tcW w:type="dxa" w:w="2493"/>
          </w:tcPr>
          <w:p>
            <w:pPr>
              <w:spacing w:after="0" w:line="240" w:lineRule="auto"/>
              <w:ind w:firstLine="0"/>
              <w:jc w:val="center"/>
            </w:pPr>
            <w:r>
              <w:rPr>
                <w:b w:val="0"/>
                <w:i w:val="0"/>
                <w:sz w:val="20"/>
              </w:rPr>
              <w:t>параллельный импорт, локализация</w:t>
            </w:r>
          </w:p>
        </w:tc>
      </w:tr>
      <w:tr>
        <w:tc>
          <w:tcPr>
            <w:tcW w:type="dxa" w:w="2493"/>
          </w:tcPr>
          <w:p>
            <w:pPr>
              <w:spacing w:after="0" w:line="240" w:lineRule="auto"/>
              <w:ind w:firstLine="0"/>
              <w:jc w:val="left"/>
            </w:pPr>
            <w:r>
              <w:rPr>
                <w:b w:val="0"/>
                <w:i w:val="0"/>
                <w:sz w:val="20"/>
              </w:rPr>
              <w:t>Ограничения расчётов</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среднее</w:t>
            </w:r>
          </w:p>
        </w:tc>
        <w:tc>
          <w:tcPr>
            <w:tcW w:type="dxa" w:w="2493"/>
          </w:tcPr>
          <w:p>
            <w:pPr>
              <w:spacing w:after="0" w:line="240" w:lineRule="auto"/>
              <w:ind w:firstLine="0"/>
              <w:jc w:val="center"/>
            </w:pPr>
            <w:r>
              <w:rPr>
                <w:b w:val="0"/>
                <w:i w:val="0"/>
                <w:sz w:val="20"/>
              </w:rPr>
              <w:t>альтернативные схемы</w:t>
            </w:r>
          </w:p>
        </w:tc>
      </w:tr>
      <w:tr>
        <w:tc>
          <w:tcPr>
            <w:tcW w:type="dxa" w:w="2493"/>
          </w:tcPr>
          <w:p>
            <w:pPr>
              <w:spacing w:after="0" w:line="240" w:lineRule="auto"/>
              <w:ind w:firstLine="0"/>
              <w:jc w:val="left"/>
            </w:pPr>
            <w:r>
              <w:rPr>
                <w:b w:val="0"/>
                <w:i w:val="0"/>
                <w:sz w:val="20"/>
              </w:rPr>
              <w:t>Прекращение закупок карбоната КНР</w:t>
            </w:r>
          </w:p>
        </w:tc>
        <w:tc>
          <w:tcPr>
            <w:tcW w:type="dxa" w:w="2493"/>
          </w:tcPr>
          <w:p>
            <w:pPr>
              <w:spacing w:after="0" w:line="240" w:lineRule="auto"/>
              <w:ind w:firstLine="0"/>
              <w:jc w:val="center"/>
            </w:pPr>
            <w:r>
              <w:rPr>
                <w:b w:val="0"/>
                <w:i w:val="0"/>
                <w:sz w:val="20"/>
              </w:rPr>
              <w:t>низкая</w:t>
            </w:r>
          </w:p>
        </w:tc>
        <w:tc>
          <w:tcPr>
            <w:tcW w:type="dxa" w:w="2493"/>
          </w:tcPr>
          <w:p>
            <w:pPr>
              <w:spacing w:after="0" w:line="240" w:lineRule="auto"/>
              <w:ind w:firstLine="0"/>
              <w:jc w:val="center"/>
            </w:pPr>
            <w:r>
              <w:rPr>
                <w:b w:val="0"/>
                <w:i w:val="0"/>
                <w:sz w:val="20"/>
              </w:rPr>
              <w:t>среднее</w:t>
            </w:r>
          </w:p>
        </w:tc>
        <w:tc>
          <w:tcPr>
            <w:tcW w:type="dxa" w:w="2493"/>
          </w:tcPr>
          <w:p>
            <w:pPr>
              <w:spacing w:after="0" w:line="240" w:lineRule="auto"/>
              <w:ind w:firstLine="0"/>
              <w:jc w:val="center"/>
            </w:pPr>
            <w:r>
              <w:rPr>
                <w:b w:val="0"/>
                <w:i w:val="0"/>
                <w:sz w:val="20"/>
              </w:rPr>
              <w:t>развитие внутр. переработки</w:t>
            </w:r>
          </w:p>
        </w:tc>
      </w:tr>
      <w:tr>
        <w:tc>
          <w:tcPr>
            <w:tcW w:type="dxa" w:w="2493"/>
          </w:tcPr>
          <w:p>
            <w:pPr>
              <w:spacing w:after="0" w:line="240" w:lineRule="auto"/>
              <w:ind w:firstLine="0"/>
              <w:jc w:val="left"/>
            </w:pPr>
            <w:r>
              <w:rPr>
                <w:b w:val="0"/>
                <w:i w:val="0"/>
                <w:sz w:val="20"/>
              </w:rPr>
              <w:t>Вторичные санкции против поставщиков</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среднее</w:t>
            </w:r>
          </w:p>
        </w:tc>
        <w:tc>
          <w:tcPr>
            <w:tcW w:type="dxa" w:w="2493"/>
          </w:tcPr>
          <w:p>
            <w:pPr>
              <w:spacing w:after="0" w:line="240" w:lineRule="auto"/>
              <w:ind w:firstLine="0"/>
              <w:jc w:val="center"/>
            </w:pPr>
            <w:r>
              <w:rPr>
                <w:b w:val="0"/>
                <w:i w:val="0"/>
                <w:sz w:val="20"/>
              </w:rPr>
              <w:t>диверсификация каналов</w:t>
            </w:r>
          </w:p>
        </w:tc>
      </w:tr>
      <w:tr>
        <w:tc>
          <w:tcPr>
            <w:tcW w:type="dxa" w:w="2493"/>
          </w:tcPr>
          <w:p>
            <w:pPr>
              <w:spacing w:after="0" w:line="240" w:lineRule="auto"/>
              <w:ind w:firstLine="0"/>
              <w:jc w:val="left"/>
            </w:pPr>
            <w:r>
              <w:rPr>
                <w:b w:val="0"/>
                <w:i w:val="0"/>
                <w:sz w:val="20"/>
              </w:rPr>
              <w:t>Логистические перебои</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низкое</w:t>
            </w:r>
          </w:p>
        </w:tc>
        <w:tc>
          <w:tcPr>
            <w:tcW w:type="dxa" w:w="2493"/>
          </w:tcPr>
          <w:p>
            <w:pPr>
              <w:spacing w:after="0" w:line="240" w:lineRule="auto"/>
              <w:ind w:firstLine="0"/>
              <w:jc w:val="center"/>
            </w:pPr>
            <w:r>
              <w:rPr>
                <w:b w:val="0"/>
                <w:i w:val="0"/>
                <w:sz w:val="20"/>
              </w:rPr>
              <w:t>резервные маршруты</w:t>
            </w:r>
          </w:p>
        </w:tc>
      </w:tr>
    </w:tbl>
    <w:p>
      <w:pPr>
        <w:spacing w:after="180"/>
        <w:ind w:firstLine="0"/>
      </w:pPr>
      <w:r>
        <w:rPr>
          <w:i/>
          <w:sz w:val="20"/>
        </w:rPr>
        <w:t>Источник: оценка аналитического центра</w:t>
      </w:r>
    </w:p>
    <w:p>
      <w:pPr>
        <w:keepNext/>
        <w:spacing w:before="160" w:after="60"/>
        <w:ind w:firstLine="0"/>
        <w:jc w:val="left"/>
      </w:pPr>
      <w:r>
        <w:rPr>
          <w:b/>
          <w:sz w:val="22"/>
        </w:rPr>
        <w:t>Рисунок 72. Динамика соотношения стоимости импорта и экспорта редкоземельной продукции РФ, раз</w:t>
      </w:r>
    </w:p>
    <w:p>
      <w:pPr>
        <w:ind w:firstLine="0"/>
        <w:jc w:val="center"/>
      </w:pPr>
      <w:r>
        <w:drawing>
          <wp:inline xmlns:a="http://schemas.openxmlformats.org/drawingml/2006/main" xmlns:pic="http://schemas.openxmlformats.org/drawingml/2006/picture">
            <wp:extent cx="5580000" cy="2751559"/>
            <wp:docPr id="72" name="Picture 72"/>
            <wp:cNvGraphicFramePr>
              <a:graphicFrameLocks noChangeAspect="1"/>
            </wp:cNvGraphicFramePr>
            <a:graphic>
              <a:graphicData uri="http://schemas.openxmlformats.org/drawingml/2006/picture">
                <pic:pic>
                  <pic:nvPicPr>
                    <pic:cNvPr id="0" name="fig72.png"/>
                    <pic:cNvPicPr/>
                  </pic:nvPicPr>
                  <pic:blipFill>
                    <a:blip r:embed="rId82"/>
                    <a:stretch>
                      <a:fillRect/>
                    </a:stretch>
                  </pic:blipFill>
                  <pic:spPr>
                    <a:xfrm>
                      <a:off x="0" y="0"/>
                      <a:ext cx="5580000" cy="2751559"/>
                    </a:xfrm>
                    <a:prstGeom prst="rect"/>
                  </pic:spPr>
                </pic:pic>
              </a:graphicData>
            </a:graphic>
          </wp:inline>
        </w:drawing>
      </w:r>
    </w:p>
    <w:p>
      <w:pPr>
        <w:spacing w:after="180"/>
        <w:ind w:firstLine="0"/>
      </w:pPr>
      <w:r>
        <w:rPr>
          <w:i/>
          <w:sz w:val="20"/>
        </w:rPr>
        <w:t>Источник: расчёт аналитического центра (табл. 89, 92)</w:t>
      </w:r>
    </w:p>
    <w:p>
      <w:pPr>
        <w:pStyle w:val="Heading2"/>
      </w:pPr>
      <w:r>
        <w:rPr>
          <w:b w:val="0"/>
          <w:i w:val="0"/>
        </w:rPr>
        <w:t>13.6. Перспективы изменения внешнеторговой позиции</w:t>
      </w:r>
    </w:p>
    <w:p>
      <w:r>
        <w:rPr>
          <w:b w:val="0"/>
          <w:i w:val="0"/>
        </w:rPr>
        <w:t>При реализации заявленных планов развития отрасли внешнеторговая позиция России должна претерпеть качественное изменение по трём направлениям.</w:t>
      </w:r>
    </w:p>
    <w:p>
      <w:r>
        <w:rPr>
          <w:b/>
          <w:i w:val="0"/>
        </w:rPr>
        <w:t>Сокращение импорта магнитов.</w:t>
      </w:r>
      <w:r>
        <w:rPr>
          <w:b w:val="0"/>
          <w:i w:val="0"/>
        </w:rPr>
        <w:t xml:space="preserve"> Выход производства «Элемаш Магнит» на 3 тыс. т к 2030 г. позволит заместить около 50% импорта в физическом выражении. Полное замещение потребует мощности 6–8 тыс. т, что выходит за пределы заявленных планов.</w:t>
      </w:r>
    </w:p>
    <w:p>
      <w:r>
        <w:rPr>
          <w:b/>
          <w:i w:val="0"/>
        </w:rPr>
        <w:t>Изменение структуры экспорта.</w:t>
      </w:r>
      <w:r>
        <w:rPr>
          <w:b w:val="0"/>
          <w:i w:val="0"/>
        </w:rPr>
        <w:t xml:space="preserve"> Переход от экспорта коллективного карбоната к экспорту разделённых оксидов увеличивает удельную стоимость экспорта в 4–6 раз при том же физическом объёме. При производстве 20 тыс. т TREO и внутреннем потреблении 4–6 тыс. т экспортный потенциал составит 14–16 тыс. т, преимущественно лёгкой группы.</w:t>
      </w:r>
    </w:p>
    <w:p>
      <w:r>
        <w:rPr>
          <w:b/>
          <w:i w:val="0"/>
        </w:rPr>
        <w:t>Формирование новых рынков сбыта.</w:t>
      </w:r>
      <w:r>
        <w:rPr>
          <w:b w:val="0"/>
          <w:i w:val="0"/>
        </w:rPr>
        <w:t xml:space="preserve"> Основные потенциальные направления: КНР (при сохранении статуса поставщика сырья), Индия (растущий спрос, отсутствие собственного разделения в достаточном объёме), страны Юго-Восточной Азии, Ближний Восток. Европейское направление, при условии политического урегулирования, представляет интерес ввиду дефицита сырья для строящихся европейских мощностей.</w:t>
      </w:r>
    </w:p>
    <w:p>
      <w:pPr>
        <w:keepNext/>
        <w:spacing w:before="160" w:after="60"/>
        <w:ind w:firstLine="0"/>
        <w:jc w:val="left"/>
      </w:pPr>
      <w:r>
        <w:rPr>
          <w:b/>
          <w:sz w:val="22"/>
        </w:rPr>
        <w:t>Таблица 96. Прогноз внешнеторговых показателей РФ по редкоземельной продукции до 2035 г. (базовый сценарий)</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Показатель</w:t>
            </w:r>
          </w:p>
        </w:tc>
        <w:tc>
          <w:tcPr>
            <w:tcW w:type="dxa" w:w="1662"/>
            <w:shd w:val="clear" w:fill="DCE6F1"/>
          </w:tcPr>
          <w:p>
            <w:pPr>
              <w:spacing w:after="0" w:line="240" w:lineRule="auto"/>
              <w:ind w:firstLine="0"/>
              <w:jc w:val="center"/>
            </w:pPr>
            <w:r>
              <w:rPr>
                <w:b/>
                <w:i w:val="0"/>
                <w:sz w:val="20"/>
              </w:rPr>
              <w:t>2025</w:t>
            </w:r>
          </w:p>
        </w:tc>
        <w:tc>
          <w:tcPr>
            <w:tcW w:type="dxa" w:w="1662"/>
            <w:shd w:val="clear" w:fill="DCE6F1"/>
          </w:tcPr>
          <w:p>
            <w:pPr>
              <w:spacing w:after="0" w:line="240" w:lineRule="auto"/>
              <w:ind w:firstLine="0"/>
              <w:jc w:val="center"/>
            </w:pPr>
            <w:r>
              <w:rPr>
                <w:b/>
                <w:i w:val="0"/>
                <w:sz w:val="20"/>
              </w:rPr>
              <w:t>2027</w:t>
            </w:r>
          </w:p>
        </w:tc>
        <w:tc>
          <w:tcPr>
            <w:tcW w:type="dxa" w:w="1662"/>
            <w:shd w:val="clear" w:fill="DCE6F1"/>
          </w:tcPr>
          <w:p>
            <w:pPr>
              <w:spacing w:after="0" w:line="240" w:lineRule="auto"/>
              <w:ind w:firstLine="0"/>
              <w:jc w:val="center"/>
            </w:pPr>
            <w:r>
              <w:rPr>
                <w:b/>
                <w:i w:val="0"/>
                <w:sz w:val="20"/>
              </w:rPr>
              <w:t>2030</w:t>
            </w:r>
          </w:p>
        </w:tc>
        <w:tc>
          <w:tcPr>
            <w:tcW w:type="dxa" w:w="1662"/>
            <w:shd w:val="clear" w:fill="DCE6F1"/>
          </w:tcPr>
          <w:p>
            <w:pPr>
              <w:spacing w:after="0" w:line="240" w:lineRule="auto"/>
              <w:ind w:firstLine="0"/>
              <w:jc w:val="center"/>
            </w:pPr>
            <w:r>
              <w:rPr>
                <w:b/>
                <w:i w:val="0"/>
                <w:sz w:val="20"/>
              </w:rPr>
              <w:t>2033</w:t>
            </w:r>
          </w:p>
        </w:tc>
        <w:tc>
          <w:tcPr>
            <w:tcW w:type="dxa" w:w="1662"/>
            <w:shd w:val="clear" w:fill="DCE6F1"/>
          </w:tcPr>
          <w:p>
            <w:pPr>
              <w:spacing w:after="0" w:line="240" w:lineRule="auto"/>
              <w:ind w:firstLine="0"/>
              <w:jc w:val="center"/>
            </w:pPr>
            <w:r>
              <w:rPr>
                <w:b/>
                <w:i w:val="0"/>
                <w:sz w:val="20"/>
              </w:rPr>
              <w:t>2035</w:t>
            </w:r>
          </w:p>
        </w:tc>
      </w:tr>
      <w:tr>
        <w:tc>
          <w:tcPr>
            <w:tcW w:type="dxa" w:w="1662"/>
          </w:tcPr>
          <w:p>
            <w:pPr>
              <w:spacing w:after="0" w:line="240" w:lineRule="auto"/>
              <w:ind w:firstLine="0"/>
              <w:jc w:val="left"/>
            </w:pPr>
            <w:r>
              <w:rPr>
                <w:b w:val="0"/>
                <w:i w:val="0"/>
                <w:sz w:val="20"/>
              </w:rPr>
              <w:t>Экспорт, т TREO</w:t>
            </w:r>
          </w:p>
        </w:tc>
        <w:tc>
          <w:tcPr>
            <w:tcW w:type="dxa" w:w="1662"/>
          </w:tcPr>
          <w:p>
            <w:pPr>
              <w:spacing w:after="0" w:line="240" w:lineRule="auto"/>
              <w:ind w:firstLine="0"/>
              <w:jc w:val="center"/>
            </w:pPr>
            <w:r>
              <w:rPr>
                <w:b w:val="0"/>
                <w:i w:val="0"/>
                <w:sz w:val="20"/>
              </w:rPr>
              <w:t>1 620</w:t>
            </w:r>
          </w:p>
        </w:tc>
        <w:tc>
          <w:tcPr>
            <w:tcW w:type="dxa" w:w="1662"/>
          </w:tcPr>
          <w:p>
            <w:pPr>
              <w:spacing w:after="0" w:line="240" w:lineRule="auto"/>
              <w:ind w:firstLine="0"/>
              <w:jc w:val="center"/>
            </w:pPr>
            <w:r>
              <w:rPr>
                <w:b w:val="0"/>
                <w:i w:val="0"/>
                <w:sz w:val="20"/>
              </w:rPr>
              <w:t>3 500</w:t>
            </w:r>
          </w:p>
        </w:tc>
        <w:tc>
          <w:tcPr>
            <w:tcW w:type="dxa" w:w="1662"/>
          </w:tcPr>
          <w:p>
            <w:pPr>
              <w:spacing w:after="0" w:line="240" w:lineRule="auto"/>
              <w:ind w:firstLine="0"/>
              <w:jc w:val="center"/>
            </w:pPr>
            <w:r>
              <w:rPr>
                <w:b w:val="0"/>
                <w:i w:val="0"/>
                <w:sz w:val="20"/>
              </w:rPr>
              <w:t>12 000</w:t>
            </w:r>
          </w:p>
        </w:tc>
        <w:tc>
          <w:tcPr>
            <w:tcW w:type="dxa" w:w="1662"/>
          </w:tcPr>
          <w:p>
            <w:pPr>
              <w:spacing w:after="0" w:line="240" w:lineRule="auto"/>
              <w:ind w:firstLine="0"/>
              <w:jc w:val="center"/>
            </w:pPr>
            <w:r>
              <w:rPr>
                <w:b w:val="0"/>
                <w:i w:val="0"/>
                <w:sz w:val="20"/>
              </w:rPr>
              <w:t>24 000</w:t>
            </w:r>
          </w:p>
        </w:tc>
        <w:tc>
          <w:tcPr>
            <w:tcW w:type="dxa" w:w="1662"/>
          </w:tcPr>
          <w:p>
            <w:pPr>
              <w:spacing w:after="0" w:line="240" w:lineRule="auto"/>
              <w:ind w:firstLine="0"/>
              <w:jc w:val="center"/>
            </w:pPr>
            <w:r>
              <w:rPr>
                <w:b w:val="0"/>
                <w:i w:val="0"/>
                <w:sz w:val="20"/>
              </w:rPr>
              <w:t>32 000</w:t>
            </w:r>
          </w:p>
        </w:tc>
      </w:tr>
      <w:tr>
        <w:tc>
          <w:tcPr>
            <w:tcW w:type="dxa" w:w="1662"/>
          </w:tcPr>
          <w:p>
            <w:pPr>
              <w:spacing w:after="0" w:line="240" w:lineRule="auto"/>
              <w:ind w:firstLine="0"/>
              <w:jc w:val="left"/>
            </w:pPr>
            <w:r>
              <w:rPr>
                <w:b w:val="0"/>
                <w:i w:val="0"/>
                <w:sz w:val="20"/>
              </w:rPr>
              <w:t>Экспорт, млн $</w:t>
            </w:r>
          </w:p>
        </w:tc>
        <w:tc>
          <w:tcPr>
            <w:tcW w:type="dxa" w:w="1662"/>
          </w:tcPr>
          <w:p>
            <w:pPr>
              <w:spacing w:after="0" w:line="240" w:lineRule="auto"/>
              <w:ind w:firstLine="0"/>
              <w:jc w:val="center"/>
            </w:pPr>
            <w:r>
              <w:rPr>
                <w:b w:val="0"/>
                <w:i w:val="0"/>
                <w:sz w:val="20"/>
              </w:rPr>
              <w:t>22</w:t>
            </w:r>
          </w:p>
        </w:tc>
        <w:tc>
          <w:tcPr>
            <w:tcW w:type="dxa" w:w="1662"/>
          </w:tcPr>
          <w:p>
            <w:pPr>
              <w:spacing w:after="0" w:line="240" w:lineRule="auto"/>
              <w:ind w:firstLine="0"/>
              <w:jc w:val="center"/>
            </w:pPr>
            <w:r>
              <w:rPr>
                <w:b w:val="0"/>
                <w:i w:val="0"/>
                <w:sz w:val="20"/>
              </w:rPr>
              <w:t>68</w:t>
            </w:r>
          </w:p>
        </w:tc>
        <w:tc>
          <w:tcPr>
            <w:tcW w:type="dxa" w:w="1662"/>
          </w:tcPr>
          <w:p>
            <w:pPr>
              <w:spacing w:after="0" w:line="240" w:lineRule="auto"/>
              <w:ind w:firstLine="0"/>
              <w:jc w:val="center"/>
            </w:pPr>
            <w:r>
              <w:rPr>
                <w:b w:val="0"/>
                <w:i w:val="0"/>
                <w:sz w:val="20"/>
              </w:rPr>
              <w:t>340</w:t>
            </w:r>
          </w:p>
        </w:tc>
        <w:tc>
          <w:tcPr>
            <w:tcW w:type="dxa" w:w="1662"/>
          </w:tcPr>
          <w:p>
            <w:pPr>
              <w:spacing w:after="0" w:line="240" w:lineRule="auto"/>
              <w:ind w:firstLine="0"/>
              <w:jc w:val="center"/>
            </w:pPr>
            <w:r>
              <w:rPr>
                <w:b w:val="0"/>
                <w:i w:val="0"/>
                <w:sz w:val="20"/>
              </w:rPr>
              <w:t>720</w:t>
            </w:r>
          </w:p>
        </w:tc>
        <w:tc>
          <w:tcPr>
            <w:tcW w:type="dxa" w:w="1662"/>
          </w:tcPr>
          <w:p>
            <w:pPr>
              <w:spacing w:after="0" w:line="240" w:lineRule="auto"/>
              <w:ind w:firstLine="0"/>
              <w:jc w:val="center"/>
            </w:pPr>
            <w:r>
              <w:rPr>
                <w:b w:val="0"/>
                <w:i w:val="0"/>
                <w:sz w:val="20"/>
              </w:rPr>
              <w:t>980</w:t>
            </w:r>
          </w:p>
        </w:tc>
      </w:tr>
      <w:tr>
        <w:tc>
          <w:tcPr>
            <w:tcW w:type="dxa" w:w="1662"/>
          </w:tcPr>
          <w:p>
            <w:pPr>
              <w:spacing w:after="0" w:line="240" w:lineRule="auto"/>
              <w:ind w:firstLine="0"/>
              <w:jc w:val="left"/>
            </w:pPr>
            <w:r>
              <w:rPr>
                <w:b w:val="0"/>
                <w:i w:val="0"/>
                <w:sz w:val="20"/>
              </w:rPr>
              <w:t>Импорт магнитов, т</w:t>
            </w:r>
          </w:p>
        </w:tc>
        <w:tc>
          <w:tcPr>
            <w:tcW w:type="dxa" w:w="1662"/>
          </w:tcPr>
          <w:p>
            <w:pPr>
              <w:spacing w:after="0" w:line="240" w:lineRule="auto"/>
              <w:ind w:firstLine="0"/>
              <w:jc w:val="center"/>
            </w:pPr>
            <w:r>
              <w:rPr>
                <w:b w:val="0"/>
                <w:i w:val="0"/>
                <w:sz w:val="20"/>
              </w:rPr>
              <w:t>5 600</w:t>
            </w:r>
          </w:p>
        </w:tc>
        <w:tc>
          <w:tcPr>
            <w:tcW w:type="dxa" w:w="1662"/>
          </w:tcPr>
          <w:p>
            <w:pPr>
              <w:spacing w:after="0" w:line="240" w:lineRule="auto"/>
              <w:ind w:firstLine="0"/>
              <w:jc w:val="center"/>
            </w:pPr>
            <w:r>
              <w:rPr>
                <w:b w:val="0"/>
                <w:i w:val="0"/>
                <w:sz w:val="20"/>
              </w:rPr>
              <w:t>5 900</w:t>
            </w:r>
          </w:p>
        </w:tc>
        <w:tc>
          <w:tcPr>
            <w:tcW w:type="dxa" w:w="1662"/>
          </w:tcPr>
          <w:p>
            <w:pPr>
              <w:spacing w:after="0" w:line="240" w:lineRule="auto"/>
              <w:ind w:firstLine="0"/>
              <w:jc w:val="center"/>
            </w:pPr>
            <w:r>
              <w:rPr>
                <w:b w:val="0"/>
                <w:i w:val="0"/>
                <w:sz w:val="20"/>
              </w:rPr>
              <w:t>3 800</w:t>
            </w:r>
          </w:p>
        </w:tc>
        <w:tc>
          <w:tcPr>
            <w:tcW w:type="dxa" w:w="1662"/>
          </w:tcPr>
          <w:p>
            <w:pPr>
              <w:spacing w:after="0" w:line="240" w:lineRule="auto"/>
              <w:ind w:firstLine="0"/>
              <w:jc w:val="center"/>
            </w:pPr>
            <w:r>
              <w:rPr>
                <w:b w:val="0"/>
                <w:i w:val="0"/>
                <w:sz w:val="20"/>
              </w:rPr>
              <w:t>2 200</w:t>
            </w:r>
          </w:p>
        </w:tc>
        <w:tc>
          <w:tcPr>
            <w:tcW w:type="dxa" w:w="1662"/>
          </w:tcPr>
          <w:p>
            <w:pPr>
              <w:spacing w:after="0" w:line="240" w:lineRule="auto"/>
              <w:ind w:firstLine="0"/>
              <w:jc w:val="center"/>
            </w:pPr>
            <w:r>
              <w:rPr>
                <w:b w:val="0"/>
                <w:i w:val="0"/>
                <w:sz w:val="20"/>
              </w:rPr>
              <w:t>1 500</w:t>
            </w:r>
          </w:p>
        </w:tc>
      </w:tr>
      <w:tr>
        <w:tc>
          <w:tcPr>
            <w:tcW w:type="dxa" w:w="1662"/>
          </w:tcPr>
          <w:p>
            <w:pPr>
              <w:spacing w:after="0" w:line="240" w:lineRule="auto"/>
              <w:ind w:firstLine="0"/>
              <w:jc w:val="left"/>
            </w:pPr>
            <w:r>
              <w:rPr>
                <w:b w:val="0"/>
                <w:i w:val="0"/>
                <w:sz w:val="20"/>
              </w:rPr>
              <w:t>Импорт, всего, млн $</w:t>
            </w:r>
          </w:p>
        </w:tc>
        <w:tc>
          <w:tcPr>
            <w:tcW w:type="dxa" w:w="1662"/>
          </w:tcPr>
          <w:p>
            <w:pPr>
              <w:spacing w:after="0" w:line="240" w:lineRule="auto"/>
              <w:ind w:firstLine="0"/>
              <w:jc w:val="center"/>
            </w:pPr>
            <w:r>
              <w:rPr>
                <w:b w:val="0"/>
                <w:i w:val="0"/>
                <w:sz w:val="20"/>
              </w:rPr>
              <w:t>462</w:t>
            </w:r>
          </w:p>
        </w:tc>
        <w:tc>
          <w:tcPr>
            <w:tcW w:type="dxa" w:w="1662"/>
          </w:tcPr>
          <w:p>
            <w:pPr>
              <w:spacing w:after="0" w:line="240" w:lineRule="auto"/>
              <w:ind w:firstLine="0"/>
              <w:jc w:val="center"/>
            </w:pPr>
            <w:r>
              <w:rPr>
                <w:b w:val="0"/>
                <w:i w:val="0"/>
                <w:sz w:val="20"/>
              </w:rPr>
              <w:t>495</w:t>
            </w:r>
          </w:p>
        </w:tc>
        <w:tc>
          <w:tcPr>
            <w:tcW w:type="dxa" w:w="1662"/>
          </w:tcPr>
          <w:p>
            <w:pPr>
              <w:spacing w:after="0" w:line="240" w:lineRule="auto"/>
              <w:ind w:firstLine="0"/>
              <w:jc w:val="center"/>
            </w:pPr>
            <w:r>
              <w:rPr>
                <w:b w:val="0"/>
                <w:i w:val="0"/>
                <w:sz w:val="20"/>
              </w:rPr>
              <w:t>380</w:t>
            </w:r>
          </w:p>
        </w:tc>
        <w:tc>
          <w:tcPr>
            <w:tcW w:type="dxa" w:w="1662"/>
          </w:tcPr>
          <w:p>
            <w:pPr>
              <w:spacing w:after="0" w:line="240" w:lineRule="auto"/>
              <w:ind w:firstLine="0"/>
              <w:jc w:val="center"/>
            </w:pPr>
            <w:r>
              <w:rPr>
                <w:b w:val="0"/>
                <w:i w:val="0"/>
                <w:sz w:val="20"/>
              </w:rPr>
              <w:t>290</w:t>
            </w:r>
          </w:p>
        </w:tc>
        <w:tc>
          <w:tcPr>
            <w:tcW w:type="dxa" w:w="1662"/>
          </w:tcPr>
          <w:p>
            <w:pPr>
              <w:spacing w:after="0" w:line="240" w:lineRule="auto"/>
              <w:ind w:firstLine="0"/>
              <w:jc w:val="center"/>
            </w:pPr>
            <w:r>
              <w:rPr>
                <w:b w:val="0"/>
                <w:i w:val="0"/>
                <w:sz w:val="20"/>
              </w:rPr>
              <w:t>230</w:t>
            </w:r>
          </w:p>
        </w:tc>
      </w:tr>
      <w:tr>
        <w:tc>
          <w:tcPr>
            <w:tcW w:type="dxa" w:w="1662"/>
          </w:tcPr>
          <w:p>
            <w:pPr>
              <w:spacing w:after="0" w:line="240" w:lineRule="auto"/>
              <w:ind w:firstLine="0"/>
              <w:jc w:val="left"/>
            </w:pPr>
            <w:r>
              <w:rPr>
                <w:b w:val="0"/>
                <w:i w:val="0"/>
                <w:sz w:val="20"/>
              </w:rPr>
              <w:t>Сальдо, млн $</w:t>
            </w:r>
          </w:p>
        </w:tc>
        <w:tc>
          <w:tcPr>
            <w:tcW w:type="dxa" w:w="1662"/>
          </w:tcPr>
          <w:p>
            <w:pPr>
              <w:spacing w:after="0" w:line="240" w:lineRule="auto"/>
              <w:ind w:firstLine="0"/>
              <w:jc w:val="center"/>
            </w:pPr>
            <w:r>
              <w:rPr>
                <w:b w:val="0"/>
                <w:i w:val="0"/>
                <w:sz w:val="20"/>
              </w:rPr>
              <w:t>−440</w:t>
            </w:r>
          </w:p>
        </w:tc>
        <w:tc>
          <w:tcPr>
            <w:tcW w:type="dxa" w:w="1662"/>
          </w:tcPr>
          <w:p>
            <w:pPr>
              <w:spacing w:after="0" w:line="240" w:lineRule="auto"/>
              <w:ind w:firstLine="0"/>
              <w:jc w:val="center"/>
            </w:pPr>
            <w:r>
              <w:rPr>
                <w:b w:val="0"/>
                <w:i w:val="0"/>
                <w:sz w:val="20"/>
              </w:rPr>
              <w:t>−427</w:t>
            </w:r>
          </w:p>
        </w:tc>
        <w:tc>
          <w:tcPr>
            <w:tcW w:type="dxa" w:w="1662"/>
          </w:tcPr>
          <w:p>
            <w:pPr>
              <w:spacing w:after="0" w:line="240" w:lineRule="auto"/>
              <w:ind w:firstLine="0"/>
              <w:jc w:val="center"/>
            </w:pPr>
            <w:r>
              <w:rPr>
                <w:b w:val="0"/>
                <w:i w:val="0"/>
                <w:sz w:val="20"/>
              </w:rPr>
              <w:t>−40</w:t>
            </w:r>
          </w:p>
        </w:tc>
        <w:tc>
          <w:tcPr>
            <w:tcW w:type="dxa" w:w="1662"/>
          </w:tcPr>
          <w:p>
            <w:pPr>
              <w:spacing w:after="0" w:line="240" w:lineRule="auto"/>
              <w:ind w:firstLine="0"/>
              <w:jc w:val="center"/>
            </w:pPr>
            <w:r>
              <w:rPr>
                <w:b w:val="0"/>
                <w:i w:val="0"/>
                <w:sz w:val="20"/>
              </w:rPr>
              <w:t>+430</w:t>
            </w:r>
          </w:p>
        </w:tc>
        <w:tc>
          <w:tcPr>
            <w:tcW w:type="dxa" w:w="1662"/>
          </w:tcPr>
          <w:p>
            <w:pPr>
              <w:spacing w:after="0" w:line="240" w:lineRule="auto"/>
              <w:ind w:firstLine="0"/>
              <w:jc w:val="center"/>
            </w:pPr>
            <w:r>
              <w:rPr>
                <w:b w:val="0"/>
                <w:i w:val="0"/>
                <w:sz w:val="20"/>
              </w:rPr>
              <w:t>+750</w:t>
            </w:r>
          </w:p>
        </w:tc>
      </w:tr>
      <w:tr>
        <w:tc>
          <w:tcPr>
            <w:tcW w:type="dxa" w:w="1662"/>
          </w:tcPr>
          <w:p>
            <w:pPr>
              <w:spacing w:after="0" w:line="240" w:lineRule="auto"/>
              <w:ind w:firstLine="0"/>
              <w:jc w:val="left"/>
            </w:pPr>
            <w:r>
              <w:rPr>
                <w:b w:val="0"/>
                <w:i w:val="0"/>
                <w:sz w:val="20"/>
              </w:rPr>
              <w:t>Средняя цена экспорта, $/кг TREO</w:t>
            </w:r>
          </w:p>
        </w:tc>
        <w:tc>
          <w:tcPr>
            <w:tcW w:type="dxa" w:w="1662"/>
          </w:tcPr>
          <w:p>
            <w:pPr>
              <w:spacing w:after="0" w:line="240" w:lineRule="auto"/>
              <w:ind w:firstLine="0"/>
              <w:jc w:val="center"/>
            </w:pPr>
            <w:r>
              <w:rPr>
                <w:b w:val="0"/>
                <w:i w:val="0"/>
                <w:sz w:val="20"/>
              </w:rPr>
              <w:t>7,0</w:t>
            </w:r>
          </w:p>
        </w:tc>
        <w:tc>
          <w:tcPr>
            <w:tcW w:type="dxa" w:w="1662"/>
          </w:tcPr>
          <w:p>
            <w:pPr>
              <w:spacing w:after="0" w:line="240" w:lineRule="auto"/>
              <w:ind w:firstLine="0"/>
              <w:jc w:val="center"/>
            </w:pPr>
            <w:r>
              <w:rPr>
                <w:b w:val="0"/>
                <w:i w:val="0"/>
                <w:sz w:val="20"/>
              </w:rPr>
              <w:t>19,4</w:t>
            </w:r>
          </w:p>
        </w:tc>
        <w:tc>
          <w:tcPr>
            <w:tcW w:type="dxa" w:w="1662"/>
          </w:tcPr>
          <w:p>
            <w:pPr>
              <w:spacing w:after="0" w:line="240" w:lineRule="auto"/>
              <w:ind w:firstLine="0"/>
              <w:jc w:val="center"/>
            </w:pPr>
            <w:r>
              <w:rPr>
                <w:b w:val="0"/>
                <w:i w:val="0"/>
                <w:sz w:val="20"/>
              </w:rPr>
              <w:t>28,3</w:t>
            </w:r>
          </w:p>
        </w:tc>
        <w:tc>
          <w:tcPr>
            <w:tcW w:type="dxa" w:w="1662"/>
          </w:tcPr>
          <w:p>
            <w:pPr>
              <w:spacing w:after="0" w:line="240" w:lineRule="auto"/>
              <w:ind w:firstLine="0"/>
              <w:jc w:val="center"/>
            </w:pPr>
            <w:r>
              <w:rPr>
                <w:b w:val="0"/>
                <w:i w:val="0"/>
                <w:sz w:val="20"/>
              </w:rPr>
              <w:t>30,0</w:t>
            </w:r>
          </w:p>
        </w:tc>
        <w:tc>
          <w:tcPr>
            <w:tcW w:type="dxa" w:w="1662"/>
          </w:tcPr>
          <w:p>
            <w:pPr>
              <w:spacing w:after="0" w:line="240" w:lineRule="auto"/>
              <w:ind w:firstLine="0"/>
              <w:jc w:val="center"/>
            </w:pPr>
            <w:r>
              <w:rPr>
                <w:b w:val="0"/>
                <w:i w:val="0"/>
                <w:sz w:val="20"/>
              </w:rPr>
              <w:t>30,6</w:t>
            </w:r>
          </w:p>
        </w:tc>
      </w:tr>
    </w:tbl>
    <w:p>
      <w:pPr>
        <w:spacing w:after="180"/>
        <w:ind w:firstLine="0"/>
      </w:pPr>
      <w:r>
        <w:rPr>
          <w:i/>
          <w:sz w:val="20"/>
        </w:rPr>
        <w:t>Источник: прогноз аналитического центра</w:t>
      </w:r>
    </w:p>
    <w:p>
      <w:r>
        <w:rPr>
          <w:b w:val="0"/>
          <w:i w:val="0"/>
        </w:rPr>
        <w:t>Ключевым допущением прогноза является переход к экспорту продукции высоких переделов: рост средней цены экспорта с 7,0 до 28–31 долл./кг TREO отражает смену товарной структуры с коллективного карбоната на разделённые оксиды. При сохранении текущей структуры экспорта (только карбонат) рост физических объёмов в 20 раз дал бы выручку лишь 220–230 млн долл., то есть в 4 раза меньше прогнозируемой.</w:t>
      </w:r>
    </w:p>
    <w:p>
      <w:r>
        <w:br w:type="page"/>
      </w:r>
    </w:p>
    <w:p>
      <w:pPr>
        <w:pStyle w:val="Heading1"/>
      </w:pPr>
      <w:r>
        <w:rPr>
          <w:b w:val="0"/>
          <w:i w:val="0"/>
        </w:rPr>
        <w:t>14. Внутреннее потребление редкоземельной продукции в Российской Федерации</w:t>
      </w:r>
    </w:p>
    <w:p>
      <w:pPr>
        <w:pStyle w:val="Heading2"/>
      </w:pPr>
      <w:r>
        <w:rPr>
          <w:b w:val="0"/>
          <w:i w:val="0"/>
        </w:rPr>
        <w:t>14.1. Баланс производства и потребления</w:t>
      </w:r>
    </w:p>
    <w:p>
      <w:r>
        <w:rPr>
          <w:b w:val="0"/>
          <w:i w:val="0"/>
        </w:rPr>
        <w:t>Оценка внутреннего потребления редкоземельной продукции в России требует особой методологической осторожности. Прямое применение формулы «производство + импорт − экспорт» даёт искажённый результат по двум причинам: во-первых, значительная часть потребления приходится на редкоземельные материалы, поступающие в страну в составе готовых изделий (электродвигатели, приводы, электроника), не учитываемых в статистике редкоземельной продукции; во-вторых, произведённая в России продукция и импортируемая продукция относятся к разным переделам и не взаимозаменяемы.</w:t>
      </w:r>
    </w:p>
    <w:p>
      <w:r>
        <w:rPr>
          <w:b w:val="0"/>
          <w:i w:val="0"/>
        </w:rPr>
        <w:t>В настоящем разделе приводятся два показателя:</w:t>
      </w:r>
    </w:p>
    <w:p>
      <w:pPr>
        <w:pStyle w:val="ListBullet"/>
        <w:spacing w:after="20"/>
        <w:ind w:firstLine="0"/>
      </w:pPr>
      <w:r>
        <w:rPr>
          <w:b/>
          <w:i w:val="0"/>
        </w:rPr>
        <w:t>«видимое» потребление первичной редкоземельной продукции</w:t>
      </w:r>
      <w:r>
        <w:rPr>
          <w:b w:val="0"/>
          <w:i w:val="0"/>
        </w:rPr>
        <w:t xml:space="preserve"> — рассчитанное балансовым методом по оксидам, солям, металлам и магнитам;</w:t>
      </w:r>
    </w:p>
    <w:p>
      <w:pPr>
        <w:pStyle w:val="ListBullet"/>
        <w:spacing w:after="20"/>
        <w:ind w:firstLine="0"/>
      </w:pPr>
      <w:r>
        <w:rPr>
          <w:b/>
          <w:i w:val="0"/>
        </w:rPr>
        <w:t>«полное» потребление</w:t>
      </w:r>
      <w:r>
        <w:rPr>
          <w:b w:val="0"/>
          <w:i w:val="0"/>
        </w:rPr>
        <w:t xml:space="preserve"> — с учётом редкоземельных материалов в составе импортируемых готовых изделий.</w:t>
      </w:r>
    </w:p>
    <w:p>
      <w:pPr>
        <w:keepNext/>
        <w:spacing w:before="160" w:after="60"/>
        <w:ind w:firstLine="0"/>
        <w:jc w:val="left"/>
      </w:pPr>
      <w:r>
        <w:rPr>
          <w:b/>
          <w:sz w:val="22"/>
        </w:rPr>
        <w:t>Таблица 97. Баланс производства и потребления редкоземельной продукции в РФ, 2015–2025 гг., т TREO</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Показатель</w:t>
            </w:r>
          </w:p>
        </w:tc>
        <w:tc>
          <w:tcPr>
            <w:tcW w:type="dxa" w:w="1425"/>
            <w:shd w:val="clear" w:fill="DCE6F1"/>
          </w:tcPr>
          <w:p>
            <w:pPr>
              <w:spacing w:after="0" w:line="240" w:lineRule="auto"/>
              <w:ind w:firstLine="0"/>
              <w:jc w:val="center"/>
            </w:pPr>
            <w:r>
              <w:rPr>
                <w:b/>
                <w:i w:val="0"/>
                <w:sz w:val="20"/>
              </w:rPr>
              <w:t>2015</w:t>
            </w:r>
          </w:p>
        </w:tc>
        <w:tc>
          <w:tcPr>
            <w:tcW w:type="dxa" w:w="1425"/>
            <w:shd w:val="clear" w:fill="DCE6F1"/>
          </w:tcPr>
          <w:p>
            <w:pPr>
              <w:spacing w:after="0" w:line="240" w:lineRule="auto"/>
              <w:ind w:firstLine="0"/>
              <w:jc w:val="center"/>
            </w:pPr>
            <w:r>
              <w:rPr>
                <w:b/>
                <w:i w:val="0"/>
                <w:sz w:val="20"/>
              </w:rPr>
              <w:t>2018</w:t>
            </w:r>
          </w:p>
        </w:tc>
        <w:tc>
          <w:tcPr>
            <w:tcW w:type="dxa" w:w="1425"/>
            <w:shd w:val="clear" w:fill="DCE6F1"/>
          </w:tcPr>
          <w:p>
            <w:pPr>
              <w:spacing w:after="0" w:line="240" w:lineRule="auto"/>
              <w:ind w:firstLine="0"/>
              <w:jc w:val="center"/>
            </w:pPr>
            <w:r>
              <w:rPr>
                <w:b/>
                <w:i w:val="0"/>
                <w:sz w:val="20"/>
              </w:rPr>
              <w:t>2021</w:t>
            </w:r>
          </w:p>
        </w:tc>
        <w:tc>
          <w:tcPr>
            <w:tcW w:type="dxa" w:w="1425"/>
            <w:shd w:val="clear" w:fill="DCE6F1"/>
          </w:tcPr>
          <w:p>
            <w:pPr>
              <w:spacing w:after="0" w:line="240" w:lineRule="auto"/>
              <w:ind w:firstLine="0"/>
              <w:jc w:val="center"/>
            </w:pPr>
            <w:r>
              <w:rPr>
                <w:b/>
                <w:i w:val="0"/>
                <w:sz w:val="20"/>
              </w:rPr>
              <w:t>2023</w:t>
            </w:r>
          </w:p>
        </w:tc>
        <w:tc>
          <w:tcPr>
            <w:tcW w:type="dxa" w:w="1425"/>
            <w:shd w:val="clear" w:fill="DCE6F1"/>
          </w:tcPr>
          <w:p>
            <w:pPr>
              <w:spacing w:after="0" w:line="240" w:lineRule="auto"/>
              <w:ind w:firstLine="0"/>
              <w:jc w:val="center"/>
            </w:pPr>
            <w:r>
              <w:rPr>
                <w:b/>
                <w:i w:val="0"/>
                <w:sz w:val="20"/>
              </w:rPr>
              <w:t>2024</w:t>
            </w:r>
          </w:p>
        </w:tc>
        <w:tc>
          <w:tcPr>
            <w:tcW w:type="dxa" w:w="1425"/>
            <w:shd w:val="clear" w:fill="DCE6F1"/>
          </w:tcPr>
          <w:p>
            <w:pPr>
              <w:spacing w:after="0" w:line="240" w:lineRule="auto"/>
              <w:ind w:firstLine="0"/>
              <w:jc w:val="center"/>
            </w:pPr>
            <w:r>
              <w:rPr>
                <w:b/>
                <w:i w:val="0"/>
                <w:sz w:val="20"/>
              </w:rPr>
              <w:t>2025 (оц.)</w:t>
            </w:r>
          </w:p>
        </w:tc>
      </w:tr>
      <w:tr>
        <w:tc>
          <w:tcPr>
            <w:tcW w:type="dxa" w:w="1425"/>
          </w:tcPr>
          <w:p>
            <w:pPr>
              <w:spacing w:after="0" w:line="240" w:lineRule="auto"/>
              <w:ind w:firstLine="0"/>
              <w:jc w:val="left"/>
            </w:pPr>
            <w:r>
              <w:rPr>
                <w:b w:val="0"/>
                <w:i w:val="0"/>
                <w:sz w:val="20"/>
              </w:rPr>
              <w:t>Производство</w:t>
            </w:r>
          </w:p>
        </w:tc>
        <w:tc>
          <w:tcPr>
            <w:tcW w:type="dxa" w:w="1425"/>
          </w:tcPr>
          <w:p>
            <w:pPr>
              <w:spacing w:after="0" w:line="240" w:lineRule="auto"/>
              <w:ind w:firstLine="0"/>
              <w:jc w:val="center"/>
            </w:pPr>
            <w:r>
              <w:rPr>
                <w:b w:val="0"/>
                <w:i w:val="0"/>
                <w:sz w:val="20"/>
              </w:rPr>
              <w:t>2 170</w:t>
            </w:r>
          </w:p>
        </w:tc>
        <w:tc>
          <w:tcPr>
            <w:tcW w:type="dxa" w:w="1425"/>
          </w:tcPr>
          <w:p>
            <w:pPr>
              <w:spacing w:after="0" w:line="240" w:lineRule="auto"/>
              <w:ind w:firstLine="0"/>
              <w:jc w:val="center"/>
            </w:pPr>
            <w:r>
              <w:rPr>
                <w:b w:val="0"/>
                <w:i w:val="0"/>
                <w:sz w:val="20"/>
              </w:rPr>
              <w:t>2 280</w:t>
            </w:r>
          </w:p>
        </w:tc>
        <w:tc>
          <w:tcPr>
            <w:tcW w:type="dxa" w:w="1425"/>
          </w:tcPr>
          <w:p>
            <w:pPr>
              <w:spacing w:after="0" w:line="240" w:lineRule="auto"/>
              <w:ind w:firstLine="0"/>
              <w:jc w:val="center"/>
            </w:pPr>
            <w:r>
              <w:rPr>
                <w:b w:val="0"/>
                <w:i w:val="0"/>
                <w:sz w:val="20"/>
              </w:rPr>
              <w:t>2 210</w:t>
            </w:r>
          </w:p>
        </w:tc>
        <w:tc>
          <w:tcPr>
            <w:tcW w:type="dxa" w:w="1425"/>
          </w:tcPr>
          <w:p>
            <w:pPr>
              <w:spacing w:after="0" w:line="240" w:lineRule="auto"/>
              <w:ind w:firstLine="0"/>
              <w:jc w:val="center"/>
            </w:pPr>
            <w:r>
              <w:rPr>
                <w:b w:val="0"/>
                <w:i w:val="0"/>
                <w:sz w:val="20"/>
              </w:rPr>
              <w:t>2 210</w:t>
            </w:r>
          </w:p>
        </w:tc>
        <w:tc>
          <w:tcPr>
            <w:tcW w:type="dxa" w:w="1425"/>
          </w:tcPr>
          <w:p>
            <w:pPr>
              <w:spacing w:after="0" w:line="240" w:lineRule="auto"/>
              <w:ind w:firstLine="0"/>
              <w:jc w:val="center"/>
            </w:pPr>
            <w:r>
              <w:rPr>
                <w:b w:val="0"/>
                <w:i w:val="0"/>
                <w:sz w:val="20"/>
              </w:rPr>
              <w:t>2 430</w:t>
            </w:r>
          </w:p>
        </w:tc>
        <w:tc>
          <w:tcPr>
            <w:tcW w:type="dxa" w:w="1425"/>
          </w:tcPr>
          <w:p>
            <w:pPr>
              <w:spacing w:after="0" w:line="240" w:lineRule="auto"/>
              <w:ind w:firstLine="0"/>
              <w:jc w:val="center"/>
            </w:pPr>
            <w:r>
              <w:rPr>
                <w:b w:val="0"/>
                <w:i w:val="0"/>
                <w:sz w:val="20"/>
              </w:rPr>
              <w:t>2 650</w:t>
            </w:r>
          </w:p>
        </w:tc>
      </w:tr>
      <w:tr>
        <w:tc>
          <w:tcPr>
            <w:tcW w:type="dxa" w:w="1425"/>
          </w:tcPr>
          <w:p>
            <w:pPr>
              <w:spacing w:after="0" w:line="240" w:lineRule="auto"/>
              <w:ind w:firstLine="0"/>
              <w:jc w:val="left"/>
            </w:pPr>
            <w:r>
              <w:rPr>
                <w:b w:val="0"/>
                <w:i w:val="0"/>
                <w:sz w:val="20"/>
              </w:rPr>
              <w:t>Экспорт</w:t>
            </w:r>
          </w:p>
        </w:tc>
        <w:tc>
          <w:tcPr>
            <w:tcW w:type="dxa" w:w="1425"/>
          </w:tcPr>
          <w:p>
            <w:pPr>
              <w:spacing w:after="0" w:line="240" w:lineRule="auto"/>
              <w:ind w:firstLine="0"/>
              <w:jc w:val="center"/>
            </w:pPr>
            <w:r>
              <w:rPr>
                <w:b w:val="0"/>
                <w:i w:val="0"/>
                <w:sz w:val="20"/>
              </w:rPr>
              <w:t>2 120</w:t>
            </w:r>
          </w:p>
        </w:tc>
        <w:tc>
          <w:tcPr>
            <w:tcW w:type="dxa" w:w="1425"/>
          </w:tcPr>
          <w:p>
            <w:pPr>
              <w:spacing w:after="0" w:line="240" w:lineRule="auto"/>
              <w:ind w:firstLine="0"/>
              <w:jc w:val="center"/>
            </w:pPr>
            <w:r>
              <w:rPr>
                <w:b w:val="0"/>
                <w:i w:val="0"/>
                <w:sz w:val="20"/>
              </w:rPr>
              <w:t>2 060</w:t>
            </w:r>
          </w:p>
        </w:tc>
        <w:tc>
          <w:tcPr>
            <w:tcW w:type="dxa" w:w="1425"/>
          </w:tcPr>
          <w:p>
            <w:pPr>
              <w:spacing w:after="0" w:line="240" w:lineRule="auto"/>
              <w:ind w:firstLine="0"/>
              <w:jc w:val="center"/>
            </w:pPr>
            <w:r>
              <w:rPr>
                <w:b w:val="0"/>
                <w:i w:val="0"/>
                <w:sz w:val="20"/>
              </w:rPr>
              <w:t>1 850</w:t>
            </w:r>
          </w:p>
        </w:tc>
        <w:tc>
          <w:tcPr>
            <w:tcW w:type="dxa" w:w="1425"/>
          </w:tcPr>
          <w:p>
            <w:pPr>
              <w:spacing w:after="0" w:line="240" w:lineRule="auto"/>
              <w:ind w:firstLine="0"/>
              <w:jc w:val="center"/>
            </w:pPr>
            <w:r>
              <w:rPr>
                <w:b w:val="0"/>
                <w:i w:val="0"/>
                <w:sz w:val="20"/>
              </w:rPr>
              <w:t>1 450</w:t>
            </w:r>
          </w:p>
        </w:tc>
        <w:tc>
          <w:tcPr>
            <w:tcW w:type="dxa" w:w="1425"/>
          </w:tcPr>
          <w:p>
            <w:pPr>
              <w:spacing w:after="0" w:line="240" w:lineRule="auto"/>
              <w:ind w:firstLine="0"/>
              <w:jc w:val="center"/>
            </w:pPr>
            <w:r>
              <w:rPr>
                <w:b w:val="0"/>
                <w:i w:val="0"/>
                <w:sz w:val="20"/>
              </w:rPr>
              <w:t>1 550</w:t>
            </w:r>
          </w:p>
        </w:tc>
        <w:tc>
          <w:tcPr>
            <w:tcW w:type="dxa" w:w="1425"/>
          </w:tcPr>
          <w:p>
            <w:pPr>
              <w:spacing w:after="0" w:line="240" w:lineRule="auto"/>
              <w:ind w:firstLine="0"/>
              <w:jc w:val="center"/>
            </w:pPr>
            <w:r>
              <w:rPr>
                <w:b w:val="0"/>
                <w:i w:val="0"/>
                <w:sz w:val="20"/>
              </w:rPr>
              <w:t>1 620</w:t>
            </w:r>
          </w:p>
        </w:tc>
      </w:tr>
      <w:tr>
        <w:tc>
          <w:tcPr>
            <w:tcW w:type="dxa" w:w="1425"/>
          </w:tcPr>
          <w:p>
            <w:pPr>
              <w:spacing w:after="0" w:line="240" w:lineRule="auto"/>
              <w:ind w:firstLine="0"/>
              <w:jc w:val="left"/>
            </w:pPr>
            <w:r>
              <w:rPr>
                <w:b w:val="0"/>
                <w:i w:val="0"/>
                <w:sz w:val="20"/>
              </w:rPr>
              <w:t>Импорт (первичная продукция)</w:t>
            </w:r>
          </w:p>
        </w:tc>
        <w:tc>
          <w:tcPr>
            <w:tcW w:type="dxa" w:w="1425"/>
          </w:tcPr>
          <w:p>
            <w:pPr>
              <w:spacing w:after="0" w:line="240" w:lineRule="auto"/>
              <w:ind w:firstLine="0"/>
              <w:jc w:val="center"/>
            </w:pPr>
            <w:r>
              <w:rPr>
                <w:b w:val="0"/>
                <w:i w:val="0"/>
                <w:sz w:val="20"/>
              </w:rPr>
              <w:t>1 320</w:t>
            </w:r>
          </w:p>
        </w:tc>
        <w:tc>
          <w:tcPr>
            <w:tcW w:type="dxa" w:w="1425"/>
          </w:tcPr>
          <w:p>
            <w:pPr>
              <w:spacing w:after="0" w:line="240" w:lineRule="auto"/>
              <w:ind w:firstLine="0"/>
              <w:jc w:val="center"/>
            </w:pPr>
            <w:r>
              <w:rPr>
                <w:b w:val="0"/>
                <w:i w:val="0"/>
                <w:sz w:val="20"/>
              </w:rPr>
              <w:t>1 540</w:t>
            </w:r>
          </w:p>
        </w:tc>
        <w:tc>
          <w:tcPr>
            <w:tcW w:type="dxa" w:w="1425"/>
          </w:tcPr>
          <w:p>
            <w:pPr>
              <w:spacing w:after="0" w:line="240" w:lineRule="auto"/>
              <w:ind w:firstLine="0"/>
              <w:jc w:val="center"/>
            </w:pPr>
            <w:r>
              <w:rPr>
                <w:b w:val="0"/>
                <w:i w:val="0"/>
                <w:sz w:val="20"/>
              </w:rPr>
              <w:t>1 780</w:t>
            </w:r>
          </w:p>
        </w:tc>
        <w:tc>
          <w:tcPr>
            <w:tcW w:type="dxa" w:w="1425"/>
          </w:tcPr>
          <w:p>
            <w:pPr>
              <w:spacing w:after="0" w:line="240" w:lineRule="auto"/>
              <w:ind w:firstLine="0"/>
              <w:jc w:val="center"/>
            </w:pPr>
            <w:r>
              <w:rPr>
                <w:b w:val="0"/>
                <w:i w:val="0"/>
                <w:sz w:val="20"/>
              </w:rPr>
              <w:t>1 690</w:t>
            </w:r>
          </w:p>
        </w:tc>
        <w:tc>
          <w:tcPr>
            <w:tcW w:type="dxa" w:w="1425"/>
          </w:tcPr>
          <w:p>
            <w:pPr>
              <w:spacing w:after="0" w:line="240" w:lineRule="auto"/>
              <w:ind w:firstLine="0"/>
              <w:jc w:val="center"/>
            </w:pPr>
            <w:r>
              <w:rPr>
                <w:b w:val="0"/>
                <w:i w:val="0"/>
                <w:sz w:val="20"/>
              </w:rPr>
              <w:t>1 850</w:t>
            </w:r>
          </w:p>
        </w:tc>
        <w:tc>
          <w:tcPr>
            <w:tcW w:type="dxa" w:w="1425"/>
          </w:tcPr>
          <w:p>
            <w:pPr>
              <w:spacing w:after="0" w:line="240" w:lineRule="auto"/>
              <w:ind w:firstLine="0"/>
              <w:jc w:val="center"/>
            </w:pPr>
            <w:r>
              <w:rPr>
                <w:b w:val="0"/>
                <w:i w:val="0"/>
                <w:sz w:val="20"/>
              </w:rPr>
              <w:t>2 020</w:t>
            </w:r>
          </w:p>
        </w:tc>
      </w:tr>
      <w:tr>
        <w:tc>
          <w:tcPr>
            <w:tcW w:type="dxa" w:w="1425"/>
          </w:tcPr>
          <w:p>
            <w:pPr>
              <w:spacing w:after="0" w:line="240" w:lineRule="auto"/>
              <w:ind w:firstLine="0"/>
              <w:jc w:val="left"/>
            </w:pPr>
            <w:r>
              <w:rPr>
                <w:b w:val="0"/>
                <w:i w:val="0"/>
                <w:sz w:val="20"/>
              </w:rPr>
              <w:t>«Видимое» потребление</w:t>
            </w:r>
          </w:p>
        </w:tc>
        <w:tc>
          <w:tcPr>
            <w:tcW w:type="dxa" w:w="1425"/>
          </w:tcPr>
          <w:p>
            <w:pPr>
              <w:spacing w:after="0" w:line="240" w:lineRule="auto"/>
              <w:ind w:firstLine="0"/>
              <w:jc w:val="center"/>
            </w:pPr>
            <w:r>
              <w:rPr>
                <w:b w:val="0"/>
                <w:i w:val="0"/>
                <w:sz w:val="20"/>
              </w:rPr>
              <w:t>1 370</w:t>
            </w:r>
          </w:p>
        </w:tc>
        <w:tc>
          <w:tcPr>
            <w:tcW w:type="dxa" w:w="1425"/>
          </w:tcPr>
          <w:p>
            <w:pPr>
              <w:spacing w:after="0" w:line="240" w:lineRule="auto"/>
              <w:ind w:firstLine="0"/>
              <w:jc w:val="center"/>
            </w:pPr>
            <w:r>
              <w:rPr>
                <w:b w:val="0"/>
                <w:i w:val="0"/>
                <w:sz w:val="20"/>
              </w:rPr>
              <w:t>1 760</w:t>
            </w:r>
          </w:p>
        </w:tc>
        <w:tc>
          <w:tcPr>
            <w:tcW w:type="dxa" w:w="1425"/>
          </w:tcPr>
          <w:p>
            <w:pPr>
              <w:spacing w:after="0" w:line="240" w:lineRule="auto"/>
              <w:ind w:firstLine="0"/>
              <w:jc w:val="center"/>
            </w:pPr>
            <w:r>
              <w:rPr>
                <w:b w:val="0"/>
                <w:i w:val="0"/>
                <w:sz w:val="20"/>
              </w:rPr>
              <w:t>2 140</w:t>
            </w:r>
          </w:p>
        </w:tc>
        <w:tc>
          <w:tcPr>
            <w:tcW w:type="dxa" w:w="1425"/>
          </w:tcPr>
          <w:p>
            <w:pPr>
              <w:spacing w:after="0" w:line="240" w:lineRule="auto"/>
              <w:ind w:firstLine="0"/>
              <w:jc w:val="center"/>
            </w:pPr>
            <w:r>
              <w:rPr>
                <w:b w:val="0"/>
                <w:i w:val="0"/>
                <w:sz w:val="20"/>
              </w:rPr>
              <w:t>2 450</w:t>
            </w:r>
          </w:p>
        </w:tc>
        <w:tc>
          <w:tcPr>
            <w:tcW w:type="dxa" w:w="1425"/>
          </w:tcPr>
          <w:p>
            <w:pPr>
              <w:spacing w:after="0" w:line="240" w:lineRule="auto"/>
              <w:ind w:firstLine="0"/>
              <w:jc w:val="center"/>
            </w:pPr>
            <w:r>
              <w:rPr>
                <w:b w:val="0"/>
                <w:i w:val="0"/>
                <w:sz w:val="20"/>
              </w:rPr>
              <w:t>2 730</w:t>
            </w:r>
          </w:p>
        </w:tc>
        <w:tc>
          <w:tcPr>
            <w:tcW w:type="dxa" w:w="1425"/>
          </w:tcPr>
          <w:p>
            <w:pPr>
              <w:spacing w:after="0" w:line="240" w:lineRule="auto"/>
              <w:ind w:firstLine="0"/>
              <w:jc w:val="center"/>
            </w:pPr>
            <w:r>
              <w:rPr>
                <w:b w:val="0"/>
                <w:i w:val="0"/>
                <w:sz w:val="20"/>
              </w:rPr>
              <w:t>3 050</w:t>
            </w:r>
          </w:p>
        </w:tc>
      </w:tr>
      <w:tr>
        <w:tc>
          <w:tcPr>
            <w:tcW w:type="dxa" w:w="1425"/>
          </w:tcPr>
          <w:p>
            <w:pPr>
              <w:spacing w:after="0" w:line="240" w:lineRule="auto"/>
              <w:ind w:firstLine="0"/>
              <w:jc w:val="left"/>
            </w:pPr>
            <w:r>
              <w:rPr>
                <w:b w:val="0"/>
                <w:i w:val="0"/>
                <w:sz w:val="20"/>
              </w:rPr>
              <w:t>в т. ч. в составе магнитов</w:t>
            </w:r>
          </w:p>
        </w:tc>
        <w:tc>
          <w:tcPr>
            <w:tcW w:type="dxa" w:w="1425"/>
          </w:tcPr>
          <w:p>
            <w:pPr>
              <w:spacing w:after="0" w:line="240" w:lineRule="auto"/>
              <w:ind w:firstLine="0"/>
              <w:jc w:val="center"/>
            </w:pPr>
            <w:r>
              <w:rPr>
                <w:b w:val="0"/>
                <w:i w:val="0"/>
                <w:sz w:val="20"/>
              </w:rPr>
              <w:t>720</w:t>
            </w:r>
          </w:p>
        </w:tc>
        <w:tc>
          <w:tcPr>
            <w:tcW w:type="dxa" w:w="1425"/>
          </w:tcPr>
          <w:p>
            <w:pPr>
              <w:spacing w:after="0" w:line="240" w:lineRule="auto"/>
              <w:ind w:firstLine="0"/>
              <w:jc w:val="center"/>
            </w:pPr>
            <w:r>
              <w:rPr>
                <w:b w:val="0"/>
                <w:i w:val="0"/>
                <w:sz w:val="20"/>
              </w:rPr>
              <w:t>940</w:t>
            </w:r>
          </w:p>
        </w:tc>
        <w:tc>
          <w:tcPr>
            <w:tcW w:type="dxa" w:w="1425"/>
          </w:tcPr>
          <w:p>
            <w:pPr>
              <w:spacing w:after="0" w:line="240" w:lineRule="auto"/>
              <w:ind w:firstLine="0"/>
              <w:jc w:val="center"/>
            </w:pPr>
            <w:r>
              <w:rPr>
                <w:b w:val="0"/>
                <w:i w:val="0"/>
                <w:sz w:val="20"/>
              </w:rPr>
              <w:t>1 210</w:t>
            </w:r>
          </w:p>
        </w:tc>
        <w:tc>
          <w:tcPr>
            <w:tcW w:type="dxa" w:w="1425"/>
          </w:tcPr>
          <w:p>
            <w:pPr>
              <w:spacing w:after="0" w:line="240" w:lineRule="auto"/>
              <w:ind w:firstLine="0"/>
              <w:jc w:val="center"/>
            </w:pPr>
            <w:r>
              <w:rPr>
                <w:b w:val="0"/>
                <w:i w:val="0"/>
                <w:sz w:val="20"/>
              </w:rPr>
              <w:t>1 420</w:t>
            </w:r>
          </w:p>
        </w:tc>
        <w:tc>
          <w:tcPr>
            <w:tcW w:type="dxa" w:w="1425"/>
          </w:tcPr>
          <w:p>
            <w:pPr>
              <w:spacing w:after="0" w:line="240" w:lineRule="auto"/>
              <w:ind w:firstLine="0"/>
              <w:jc w:val="center"/>
            </w:pPr>
            <w:r>
              <w:rPr>
                <w:b w:val="0"/>
                <w:i w:val="0"/>
                <w:sz w:val="20"/>
              </w:rPr>
              <w:t>1 580</w:t>
            </w:r>
          </w:p>
        </w:tc>
        <w:tc>
          <w:tcPr>
            <w:tcW w:type="dxa" w:w="1425"/>
          </w:tcPr>
          <w:p>
            <w:pPr>
              <w:spacing w:after="0" w:line="240" w:lineRule="auto"/>
              <w:ind w:firstLine="0"/>
              <w:jc w:val="center"/>
            </w:pPr>
            <w:r>
              <w:rPr>
                <w:b w:val="0"/>
                <w:i w:val="0"/>
                <w:sz w:val="20"/>
              </w:rPr>
              <w:t>1 660</w:t>
            </w:r>
          </w:p>
        </w:tc>
      </w:tr>
      <w:tr>
        <w:tc>
          <w:tcPr>
            <w:tcW w:type="dxa" w:w="1425"/>
          </w:tcPr>
          <w:p>
            <w:pPr>
              <w:spacing w:after="0" w:line="240" w:lineRule="auto"/>
              <w:ind w:firstLine="0"/>
              <w:jc w:val="left"/>
            </w:pPr>
            <w:r>
              <w:rPr>
                <w:b w:val="0"/>
                <w:i w:val="0"/>
                <w:sz w:val="20"/>
              </w:rPr>
              <w:t>в т. ч. прочая продукция</w:t>
            </w:r>
          </w:p>
        </w:tc>
        <w:tc>
          <w:tcPr>
            <w:tcW w:type="dxa" w:w="1425"/>
          </w:tcPr>
          <w:p>
            <w:pPr>
              <w:spacing w:after="0" w:line="240" w:lineRule="auto"/>
              <w:ind w:firstLine="0"/>
              <w:jc w:val="center"/>
            </w:pPr>
            <w:r>
              <w:rPr>
                <w:b w:val="0"/>
                <w:i w:val="0"/>
                <w:sz w:val="20"/>
              </w:rPr>
              <w:t>650</w:t>
            </w:r>
          </w:p>
        </w:tc>
        <w:tc>
          <w:tcPr>
            <w:tcW w:type="dxa" w:w="1425"/>
          </w:tcPr>
          <w:p>
            <w:pPr>
              <w:spacing w:after="0" w:line="240" w:lineRule="auto"/>
              <w:ind w:firstLine="0"/>
              <w:jc w:val="center"/>
            </w:pPr>
            <w:r>
              <w:rPr>
                <w:b w:val="0"/>
                <w:i w:val="0"/>
                <w:sz w:val="20"/>
              </w:rPr>
              <w:t>820</w:t>
            </w:r>
          </w:p>
        </w:tc>
        <w:tc>
          <w:tcPr>
            <w:tcW w:type="dxa" w:w="1425"/>
          </w:tcPr>
          <w:p>
            <w:pPr>
              <w:spacing w:after="0" w:line="240" w:lineRule="auto"/>
              <w:ind w:firstLine="0"/>
              <w:jc w:val="center"/>
            </w:pPr>
            <w:r>
              <w:rPr>
                <w:b w:val="0"/>
                <w:i w:val="0"/>
                <w:sz w:val="20"/>
              </w:rPr>
              <w:t>930</w:t>
            </w:r>
          </w:p>
        </w:tc>
        <w:tc>
          <w:tcPr>
            <w:tcW w:type="dxa" w:w="1425"/>
          </w:tcPr>
          <w:p>
            <w:pPr>
              <w:spacing w:after="0" w:line="240" w:lineRule="auto"/>
              <w:ind w:firstLine="0"/>
              <w:jc w:val="center"/>
            </w:pPr>
            <w:r>
              <w:rPr>
                <w:b w:val="0"/>
                <w:i w:val="0"/>
                <w:sz w:val="20"/>
              </w:rPr>
              <w:t>1 030</w:t>
            </w:r>
          </w:p>
        </w:tc>
        <w:tc>
          <w:tcPr>
            <w:tcW w:type="dxa" w:w="1425"/>
          </w:tcPr>
          <w:p>
            <w:pPr>
              <w:spacing w:after="0" w:line="240" w:lineRule="auto"/>
              <w:ind w:firstLine="0"/>
              <w:jc w:val="center"/>
            </w:pPr>
            <w:r>
              <w:rPr>
                <w:b w:val="0"/>
                <w:i w:val="0"/>
                <w:sz w:val="20"/>
              </w:rPr>
              <w:t>1 150</w:t>
            </w:r>
          </w:p>
        </w:tc>
        <w:tc>
          <w:tcPr>
            <w:tcW w:type="dxa" w:w="1425"/>
          </w:tcPr>
          <w:p>
            <w:pPr>
              <w:spacing w:after="0" w:line="240" w:lineRule="auto"/>
              <w:ind w:firstLine="0"/>
              <w:jc w:val="center"/>
            </w:pPr>
            <w:r>
              <w:rPr>
                <w:b w:val="0"/>
                <w:i w:val="0"/>
                <w:sz w:val="20"/>
              </w:rPr>
              <w:t>1 390</w:t>
            </w:r>
          </w:p>
        </w:tc>
      </w:tr>
      <w:tr>
        <w:tc>
          <w:tcPr>
            <w:tcW w:type="dxa" w:w="1425"/>
          </w:tcPr>
          <w:p>
            <w:pPr>
              <w:spacing w:after="0" w:line="240" w:lineRule="auto"/>
              <w:ind w:firstLine="0"/>
              <w:jc w:val="left"/>
            </w:pPr>
            <w:r>
              <w:rPr>
                <w:b w:val="0"/>
                <w:i w:val="0"/>
                <w:sz w:val="20"/>
              </w:rPr>
              <w:t>РЗМ в составе готовых изделий</w:t>
            </w:r>
          </w:p>
        </w:tc>
        <w:tc>
          <w:tcPr>
            <w:tcW w:type="dxa" w:w="1425"/>
          </w:tcPr>
          <w:p>
            <w:pPr>
              <w:spacing w:after="0" w:line="240" w:lineRule="auto"/>
              <w:ind w:firstLine="0"/>
              <w:jc w:val="center"/>
            </w:pPr>
            <w:r>
              <w:rPr>
                <w:b w:val="0"/>
                <w:i w:val="0"/>
                <w:sz w:val="20"/>
              </w:rPr>
              <w:t>1 850</w:t>
            </w:r>
          </w:p>
        </w:tc>
        <w:tc>
          <w:tcPr>
            <w:tcW w:type="dxa" w:w="1425"/>
          </w:tcPr>
          <w:p>
            <w:pPr>
              <w:spacing w:after="0" w:line="240" w:lineRule="auto"/>
              <w:ind w:firstLine="0"/>
              <w:jc w:val="center"/>
            </w:pPr>
            <w:r>
              <w:rPr>
                <w:b w:val="0"/>
                <w:i w:val="0"/>
                <w:sz w:val="20"/>
              </w:rPr>
              <w:t>2 400</w:t>
            </w:r>
          </w:p>
        </w:tc>
        <w:tc>
          <w:tcPr>
            <w:tcW w:type="dxa" w:w="1425"/>
          </w:tcPr>
          <w:p>
            <w:pPr>
              <w:spacing w:after="0" w:line="240" w:lineRule="auto"/>
              <w:ind w:firstLine="0"/>
              <w:jc w:val="center"/>
            </w:pPr>
            <w:r>
              <w:rPr>
                <w:b w:val="0"/>
                <w:i w:val="0"/>
                <w:sz w:val="20"/>
              </w:rPr>
              <w:t>2 950</w:t>
            </w:r>
          </w:p>
        </w:tc>
        <w:tc>
          <w:tcPr>
            <w:tcW w:type="dxa" w:w="1425"/>
          </w:tcPr>
          <w:p>
            <w:pPr>
              <w:spacing w:after="0" w:line="240" w:lineRule="auto"/>
              <w:ind w:firstLine="0"/>
              <w:jc w:val="center"/>
            </w:pPr>
            <w:r>
              <w:rPr>
                <w:b w:val="0"/>
                <w:i w:val="0"/>
                <w:sz w:val="20"/>
              </w:rPr>
              <w:t>2 700</w:t>
            </w:r>
          </w:p>
        </w:tc>
        <w:tc>
          <w:tcPr>
            <w:tcW w:type="dxa" w:w="1425"/>
          </w:tcPr>
          <w:p>
            <w:pPr>
              <w:spacing w:after="0" w:line="240" w:lineRule="auto"/>
              <w:ind w:firstLine="0"/>
              <w:jc w:val="center"/>
            </w:pPr>
            <w:r>
              <w:rPr>
                <w:b w:val="0"/>
                <w:i w:val="0"/>
                <w:sz w:val="20"/>
              </w:rPr>
              <w:t>3 100</w:t>
            </w:r>
          </w:p>
        </w:tc>
        <w:tc>
          <w:tcPr>
            <w:tcW w:type="dxa" w:w="1425"/>
          </w:tcPr>
          <w:p>
            <w:pPr>
              <w:spacing w:after="0" w:line="240" w:lineRule="auto"/>
              <w:ind w:firstLine="0"/>
              <w:jc w:val="center"/>
            </w:pPr>
            <w:r>
              <w:rPr>
                <w:b w:val="0"/>
                <w:i w:val="0"/>
                <w:sz w:val="20"/>
              </w:rPr>
              <w:t>3 400</w:t>
            </w:r>
          </w:p>
        </w:tc>
      </w:tr>
      <w:tr>
        <w:tc>
          <w:tcPr>
            <w:tcW w:type="dxa" w:w="1425"/>
          </w:tcPr>
          <w:p>
            <w:pPr>
              <w:spacing w:after="0" w:line="240" w:lineRule="auto"/>
              <w:ind w:firstLine="0"/>
              <w:jc w:val="left"/>
            </w:pPr>
            <w:r>
              <w:rPr>
                <w:b w:val="0"/>
                <w:i w:val="0"/>
                <w:sz w:val="20"/>
              </w:rPr>
              <w:t>«Полное» потребление</w:t>
            </w:r>
          </w:p>
        </w:tc>
        <w:tc>
          <w:tcPr>
            <w:tcW w:type="dxa" w:w="1425"/>
          </w:tcPr>
          <w:p>
            <w:pPr>
              <w:spacing w:after="0" w:line="240" w:lineRule="auto"/>
              <w:ind w:firstLine="0"/>
              <w:jc w:val="center"/>
            </w:pPr>
            <w:r>
              <w:rPr>
                <w:b w:val="0"/>
                <w:i w:val="0"/>
                <w:sz w:val="20"/>
              </w:rPr>
              <w:t>3 220</w:t>
            </w:r>
          </w:p>
        </w:tc>
        <w:tc>
          <w:tcPr>
            <w:tcW w:type="dxa" w:w="1425"/>
          </w:tcPr>
          <w:p>
            <w:pPr>
              <w:spacing w:after="0" w:line="240" w:lineRule="auto"/>
              <w:ind w:firstLine="0"/>
              <w:jc w:val="center"/>
            </w:pPr>
            <w:r>
              <w:rPr>
                <w:b w:val="0"/>
                <w:i w:val="0"/>
                <w:sz w:val="20"/>
              </w:rPr>
              <w:t>4 160</w:t>
            </w:r>
          </w:p>
        </w:tc>
        <w:tc>
          <w:tcPr>
            <w:tcW w:type="dxa" w:w="1425"/>
          </w:tcPr>
          <w:p>
            <w:pPr>
              <w:spacing w:after="0" w:line="240" w:lineRule="auto"/>
              <w:ind w:firstLine="0"/>
              <w:jc w:val="center"/>
            </w:pPr>
            <w:r>
              <w:rPr>
                <w:b w:val="0"/>
                <w:i w:val="0"/>
                <w:sz w:val="20"/>
              </w:rPr>
              <w:t>5 090</w:t>
            </w:r>
          </w:p>
        </w:tc>
        <w:tc>
          <w:tcPr>
            <w:tcW w:type="dxa" w:w="1425"/>
          </w:tcPr>
          <w:p>
            <w:pPr>
              <w:spacing w:after="0" w:line="240" w:lineRule="auto"/>
              <w:ind w:firstLine="0"/>
              <w:jc w:val="center"/>
            </w:pPr>
            <w:r>
              <w:rPr>
                <w:b w:val="0"/>
                <w:i w:val="0"/>
                <w:sz w:val="20"/>
              </w:rPr>
              <w:t>5 150</w:t>
            </w:r>
          </w:p>
        </w:tc>
        <w:tc>
          <w:tcPr>
            <w:tcW w:type="dxa" w:w="1425"/>
          </w:tcPr>
          <w:p>
            <w:pPr>
              <w:spacing w:after="0" w:line="240" w:lineRule="auto"/>
              <w:ind w:firstLine="0"/>
              <w:jc w:val="center"/>
            </w:pPr>
            <w:r>
              <w:rPr>
                <w:b w:val="0"/>
                <w:i w:val="0"/>
                <w:sz w:val="20"/>
              </w:rPr>
              <w:t>5 830</w:t>
            </w:r>
          </w:p>
        </w:tc>
        <w:tc>
          <w:tcPr>
            <w:tcW w:type="dxa" w:w="1425"/>
          </w:tcPr>
          <w:p>
            <w:pPr>
              <w:spacing w:after="0" w:line="240" w:lineRule="auto"/>
              <w:ind w:firstLine="0"/>
              <w:jc w:val="center"/>
            </w:pPr>
            <w:r>
              <w:rPr>
                <w:b w:val="0"/>
                <w:i w:val="0"/>
                <w:sz w:val="20"/>
              </w:rPr>
              <w:t>6 450</w:t>
            </w:r>
          </w:p>
        </w:tc>
      </w:tr>
    </w:tbl>
    <w:p>
      <w:pPr>
        <w:spacing w:after="180"/>
        <w:ind w:firstLine="0"/>
      </w:pPr>
      <w:r>
        <w:rPr>
          <w:i/>
          <w:sz w:val="20"/>
        </w:rPr>
        <w:t>Источник: расчёт аналитического центра</w:t>
      </w:r>
    </w:p>
    <w:p>
      <w:pPr>
        <w:keepNext/>
        <w:spacing w:before="160" w:after="60"/>
        <w:ind w:firstLine="0"/>
        <w:jc w:val="left"/>
      </w:pPr>
      <w:r>
        <w:rPr>
          <w:b/>
          <w:sz w:val="22"/>
        </w:rPr>
        <w:t>Рисунок 73. Динамика внутреннего потребления РЗМ в Российской Федерации, 2015–2025 гг., т TREO</w:t>
      </w:r>
    </w:p>
    <w:p>
      <w:pPr>
        <w:ind w:firstLine="0"/>
        <w:jc w:val="center"/>
      </w:pPr>
      <w:r>
        <w:drawing>
          <wp:inline xmlns:a="http://schemas.openxmlformats.org/drawingml/2006/main" xmlns:pic="http://schemas.openxmlformats.org/drawingml/2006/picture">
            <wp:extent cx="5580000" cy="2729348"/>
            <wp:docPr id="73" name="Picture 73"/>
            <wp:cNvGraphicFramePr>
              <a:graphicFrameLocks noChangeAspect="1"/>
            </wp:cNvGraphicFramePr>
            <a:graphic>
              <a:graphicData uri="http://schemas.openxmlformats.org/drawingml/2006/picture">
                <pic:pic>
                  <pic:nvPicPr>
                    <pic:cNvPr id="0" name="fig73.png"/>
                    <pic:cNvPicPr/>
                  </pic:nvPicPr>
                  <pic:blipFill>
                    <a:blip r:embed="rId83"/>
                    <a:stretch>
                      <a:fillRect/>
                    </a:stretch>
                  </pic:blipFill>
                  <pic:spPr>
                    <a:xfrm>
                      <a:off x="0" y="0"/>
                      <a:ext cx="5580000" cy="2729348"/>
                    </a:xfrm>
                    <a:prstGeom prst="rect"/>
                  </pic:spPr>
                </pic:pic>
              </a:graphicData>
            </a:graphic>
          </wp:inline>
        </w:drawing>
      </w:r>
    </w:p>
    <w:p>
      <w:pPr>
        <w:spacing w:after="180"/>
        <w:ind w:firstLine="0"/>
      </w:pPr>
      <w:r>
        <w:rPr>
          <w:i/>
          <w:sz w:val="20"/>
        </w:rPr>
        <w:t>Источник: аналитический центр (табл. 97)</w:t>
      </w:r>
    </w:p>
    <w:p>
      <w:r>
        <w:rPr>
          <w:b w:val="0"/>
          <w:i w:val="0"/>
        </w:rPr>
        <w:t>Сопоставление показателей выявляет характерную особенность российского рынка: около половины фактического потребления редкоземельных материалов приходится на импортируемые готовые изделия. Это означает, что даже полное импортозамещение по редкоземельной продукции как таковой не устранит зависимость: она сохранится на уровне комплектующих и конечных изделий. Задача локализации, таким образом, шире редкоземельной отрасли и охватывает электротехническое машиностроение в целом.</w:t>
      </w:r>
    </w:p>
    <w:p>
      <w:pPr>
        <w:keepNext/>
        <w:spacing w:before="160" w:after="60"/>
        <w:ind w:firstLine="0"/>
        <w:jc w:val="left"/>
      </w:pPr>
      <w:r>
        <w:rPr>
          <w:b/>
          <w:sz w:val="22"/>
        </w:rPr>
        <w:t>Таблица 98. Структура «видимого» потребления РЗМ в РФ по элементам, 2025 г., т оксида</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Элемент</w:t>
            </w:r>
          </w:p>
        </w:tc>
        <w:tc>
          <w:tcPr>
            <w:tcW w:type="dxa" w:w="1995"/>
            <w:shd w:val="clear" w:fill="DCE6F1"/>
          </w:tcPr>
          <w:p>
            <w:pPr>
              <w:spacing w:after="0" w:line="240" w:lineRule="auto"/>
              <w:ind w:firstLine="0"/>
              <w:jc w:val="center"/>
            </w:pPr>
            <w:r>
              <w:rPr>
                <w:b/>
                <w:i w:val="0"/>
                <w:sz w:val="20"/>
              </w:rPr>
              <w:t>Потребление</w:t>
            </w:r>
          </w:p>
        </w:tc>
        <w:tc>
          <w:tcPr>
            <w:tcW w:type="dxa" w:w="1995"/>
            <w:shd w:val="clear" w:fill="DCE6F1"/>
          </w:tcPr>
          <w:p>
            <w:pPr>
              <w:spacing w:after="0" w:line="240" w:lineRule="auto"/>
              <w:ind w:firstLine="0"/>
              <w:jc w:val="center"/>
            </w:pPr>
            <w:r>
              <w:rPr>
                <w:b/>
                <w:i w:val="0"/>
                <w:sz w:val="20"/>
              </w:rPr>
              <w:t>Собств. производство</w:t>
            </w:r>
          </w:p>
        </w:tc>
        <w:tc>
          <w:tcPr>
            <w:tcW w:type="dxa" w:w="1995"/>
            <w:shd w:val="clear" w:fill="DCE6F1"/>
          </w:tcPr>
          <w:p>
            <w:pPr>
              <w:spacing w:after="0" w:line="240" w:lineRule="auto"/>
              <w:ind w:firstLine="0"/>
              <w:jc w:val="center"/>
            </w:pPr>
            <w:r>
              <w:rPr>
                <w:b/>
                <w:i w:val="0"/>
                <w:sz w:val="20"/>
              </w:rPr>
              <w:t>Импорт</w:t>
            </w:r>
          </w:p>
        </w:tc>
        <w:tc>
          <w:tcPr>
            <w:tcW w:type="dxa" w:w="1995"/>
            <w:shd w:val="clear" w:fill="DCE6F1"/>
          </w:tcPr>
          <w:p>
            <w:pPr>
              <w:spacing w:after="0" w:line="240" w:lineRule="auto"/>
              <w:ind w:firstLine="0"/>
              <w:jc w:val="center"/>
            </w:pPr>
            <w:r>
              <w:rPr>
                <w:b/>
                <w:i w:val="0"/>
                <w:sz w:val="20"/>
              </w:rPr>
              <w:t>Основное направление</w:t>
            </w:r>
          </w:p>
        </w:tc>
      </w:tr>
      <w:tr>
        <w:tc>
          <w:tcPr>
            <w:tcW w:type="dxa" w:w="1995"/>
          </w:tcPr>
          <w:p>
            <w:pPr>
              <w:spacing w:after="0" w:line="240" w:lineRule="auto"/>
              <w:ind w:firstLine="0"/>
              <w:jc w:val="left"/>
            </w:pPr>
            <w:r>
              <w:rPr>
                <w:b w:val="0"/>
                <w:i w:val="0"/>
                <w:sz w:val="20"/>
              </w:rPr>
              <w:t>La₂O₃</w:t>
            </w:r>
          </w:p>
        </w:tc>
        <w:tc>
          <w:tcPr>
            <w:tcW w:type="dxa" w:w="1995"/>
          </w:tcPr>
          <w:p>
            <w:pPr>
              <w:spacing w:after="0" w:line="240" w:lineRule="auto"/>
              <w:ind w:firstLine="0"/>
              <w:jc w:val="center"/>
            </w:pPr>
            <w:r>
              <w:rPr>
                <w:b w:val="0"/>
                <w:i w:val="0"/>
                <w:sz w:val="20"/>
              </w:rPr>
              <w:t>320</w:t>
            </w:r>
          </w:p>
        </w:tc>
        <w:tc>
          <w:tcPr>
            <w:tcW w:type="dxa" w:w="1995"/>
          </w:tcPr>
          <w:p>
            <w:pPr>
              <w:spacing w:after="0" w:line="240" w:lineRule="auto"/>
              <w:ind w:firstLine="0"/>
              <w:jc w:val="center"/>
            </w:pPr>
            <w:r>
              <w:rPr>
                <w:b w:val="0"/>
                <w:i w:val="0"/>
                <w:sz w:val="20"/>
              </w:rPr>
              <w:t>120</w:t>
            </w:r>
          </w:p>
        </w:tc>
        <w:tc>
          <w:tcPr>
            <w:tcW w:type="dxa" w:w="1995"/>
          </w:tcPr>
          <w:p>
            <w:pPr>
              <w:spacing w:after="0" w:line="240" w:lineRule="auto"/>
              <w:ind w:firstLine="0"/>
              <w:jc w:val="center"/>
            </w:pPr>
            <w:r>
              <w:rPr>
                <w:b w:val="0"/>
                <w:i w:val="0"/>
                <w:sz w:val="20"/>
              </w:rPr>
              <w:t>200</w:t>
            </w:r>
          </w:p>
        </w:tc>
        <w:tc>
          <w:tcPr>
            <w:tcW w:type="dxa" w:w="1995"/>
          </w:tcPr>
          <w:p>
            <w:pPr>
              <w:spacing w:after="0" w:line="240" w:lineRule="auto"/>
              <w:ind w:firstLine="0"/>
              <w:jc w:val="center"/>
            </w:pPr>
            <w:r>
              <w:rPr>
                <w:b w:val="0"/>
                <w:i w:val="0"/>
                <w:sz w:val="20"/>
              </w:rPr>
              <w:t>катализаторы, оптика</w:t>
            </w:r>
          </w:p>
        </w:tc>
      </w:tr>
      <w:tr>
        <w:tc>
          <w:tcPr>
            <w:tcW w:type="dxa" w:w="1995"/>
          </w:tcPr>
          <w:p>
            <w:pPr>
              <w:spacing w:after="0" w:line="240" w:lineRule="auto"/>
              <w:ind w:firstLine="0"/>
              <w:jc w:val="left"/>
            </w:pPr>
            <w:r>
              <w:rPr>
                <w:b w:val="0"/>
                <w:i w:val="0"/>
                <w:sz w:val="20"/>
              </w:rPr>
              <w:t>CeO₂</w:t>
            </w:r>
          </w:p>
        </w:tc>
        <w:tc>
          <w:tcPr>
            <w:tcW w:type="dxa" w:w="1995"/>
          </w:tcPr>
          <w:p>
            <w:pPr>
              <w:spacing w:after="0" w:line="240" w:lineRule="auto"/>
              <w:ind w:firstLine="0"/>
              <w:jc w:val="center"/>
            </w:pPr>
            <w:r>
              <w:rPr>
                <w:b w:val="0"/>
                <w:i w:val="0"/>
                <w:sz w:val="20"/>
              </w:rPr>
              <w:t>850</w:t>
            </w:r>
          </w:p>
        </w:tc>
        <w:tc>
          <w:tcPr>
            <w:tcW w:type="dxa" w:w="1995"/>
          </w:tcPr>
          <w:p>
            <w:pPr>
              <w:spacing w:after="0" w:line="240" w:lineRule="auto"/>
              <w:ind w:firstLine="0"/>
              <w:jc w:val="center"/>
            </w:pPr>
            <w:r>
              <w:rPr>
                <w:b w:val="0"/>
                <w:i w:val="0"/>
                <w:sz w:val="20"/>
              </w:rPr>
              <w:t>160</w:t>
            </w:r>
          </w:p>
        </w:tc>
        <w:tc>
          <w:tcPr>
            <w:tcW w:type="dxa" w:w="1995"/>
          </w:tcPr>
          <w:p>
            <w:pPr>
              <w:spacing w:after="0" w:line="240" w:lineRule="auto"/>
              <w:ind w:firstLine="0"/>
              <w:jc w:val="center"/>
            </w:pPr>
            <w:r>
              <w:rPr>
                <w:b w:val="0"/>
                <w:i w:val="0"/>
                <w:sz w:val="20"/>
              </w:rPr>
              <w:t>690</w:t>
            </w:r>
          </w:p>
        </w:tc>
        <w:tc>
          <w:tcPr>
            <w:tcW w:type="dxa" w:w="1995"/>
          </w:tcPr>
          <w:p>
            <w:pPr>
              <w:spacing w:after="0" w:line="240" w:lineRule="auto"/>
              <w:ind w:firstLine="0"/>
              <w:jc w:val="center"/>
            </w:pPr>
            <w:r>
              <w:rPr>
                <w:b w:val="0"/>
                <w:i w:val="0"/>
                <w:sz w:val="20"/>
              </w:rPr>
              <w:t>полировка, стекло, металлургия</w:t>
            </w:r>
          </w:p>
        </w:tc>
      </w:tr>
      <w:tr>
        <w:tc>
          <w:tcPr>
            <w:tcW w:type="dxa" w:w="1995"/>
          </w:tcPr>
          <w:p>
            <w:pPr>
              <w:spacing w:after="0" w:line="240" w:lineRule="auto"/>
              <w:ind w:firstLine="0"/>
              <w:jc w:val="left"/>
            </w:pPr>
            <w:r>
              <w:rPr>
                <w:b w:val="0"/>
                <w:i w:val="0"/>
                <w:sz w:val="20"/>
              </w:rPr>
              <w:t>Pr₆O₁₁</w:t>
            </w:r>
          </w:p>
        </w:tc>
        <w:tc>
          <w:tcPr>
            <w:tcW w:type="dxa" w:w="1995"/>
          </w:tcPr>
          <w:p>
            <w:pPr>
              <w:spacing w:after="0" w:line="240" w:lineRule="auto"/>
              <w:ind w:firstLine="0"/>
              <w:jc w:val="center"/>
            </w:pPr>
            <w:r>
              <w:rPr>
                <w:b w:val="0"/>
                <w:i w:val="0"/>
                <w:sz w:val="20"/>
              </w:rPr>
              <w:t>65</w:t>
            </w:r>
          </w:p>
        </w:tc>
        <w:tc>
          <w:tcPr>
            <w:tcW w:type="dxa" w:w="1995"/>
          </w:tcPr>
          <w:p>
            <w:pPr>
              <w:spacing w:after="0" w:line="240" w:lineRule="auto"/>
              <w:ind w:firstLine="0"/>
              <w:jc w:val="center"/>
            </w:pPr>
            <w:r>
              <w:rPr>
                <w:b w:val="0"/>
                <w:i w:val="0"/>
                <w:sz w:val="20"/>
              </w:rPr>
              <w:t>30</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магниты, керамика</w:t>
            </w:r>
          </w:p>
        </w:tc>
      </w:tr>
      <w:tr>
        <w:tc>
          <w:tcPr>
            <w:tcW w:type="dxa" w:w="1995"/>
          </w:tcPr>
          <w:p>
            <w:pPr>
              <w:spacing w:after="0" w:line="240" w:lineRule="auto"/>
              <w:ind w:firstLine="0"/>
              <w:jc w:val="left"/>
            </w:pPr>
            <w:r>
              <w:rPr>
                <w:b w:val="0"/>
                <w:i w:val="0"/>
                <w:sz w:val="20"/>
              </w:rPr>
              <w:t>Nd₂O₃</w:t>
            </w:r>
          </w:p>
        </w:tc>
        <w:tc>
          <w:tcPr>
            <w:tcW w:type="dxa" w:w="1995"/>
          </w:tcPr>
          <w:p>
            <w:pPr>
              <w:spacing w:after="0" w:line="240" w:lineRule="auto"/>
              <w:ind w:firstLine="0"/>
              <w:jc w:val="center"/>
            </w:pPr>
            <w:r>
              <w:rPr>
                <w:b w:val="0"/>
                <w:i w:val="0"/>
                <w:sz w:val="20"/>
              </w:rPr>
              <w:t>210</w:t>
            </w:r>
          </w:p>
        </w:tc>
        <w:tc>
          <w:tcPr>
            <w:tcW w:type="dxa" w:w="1995"/>
          </w:tcPr>
          <w:p>
            <w:pPr>
              <w:spacing w:after="0" w:line="240" w:lineRule="auto"/>
              <w:ind w:firstLine="0"/>
              <w:jc w:val="center"/>
            </w:pPr>
            <w:r>
              <w:rPr>
                <w:b w:val="0"/>
                <w:i w:val="0"/>
                <w:sz w:val="20"/>
              </w:rPr>
              <w:t>85</w:t>
            </w:r>
          </w:p>
        </w:tc>
        <w:tc>
          <w:tcPr>
            <w:tcW w:type="dxa" w:w="1995"/>
          </w:tcPr>
          <w:p>
            <w:pPr>
              <w:spacing w:after="0" w:line="240" w:lineRule="auto"/>
              <w:ind w:firstLine="0"/>
              <w:jc w:val="center"/>
            </w:pPr>
            <w:r>
              <w:rPr>
                <w:b w:val="0"/>
                <w:i w:val="0"/>
                <w:sz w:val="20"/>
              </w:rPr>
              <w:t>125</w:t>
            </w:r>
          </w:p>
        </w:tc>
        <w:tc>
          <w:tcPr>
            <w:tcW w:type="dxa" w:w="1995"/>
          </w:tcPr>
          <w:p>
            <w:pPr>
              <w:spacing w:after="0" w:line="240" w:lineRule="auto"/>
              <w:ind w:firstLine="0"/>
              <w:jc w:val="center"/>
            </w:pPr>
            <w:r>
              <w:rPr>
                <w:b w:val="0"/>
                <w:i w:val="0"/>
                <w:sz w:val="20"/>
              </w:rPr>
              <w:t>магниты, лазеры, стекло</w:t>
            </w:r>
          </w:p>
        </w:tc>
      </w:tr>
      <w:tr>
        <w:tc>
          <w:tcPr>
            <w:tcW w:type="dxa" w:w="1995"/>
          </w:tcPr>
          <w:p>
            <w:pPr>
              <w:spacing w:after="0" w:line="240" w:lineRule="auto"/>
              <w:ind w:firstLine="0"/>
              <w:jc w:val="left"/>
            </w:pPr>
            <w:r>
              <w:rPr>
                <w:b w:val="0"/>
                <w:i w:val="0"/>
                <w:sz w:val="20"/>
              </w:rPr>
              <w:t>Sm₂O₃</w:t>
            </w:r>
          </w:p>
        </w:tc>
        <w:tc>
          <w:tcPr>
            <w:tcW w:type="dxa" w:w="1995"/>
          </w:tcPr>
          <w:p>
            <w:pPr>
              <w:spacing w:after="0" w:line="240" w:lineRule="auto"/>
              <w:ind w:firstLine="0"/>
              <w:jc w:val="center"/>
            </w:pPr>
            <w:r>
              <w:rPr>
                <w:b w:val="0"/>
                <w:i w:val="0"/>
                <w:sz w:val="20"/>
              </w:rPr>
              <w:t>18</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6</w:t>
            </w:r>
          </w:p>
        </w:tc>
        <w:tc>
          <w:tcPr>
            <w:tcW w:type="dxa" w:w="1995"/>
          </w:tcPr>
          <w:p>
            <w:pPr>
              <w:spacing w:after="0" w:line="240" w:lineRule="auto"/>
              <w:ind w:firstLine="0"/>
              <w:jc w:val="center"/>
            </w:pPr>
            <w:r>
              <w:rPr>
                <w:b w:val="0"/>
                <w:i w:val="0"/>
                <w:sz w:val="20"/>
              </w:rPr>
              <w:t>магниты SmCo, атомная отрасль</w:t>
            </w:r>
          </w:p>
        </w:tc>
      </w:tr>
      <w:tr>
        <w:tc>
          <w:tcPr>
            <w:tcW w:type="dxa" w:w="1995"/>
          </w:tcPr>
          <w:p>
            <w:pPr>
              <w:spacing w:after="0" w:line="240" w:lineRule="auto"/>
              <w:ind w:firstLine="0"/>
              <w:jc w:val="left"/>
            </w:pPr>
            <w:r>
              <w:rPr>
                <w:b w:val="0"/>
                <w:i w:val="0"/>
                <w:sz w:val="20"/>
              </w:rPr>
              <w:t>Eu₂O₃</w:t>
            </w:r>
          </w:p>
        </w:tc>
        <w:tc>
          <w:tcPr>
            <w:tcW w:type="dxa" w:w="1995"/>
          </w:tcPr>
          <w:p>
            <w:pPr>
              <w:spacing w:after="0" w:line="240" w:lineRule="auto"/>
              <w:ind w:firstLine="0"/>
              <w:jc w:val="center"/>
            </w:pPr>
            <w:r>
              <w:rPr>
                <w:b w:val="0"/>
                <w:i w:val="0"/>
                <w:sz w:val="20"/>
              </w:rPr>
              <w:t>4</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4</w:t>
            </w:r>
          </w:p>
        </w:tc>
        <w:tc>
          <w:tcPr>
            <w:tcW w:type="dxa" w:w="1995"/>
          </w:tcPr>
          <w:p>
            <w:pPr>
              <w:spacing w:after="0" w:line="240" w:lineRule="auto"/>
              <w:ind w:firstLine="0"/>
              <w:jc w:val="center"/>
            </w:pPr>
            <w:r>
              <w:rPr>
                <w:b w:val="0"/>
                <w:i w:val="0"/>
                <w:sz w:val="20"/>
              </w:rPr>
              <w:t>люминофоры</w:t>
            </w:r>
          </w:p>
        </w:tc>
      </w:tr>
      <w:tr>
        <w:tc>
          <w:tcPr>
            <w:tcW w:type="dxa" w:w="1995"/>
          </w:tcPr>
          <w:p>
            <w:pPr>
              <w:spacing w:after="0" w:line="240" w:lineRule="auto"/>
              <w:ind w:firstLine="0"/>
              <w:jc w:val="left"/>
            </w:pPr>
            <w:r>
              <w:rPr>
                <w:b w:val="0"/>
                <w:i w:val="0"/>
                <w:sz w:val="20"/>
              </w:rPr>
              <w:t>Gd₂O₃</w:t>
            </w:r>
          </w:p>
        </w:tc>
        <w:tc>
          <w:tcPr>
            <w:tcW w:type="dxa" w:w="1995"/>
          </w:tcPr>
          <w:p>
            <w:pPr>
              <w:spacing w:after="0" w:line="240" w:lineRule="auto"/>
              <w:ind w:firstLine="0"/>
              <w:jc w:val="center"/>
            </w:pPr>
            <w:r>
              <w:rPr>
                <w:b w:val="0"/>
                <w:i w:val="0"/>
                <w:sz w:val="20"/>
              </w:rPr>
              <w:t>42</w:t>
            </w:r>
          </w:p>
        </w:tc>
        <w:tc>
          <w:tcPr>
            <w:tcW w:type="dxa" w:w="1995"/>
          </w:tcPr>
          <w:p>
            <w:pPr>
              <w:spacing w:after="0" w:line="240" w:lineRule="auto"/>
              <w:ind w:firstLine="0"/>
              <w:jc w:val="center"/>
            </w:pPr>
            <w:r>
              <w:rPr>
                <w:b w:val="0"/>
                <w:i w:val="0"/>
                <w:sz w:val="20"/>
              </w:rPr>
              <w:t>13</w:t>
            </w:r>
          </w:p>
        </w:tc>
        <w:tc>
          <w:tcPr>
            <w:tcW w:type="dxa" w:w="1995"/>
          </w:tcPr>
          <w:p>
            <w:pPr>
              <w:spacing w:after="0" w:line="240" w:lineRule="auto"/>
              <w:ind w:firstLine="0"/>
              <w:jc w:val="center"/>
            </w:pPr>
            <w:r>
              <w:rPr>
                <w:b w:val="0"/>
                <w:i w:val="0"/>
                <w:sz w:val="20"/>
              </w:rPr>
              <w:t>29</w:t>
            </w:r>
          </w:p>
        </w:tc>
        <w:tc>
          <w:tcPr>
            <w:tcW w:type="dxa" w:w="1995"/>
          </w:tcPr>
          <w:p>
            <w:pPr>
              <w:spacing w:after="0" w:line="240" w:lineRule="auto"/>
              <w:ind w:firstLine="0"/>
              <w:jc w:val="center"/>
            </w:pPr>
            <w:r>
              <w:rPr>
                <w:b w:val="0"/>
                <w:i w:val="0"/>
                <w:sz w:val="20"/>
              </w:rPr>
              <w:t>атомная отрасль, медицина</w:t>
            </w:r>
          </w:p>
        </w:tc>
      </w:tr>
      <w:tr>
        <w:tc>
          <w:tcPr>
            <w:tcW w:type="dxa" w:w="1995"/>
          </w:tcPr>
          <w:p>
            <w:pPr>
              <w:spacing w:after="0" w:line="240" w:lineRule="auto"/>
              <w:ind w:firstLine="0"/>
              <w:jc w:val="left"/>
            </w:pPr>
            <w:r>
              <w:rPr>
                <w:b w:val="0"/>
                <w:i w:val="0"/>
                <w:sz w:val="20"/>
              </w:rPr>
              <w:t>Tb₄O₇</w:t>
            </w:r>
          </w:p>
        </w:tc>
        <w:tc>
          <w:tcPr>
            <w:tcW w:type="dxa" w:w="1995"/>
          </w:tcPr>
          <w:p>
            <w:pPr>
              <w:spacing w:after="0" w:line="240" w:lineRule="auto"/>
              <w:ind w:firstLine="0"/>
              <w:jc w:val="center"/>
            </w:pPr>
            <w:r>
              <w:rPr>
                <w:b w:val="0"/>
                <w:i w:val="0"/>
                <w:sz w:val="20"/>
              </w:rPr>
              <w:t>8</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8</w:t>
            </w:r>
          </w:p>
        </w:tc>
        <w:tc>
          <w:tcPr>
            <w:tcW w:type="dxa" w:w="1995"/>
          </w:tcPr>
          <w:p>
            <w:pPr>
              <w:spacing w:after="0" w:line="240" w:lineRule="auto"/>
              <w:ind w:firstLine="0"/>
              <w:jc w:val="center"/>
            </w:pPr>
            <w:r>
              <w:rPr>
                <w:b w:val="0"/>
                <w:i w:val="0"/>
                <w:sz w:val="20"/>
              </w:rPr>
              <w:t>магниты, люминофоры</w:t>
            </w:r>
          </w:p>
        </w:tc>
      </w:tr>
      <w:tr>
        <w:tc>
          <w:tcPr>
            <w:tcW w:type="dxa" w:w="1995"/>
          </w:tcPr>
          <w:p>
            <w:pPr>
              <w:spacing w:after="0" w:line="240" w:lineRule="auto"/>
              <w:ind w:firstLine="0"/>
              <w:jc w:val="left"/>
            </w:pPr>
            <w:r>
              <w:rPr>
                <w:b w:val="0"/>
                <w:i w:val="0"/>
                <w:sz w:val="20"/>
              </w:rPr>
              <w:t>Dy₂O₃</w:t>
            </w:r>
          </w:p>
        </w:tc>
        <w:tc>
          <w:tcPr>
            <w:tcW w:type="dxa" w:w="1995"/>
          </w:tcPr>
          <w:p>
            <w:pPr>
              <w:spacing w:after="0" w:line="240" w:lineRule="auto"/>
              <w:ind w:firstLine="0"/>
              <w:jc w:val="center"/>
            </w:pPr>
            <w:r>
              <w:rPr>
                <w:b w:val="0"/>
                <w:i w:val="0"/>
                <w:sz w:val="20"/>
              </w:rPr>
              <w:t>32</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32</w:t>
            </w:r>
          </w:p>
        </w:tc>
        <w:tc>
          <w:tcPr>
            <w:tcW w:type="dxa" w:w="1995"/>
          </w:tcPr>
          <w:p>
            <w:pPr>
              <w:spacing w:after="0" w:line="240" w:lineRule="auto"/>
              <w:ind w:firstLine="0"/>
              <w:jc w:val="center"/>
            </w:pPr>
            <w:r>
              <w:rPr>
                <w:b w:val="0"/>
                <w:i w:val="0"/>
                <w:sz w:val="20"/>
              </w:rPr>
              <w:t>магниты</w:t>
            </w:r>
          </w:p>
        </w:tc>
      </w:tr>
      <w:tr>
        <w:tc>
          <w:tcPr>
            <w:tcW w:type="dxa" w:w="1995"/>
          </w:tcPr>
          <w:p>
            <w:pPr>
              <w:spacing w:after="0" w:line="240" w:lineRule="auto"/>
              <w:ind w:firstLine="0"/>
              <w:jc w:val="left"/>
            </w:pPr>
            <w:r>
              <w:rPr>
                <w:b w:val="0"/>
                <w:i w:val="0"/>
                <w:sz w:val="20"/>
              </w:rPr>
              <w:t>Y₂O₃</w:t>
            </w:r>
          </w:p>
        </w:tc>
        <w:tc>
          <w:tcPr>
            <w:tcW w:type="dxa" w:w="1995"/>
          </w:tcPr>
          <w:p>
            <w:pPr>
              <w:spacing w:after="0" w:line="240" w:lineRule="auto"/>
              <w:ind w:firstLine="0"/>
              <w:jc w:val="center"/>
            </w:pPr>
            <w:r>
              <w:rPr>
                <w:b w:val="0"/>
                <w:i w:val="0"/>
                <w:sz w:val="20"/>
              </w:rPr>
              <w:t>180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180</w:t>
            </w:r>
          </w:p>
        </w:tc>
        <w:tc>
          <w:tcPr>
            <w:tcW w:type="dxa" w:w="1995"/>
          </w:tcPr>
          <w:p>
            <w:pPr>
              <w:spacing w:after="0" w:line="240" w:lineRule="auto"/>
              <w:ind w:firstLine="0"/>
              <w:jc w:val="center"/>
            </w:pPr>
            <w:r>
              <w:rPr>
                <w:b w:val="0"/>
                <w:i w:val="0"/>
                <w:sz w:val="20"/>
              </w:rPr>
              <w:t>керамика, люминофоры, покрытия</w:t>
            </w:r>
          </w:p>
        </w:tc>
      </w:tr>
      <w:tr>
        <w:tc>
          <w:tcPr>
            <w:tcW w:type="dxa" w:w="1995"/>
          </w:tcPr>
          <w:p>
            <w:pPr>
              <w:spacing w:after="0" w:line="240" w:lineRule="auto"/>
              <w:ind w:firstLine="0"/>
              <w:jc w:val="left"/>
            </w:pPr>
            <w:r>
              <w:rPr>
                <w:b w:val="0"/>
                <w:i w:val="0"/>
                <w:sz w:val="20"/>
              </w:rPr>
              <w:t>Sc₂O₃</w:t>
            </w:r>
          </w:p>
        </w:tc>
        <w:tc>
          <w:tcPr>
            <w:tcW w:type="dxa" w:w="1995"/>
          </w:tcPr>
          <w:p>
            <w:pPr>
              <w:spacing w:after="0" w:line="240" w:lineRule="auto"/>
              <w:ind w:firstLine="0"/>
              <w:jc w:val="center"/>
            </w:pPr>
            <w:r>
              <w:rPr>
                <w:b w:val="0"/>
                <w:i w:val="0"/>
                <w:sz w:val="20"/>
              </w:rPr>
              <w:t>3</w:t>
            </w:r>
          </w:p>
        </w:tc>
        <w:tc>
          <w:tcPr>
            <w:tcW w:type="dxa" w:w="1995"/>
          </w:tcPr>
          <w:p>
            <w:pPr>
              <w:spacing w:after="0" w:line="240" w:lineRule="auto"/>
              <w:ind w:firstLine="0"/>
              <w:jc w:val="center"/>
            </w:pPr>
            <w:r>
              <w:rPr>
                <w:b w:val="0"/>
                <w:i w:val="0"/>
                <w:sz w:val="20"/>
              </w:rPr>
              <w:t>1</w:t>
            </w:r>
          </w:p>
        </w:tc>
        <w:tc>
          <w:tcPr>
            <w:tcW w:type="dxa" w:w="1995"/>
          </w:tcPr>
          <w:p>
            <w:pPr>
              <w:spacing w:after="0" w:line="240" w:lineRule="auto"/>
              <w:ind w:firstLine="0"/>
              <w:jc w:val="center"/>
            </w:pPr>
            <w:r>
              <w:rPr>
                <w:b w:val="0"/>
                <w:i w:val="0"/>
                <w:sz w:val="20"/>
              </w:rPr>
              <w:t>2</w:t>
            </w:r>
          </w:p>
        </w:tc>
        <w:tc>
          <w:tcPr>
            <w:tcW w:type="dxa" w:w="1995"/>
          </w:tcPr>
          <w:p>
            <w:pPr>
              <w:spacing w:after="0" w:line="240" w:lineRule="auto"/>
              <w:ind w:firstLine="0"/>
              <w:jc w:val="center"/>
            </w:pPr>
            <w:r>
              <w:rPr>
                <w:b w:val="0"/>
                <w:i w:val="0"/>
                <w:sz w:val="20"/>
              </w:rPr>
              <w:t>сплавы, ТОТЭ</w:t>
            </w:r>
          </w:p>
        </w:tc>
      </w:tr>
      <w:tr>
        <w:tc>
          <w:tcPr>
            <w:tcW w:type="dxa" w:w="1995"/>
          </w:tcPr>
          <w:p>
            <w:pPr>
              <w:spacing w:after="0" w:line="240" w:lineRule="auto"/>
              <w:ind w:firstLine="0"/>
              <w:jc w:val="left"/>
            </w:pPr>
            <w:r>
              <w:rPr>
                <w:b w:val="0"/>
                <w:i w:val="0"/>
                <w:sz w:val="20"/>
              </w:rPr>
              <w:t>Прочие (Ho–Lu)</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лазеры, оптика, медицина</w:t>
            </w:r>
          </w:p>
        </w:tc>
      </w:tr>
      <w:tr>
        <w:tc>
          <w:tcPr>
            <w:tcW w:type="dxa" w:w="1995"/>
          </w:tcPr>
          <w:p>
            <w:pPr>
              <w:spacing w:after="0" w:line="240" w:lineRule="auto"/>
              <w:ind w:firstLine="0"/>
              <w:jc w:val="left"/>
            </w:pPr>
            <w:r>
              <w:rPr>
                <w:b/>
                <w:i w:val="0"/>
                <w:sz w:val="20"/>
              </w:rPr>
              <w:t>Всего</w:t>
            </w:r>
          </w:p>
        </w:tc>
        <w:tc>
          <w:tcPr>
            <w:tcW w:type="dxa" w:w="1995"/>
          </w:tcPr>
          <w:p>
            <w:pPr>
              <w:spacing w:after="0" w:line="240" w:lineRule="auto"/>
              <w:ind w:firstLine="0"/>
              <w:jc w:val="center"/>
            </w:pPr>
            <w:r>
              <w:rPr>
                <w:b/>
                <w:i w:val="0"/>
                <w:sz w:val="20"/>
              </w:rPr>
              <w:t>1 744</w:t>
            </w:r>
          </w:p>
        </w:tc>
        <w:tc>
          <w:tcPr>
            <w:tcW w:type="dxa" w:w="1995"/>
          </w:tcPr>
          <w:p>
            <w:pPr>
              <w:spacing w:after="0" w:line="240" w:lineRule="auto"/>
              <w:ind w:firstLine="0"/>
              <w:jc w:val="center"/>
            </w:pPr>
            <w:r>
              <w:rPr>
                <w:b/>
                <w:i w:val="0"/>
                <w:sz w:val="20"/>
              </w:rPr>
              <w:t>421</w:t>
            </w:r>
          </w:p>
        </w:tc>
        <w:tc>
          <w:tcPr>
            <w:tcW w:type="dxa" w:w="1995"/>
          </w:tcPr>
          <w:p>
            <w:pPr>
              <w:spacing w:after="0" w:line="240" w:lineRule="auto"/>
              <w:ind w:firstLine="0"/>
              <w:jc w:val="center"/>
            </w:pPr>
            <w:r>
              <w:rPr>
                <w:b/>
                <w:i w:val="0"/>
                <w:sz w:val="20"/>
              </w:rPr>
              <w:t>1 323</w:t>
            </w:r>
          </w:p>
        </w:tc>
        <w:tc>
          <w:tcPr>
            <w:tcW w:type="dxa" w:w="1995"/>
          </w:tcPr>
          <w:p>
            <w:pPr>
              <w:spacing w:after="0" w:line="240" w:lineRule="auto"/>
              <w:ind w:firstLine="0"/>
              <w:jc w:val="center"/>
            </w:pPr>
          </w:p>
        </w:tc>
      </w:tr>
    </w:tbl>
    <w:p>
      <w:pPr>
        <w:spacing w:after="180"/>
        <w:ind w:firstLine="0"/>
      </w:pPr>
      <w:r>
        <w:rPr>
          <w:i/>
          <w:sz w:val="20"/>
        </w:rPr>
        <w:t>Источник: расчёт аналитического центра</w:t>
      </w:r>
    </w:p>
    <w:p>
      <w:pPr>
        <w:keepNext/>
        <w:spacing w:before="160" w:after="60"/>
        <w:ind w:firstLine="0"/>
        <w:jc w:val="left"/>
      </w:pPr>
      <w:r>
        <w:rPr>
          <w:b/>
          <w:sz w:val="22"/>
        </w:rPr>
        <w:t>Рисунок 74. Структура «видимого» потребления первичной редкоземельной продукции в РФ по элементам, 2025 г., %</w:t>
      </w:r>
    </w:p>
    <w:p>
      <w:pPr>
        <w:ind w:firstLine="0"/>
        <w:jc w:val="center"/>
      </w:pPr>
      <w:r>
        <w:drawing>
          <wp:inline xmlns:a="http://schemas.openxmlformats.org/drawingml/2006/main" xmlns:pic="http://schemas.openxmlformats.org/drawingml/2006/picture">
            <wp:extent cx="5580000" cy="3600000"/>
            <wp:docPr id="74" name="Picture 74"/>
            <wp:cNvGraphicFramePr>
              <a:graphicFrameLocks noChangeAspect="1"/>
            </wp:cNvGraphicFramePr>
            <a:graphic>
              <a:graphicData uri="http://schemas.openxmlformats.org/drawingml/2006/picture">
                <pic:pic>
                  <pic:nvPicPr>
                    <pic:cNvPr id="0" name="fig74.png"/>
                    <pic:cNvPicPr/>
                  </pic:nvPicPr>
                  <pic:blipFill>
                    <a:blip r:embed="rId84"/>
                    <a:stretch>
                      <a:fillRect/>
                    </a:stretch>
                  </pic:blipFill>
                  <pic:spPr>
                    <a:xfrm>
                      <a:off x="0" y="0"/>
                      <a:ext cx="5580000" cy="3600000"/>
                    </a:xfrm>
                    <a:prstGeom prst="rect"/>
                  </pic:spPr>
                </pic:pic>
              </a:graphicData>
            </a:graphic>
          </wp:inline>
        </w:drawing>
      </w:r>
    </w:p>
    <w:p>
      <w:pPr>
        <w:spacing w:after="180"/>
        <w:ind w:firstLine="0"/>
      </w:pPr>
      <w:r>
        <w:rPr>
          <w:i/>
          <w:sz w:val="20"/>
        </w:rPr>
        <w:t>Источник: аналитический центр (табл. 98)</w:t>
      </w:r>
    </w:p>
    <w:p>
      <w:pPr>
        <w:pStyle w:val="Heading2"/>
      </w:pPr>
      <w:r>
        <w:rPr>
          <w:b w:val="0"/>
          <w:i w:val="0"/>
        </w:rPr>
        <w:t>14.2. Структура потребления по отраслям</w:t>
      </w:r>
    </w:p>
    <w:p>
      <w:pPr>
        <w:keepNext/>
        <w:spacing w:before="160" w:after="60"/>
        <w:ind w:firstLine="0"/>
        <w:jc w:val="left"/>
      </w:pPr>
      <w:r>
        <w:rPr>
          <w:b/>
          <w:sz w:val="22"/>
        </w:rPr>
        <w:t>Таблица 99. Структура потребления редкоземельной продукции в РФ по отраслям, 2020–2025 гг., т TREO</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Отрасль</w:t>
            </w:r>
          </w:p>
        </w:tc>
        <w:tc>
          <w:tcPr>
            <w:tcW w:type="dxa" w:w="1662"/>
            <w:shd w:val="clear" w:fill="DCE6F1"/>
          </w:tcPr>
          <w:p>
            <w:pPr>
              <w:spacing w:after="0" w:line="240" w:lineRule="auto"/>
              <w:ind w:firstLine="0"/>
              <w:jc w:val="center"/>
            </w:pPr>
            <w:r>
              <w:rPr>
                <w:b/>
                <w:i w:val="0"/>
                <w:sz w:val="20"/>
              </w:rPr>
              <w:t>2020</w:t>
            </w:r>
          </w:p>
        </w:tc>
        <w:tc>
          <w:tcPr>
            <w:tcW w:type="dxa" w:w="1662"/>
            <w:shd w:val="clear" w:fill="DCE6F1"/>
          </w:tcPr>
          <w:p>
            <w:pPr>
              <w:spacing w:after="0" w:line="240" w:lineRule="auto"/>
              <w:ind w:firstLine="0"/>
              <w:jc w:val="center"/>
            </w:pPr>
            <w:r>
              <w:rPr>
                <w:b/>
                <w:i w:val="0"/>
                <w:sz w:val="20"/>
              </w:rPr>
              <w:t>2022</w:t>
            </w:r>
          </w:p>
        </w:tc>
        <w:tc>
          <w:tcPr>
            <w:tcW w:type="dxa" w:w="1662"/>
            <w:shd w:val="clear" w:fill="DCE6F1"/>
          </w:tcPr>
          <w:p>
            <w:pPr>
              <w:spacing w:after="0" w:line="240" w:lineRule="auto"/>
              <w:ind w:firstLine="0"/>
              <w:jc w:val="center"/>
            </w:pPr>
            <w:r>
              <w:rPr>
                <w:b/>
                <w:i w:val="0"/>
                <w:sz w:val="20"/>
              </w:rPr>
              <w:t>2023</w:t>
            </w:r>
          </w:p>
        </w:tc>
        <w:tc>
          <w:tcPr>
            <w:tcW w:type="dxa" w:w="1662"/>
            <w:shd w:val="clear" w:fill="DCE6F1"/>
          </w:tcPr>
          <w:p>
            <w:pPr>
              <w:spacing w:after="0" w:line="240" w:lineRule="auto"/>
              <w:ind w:firstLine="0"/>
              <w:jc w:val="center"/>
            </w:pPr>
            <w:r>
              <w:rPr>
                <w:b/>
                <w:i w:val="0"/>
                <w:sz w:val="20"/>
              </w:rPr>
              <w:t>2024</w:t>
            </w:r>
          </w:p>
        </w:tc>
        <w:tc>
          <w:tcPr>
            <w:tcW w:type="dxa" w:w="1662"/>
            <w:shd w:val="clear" w:fill="DCE6F1"/>
          </w:tcPr>
          <w:p>
            <w:pPr>
              <w:spacing w:after="0" w:line="240" w:lineRule="auto"/>
              <w:ind w:firstLine="0"/>
              <w:jc w:val="center"/>
            </w:pPr>
            <w:r>
              <w:rPr>
                <w:b/>
                <w:i w:val="0"/>
                <w:sz w:val="20"/>
              </w:rPr>
              <w:t>2025 (оц.)</w:t>
            </w:r>
          </w:p>
        </w:tc>
      </w:tr>
      <w:tr>
        <w:tc>
          <w:tcPr>
            <w:tcW w:type="dxa" w:w="1662"/>
          </w:tcPr>
          <w:p>
            <w:pPr>
              <w:spacing w:after="0" w:line="240" w:lineRule="auto"/>
              <w:ind w:firstLine="0"/>
              <w:jc w:val="left"/>
            </w:pPr>
            <w:r>
              <w:rPr>
                <w:b w:val="0"/>
                <w:i w:val="0"/>
                <w:sz w:val="20"/>
              </w:rPr>
              <w:t>Электротехника и приборостроение (магниты)</w:t>
            </w:r>
          </w:p>
        </w:tc>
        <w:tc>
          <w:tcPr>
            <w:tcW w:type="dxa" w:w="1662"/>
          </w:tcPr>
          <w:p>
            <w:pPr>
              <w:spacing w:after="0" w:line="240" w:lineRule="auto"/>
              <w:ind w:firstLine="0"/>
              <w:jc w:val="center"/>
            </w:pPr>
            <w:r>
              <w:rPr>
                <w:b w:val="0"/>
                <w:i w:val="0"/>
                <w:sz w:val="20"/>
              </w:rPr>
              <w:t>1 090</w:t>
            </w:r>
          </w:p>
        </w:tc>
        <w:tc>
          <w:tcPr>
            <w:tcW w:type="dxa" w:w="1662"/>
          </w:tcPr>
          <w:p>
            <w:pPr>
              <w:spacing w:after="0" w:line="240" w:lineRule="auto"/>
              <w:ind w:firstLine="0"/>
              <w:jc w:val="center"/>
            </w:pPr>
            <w:r>
              <w:rPr>
                <w:b w:val="0"/>
                <w:i w:val="0"/>
                <w:sz w:val="20"/>
              </w:rPr>
              <w:t>1 240</w:t>
            </w:r>
          </w:p>
        </w:tc>
        <w:tc>
          <w:tcPr>
            <w:tcW w:type="dxa" w:w="1662"/>
          </w:tcPr>
          <w:p>
            <w:pPr>
              <w:spacing w:after="0" w:line="240" w:lineRule="auto"/>
              <w:ind w:firstLine="0"/>
              <w:jc w:val="center"/>
            </w:pPr>
            <w:r>
              <w:rPr>
                <w:b w:val="0"/>
                <w:i w:val="0"/>
                <w:sz w:val="20"/>
              </w:rPr>
              <w:t>1 420</w:t>
            </w:r>
          </w:p>
        </w:tc>
        <w:tc>
          <w:tcPr>
            <w:tcW w:type="dxa" w:w="1662"/>
          </w:tcPr>
          <w:p>
            <w:pPr>
              <w:spacing w:after="0" w:line="240" w:lineRule="auto"/>
              <w:ind w:firstLine="0"/>
              <w:jc w:val="center"/>
            </w:pPr>
            <w:r>
              <w:rPr>
                <w:b w:val="0"/>
                <w:i w:val="0"/>
                <w:sz w:val="20"/>
              </w:rPr>
              <w:t>1 580</w:t>
            </w:r>
          </w:p>
        </w:tc>
        <w:tc>
          <w:tcPr>
            <w:tcW w:type="dxa" w:w="1662"/>
          </w:tcPr>
          <w:p>
            <w:pPr>
              <w:spacing w:after="0" w:line="240" w:lineRule="auto"/>
              <w:ind w:firstLine="0"/>
              <w:jc w:val="center"/>
            </w:pPr>
            <w:r>
              <w:rPr>
                <w:b w:val="0"/>
                <w:i w:val="0"/>
                <w:sz w:val="20"/>
              </w:rPr>
              <w:t>1 660</w:t>
            </w:r>
          </w:p>
        </w:tc>
      </w:tr>
      <w:tr>
        <w:tc>
          <w:tcPr>
            <w:tcW w:type="dxa" w:w="1662"/>
          </w:tcPr>
          <w:p>
            <w:pPr>
              <w:spacing w:after="0" w:line="240" w:lineRule="auto"/>
              <w:ind w:firstLine="0"/>
              <w:jc w:val="left"/>
            </w:pPr>
            <w:r>
              <w:rPr>
                <w:b w:val="0"/>
                <w:i w:val="0"/>
                <w:sz w:val="20"/>
              </w:rPr>
              <w:t>Стекольная и оптическая промышленность</w:t>
            </w:r>
          </w:p>
        </w:tc>
        <w:tc>
          <w:tcPr>
            <w:tcW w:type="dxa" w:w="1662"/>
          </w:tcPr>
          <w:p>
            <w:pPr>
              <w:spacing w:after="0" w:line="240" w:lineRule="auto"/>
              <w:ind w:firstLine="0"/>
              <w:jc w:val="center"/>
            </w:pPr>
            <w:r>
              <w:rPr>
                <w:b w:val="0"/>
                <w:i w:val="0"/>
                <w:sz w:val="20"/>
              </w:rPr>
              <w:t>340</w:t>
            </w:r>
          </w:p>
        </w:tc>
        <w:tc>
          <w:tcPr>
            <w:tcW w:type="dxa" w:w="1662"/>
          </w:tcPr>
          <w:p>
            <w:pPr>
              <w:spacing w:after="0" w:line="240" w:lineRule="auto"/>
              <w:ind w:firstLine="0"/>
              <w:jc w:val="center"/>
            </w:pPr>
            <w:r>
              <w:rPr>
                <w:b w:val="0"/>
                <w:i w:val="0"/>
                <w:sz w:val="20"/>
              </w:rPr>
              <w:t>310</w:t>
            </w:r>
          </w:p>
        </w:tc>
        <w:tc>
          <w:tcPr>
            <w:tcW w:type="dxa" w:w="1662"/>
          </w:tcPr>
          <w:p>
            <w:pPr>
              <w:spacing w:after="0" w:line="240" w:lineRule="auto"/>
              <w:ind w:firstLine="0"/>
              <w:jc w:val="center"/>
            </w:pPr>
            <w:r>
              <w:rPr>
                <w:b w:val="0"/>
                <w:i w:val="0"/>
                <w:sz w:val="20"/>
              </w:rPr>
              <w:t>355</w:t>
            </w:r>
          </w:p>
        </w:tc>
        <w:tc>
          <w:tcPr>
            <w:tcW w:type="dxa" w:w="1662"/>
          </w:tcPr>
          <w:p>
            <w:pPr>
              <w:spacing w:after="0" w:line="240" w:lineRule="auto"/>
              <w:ind w:firstLine="0"/>
              <w:jc w:val="center"/>
            </w:pPr>
            <w:r>
              <w:rPr>
                <w:b w:val="0"/>
                <w:i w:val="0"/>
                <w:sz w:val="20"/>
              </w:rPr>
              <w:t>390</w:t>
            </w:r>
          </w:p>
        </w:tc>
        <w:tc>
          <w:tcPr>
            <w:tcW w:type="dxa" w:w="1662"/>
          </w:tcPr>
          <w:p>
            <w:pPr>
              <w:spacing w:after="0" w:line="240" w:lineRule="auto"/>
              <w:ind w:firstLine="0"/>
              <w:jc w:val="center"/>
            </w:pPr>
            <w:r>
              <w:rPr>
                <w:b w:val="0"/>
                <w:i w:val="0"/>
                <w:sz w:val="20"/>
              </w:rPr>
              <w:t>420</w:t>
            </w:r>
          </w:p>
        </w:tc>
      </w:tr>
      <w:tr>
        <w:tc>
          <w:tcPr>
            <w:tcW w:type="dxa" w:w="1662"/>
          </w:tcPr>
          <w:p>
            <w:pPr>
              <w:spacing w:after="0" w:line="240" w:lineRule="auto"/>
              <w:ind w:firstLine="0"/>
              <w:jc w:val="left"/>
            </w:pPr>
            <w:r>
              <w:rPr>
                <w:b w:val="0"/>
                <w:i w:val="0"/>
                <w:sz w:val="20"/>
              </w:rPr>
              <w:t>Металлургия и производство сплавов</w:t>
            </w:r>
          </w:p>
        </w:tc>
        <w:tc>
          <w:tcPr>
            <w:tcW w:type="dxa" w:w="1662"/>
          </w:tcPr>
          <w:p>
            <w:pPr>
              <w:spacing w:after="0" w:line="240" w:lineRule="auto"/>
              <w:ind w:firstLine="0"/>
              <w:jc w:val="center"/>
            </w:pPr>
            <w:r>
              <w:rPr>
                <w:b w:val="0"/>
                <w:i w:val="0"/>
                <w:sz w:val="20"/>
              </w:rPr>
              <w:t>210</w:t>
            </w:r>
          </w:p>
        </w:tc>
        <w:tc>
          <w:tcPr>
            <w:tcW w:type="dxa" w:w="1662"/>
          </w:tcPr>
          <w:p>
            <w:pPr>
              <w:spacing w:after="0" w:line="240" w:lineRule="auto"/>
              <w:ind w:firstLine="0"/>
              <w:jc w:val="center"/>
            </w:pPr>
            <w:r>
              <w:rPr>
                <w:b w:val="0"/>
                <w:i w:val="0"/>
                <w:sz w:val="20"/>
              </w:rPr>
              <w:t>230</w:t>
            </w:r>
          </w:p>
        </w:tc>
        <w:tc>
          <w:tcPr>
            <w:tcW w:type="dxa" w:w="1662"/>
          </w:tcPr>
          <w:p>
            <w:pPr>
              <w:spacing w:after="0" w:line="240" w:lineRule="auto"/>
              <w:ind w:firstLine="0"/>
              <w:jc w:val="center"/>
            </w:pPr>
            <w:r>
              <w:rPr>
                <w:b w:val="0"/>
                <w:i w:val="0"/>
                <w:sz w:val="20"/>
              </w:rPr>
              <w:t>250</w:t>
            </w:r>
          </w:p>
        </w:tc>
        <w:tc>
          <w:tcPr>
            <w:tcW w:type="dxa" w:w="1662"/>
          </w:tcPr>
          <w:p>
            <w:pPr>
              <w:spacing w:after="0" w:line="240" w:lineRule="auto"/>
              <w:ind w:firstLine="0"/>
              <w:jc w:val="center"/>
            </w:pPr>
            <w:r>
              <w:rPr>
                <w:b w:val="0"/>
                <w:i w:val="0"/>
                <w:sz w:val="20"/>
              </w:rPr>
              <w:t>275</w:t>
            </w:r>
          </w:p>
        </w:tc>
        <w:tc>
          <w:tcPr>
            <w:tcW w:type="dxa" w:w="1662"/>
          </w:tcPr>
          <w:p>
            <w:pPr>
              <w:spacing w:after="0" w:line="240" w:lineRule="auto"/>
              <w:ind w:firstLine="0"/>
              <w:jc w:val="center"/>
            </w:pPr>
            <w:r>
              <w:rPr>
                <w:b w:val="0"/>
                <w:i w:val="0"/>
                <w:sz w:val="20"/>
              </w:rPr>
              <w:t>300</w:t>
            </w:r>
          </w:p>
        </w:tc>
      </w:tr>
      <w:tr>
        <w:tc>
          <w:tcPr>
            <w:tcW w:type="dxa" w:w="1662"/>
          </w:tcPr>
          <w:p>
            <w:pPr>
              <w:spacing w:after="0" w:line="240" w:lineRule="auto"/>
              <w:ind w:firstLine="0"/>
              <w:jc w:val="left"/>
            </w:pPr>
            <w:r>
              <w:rPr>
                <w:b w:val="0"/>
                <w:i w:val="0"/>
                <w:sz w:val="20"/>
              </w:rPr>
              <w:t>Нефтепереработка (катализаторы)</w:t>
            </w:r>
          </w:p>
        </w:tc>
        <w:tc>
          <w:tcPr>
            <w:tcW w:type="dxa" w:w="1662"/>
          </w:tcPr>
          <w:p>
            <w:pPr>
              <w:spacing w:after="0" w:line="240" w:lineRule="auto"/>
              <w:ind w:firstLine="0"/>
              <w:jc w:val="center"/>
            </w:pPr>
            <w:r>
              <w:rPr>
                <w:b w:val="0"/>
                <w:i w:val="0"/>
                <w:sz w:val="20"/>
              </w:rPr>
              <w:t>195</w:t>
            </w:r>
          </w:p>
        </w:tc>
        <w:tc>
          <w:tcPr>
            <w:tcW w:type="dxa" w:w="1662"/>
          </w:tcPr>
          <w:p>
            <w:pPr>
              <w:spacing w:after="0" w:line="240" w:lineRule="auto"/>
              <w:ind w:firstLine="0"/>
              <w:jc w:val="center"/>
            </w:pPr>
            <w:r>
              <w:rPr>
                <w:b w:val="0"/>
                <w:i w:val="0"/>
                <w:sz w:val="20"/>
              </w:rPr>
              <w:t>175</w:t>
            </w:r>
          </w:p>
        </w:tc>
        <w:tc>
          <w:tcPr>
            <w:tcW w:type="dxa" w:w="1662"/>
          </w:tcPr>
          <w:p>
            <w:pPr>
              <w:spacing w:after="0" w:line="240" w:lineRule="auto"/>
              <w:ind w:firstLine="0"/>
              <w:jc w:val="center"/>
            </w:pPr>
            <w:r>
              <w:rPr>
                <w:b w:val="0"/>
                <w:i w:val="0"/>
                <w:sz w:val="20"/>
              </w:rPr>
              <w:t>200</w:t>
            </w:r>
          </w:p>
        </w:tc>
        <w:tc>
          <w:tcPr>
            <w:tcW w:type="dxa" w:w="1662"/>
          </w:tcPr>
          <w:p>
            <w:pPr>
              <w:spacing w:after="0" w:line="240" w:lineRule="auto"/>
              <w:ind w:firstLine="0"/>
              <w:jc w:val="center"/>
            </w:pPr>
            <w:r>
              <w:rPr>
                <w:b w:val="0"/>
                <w:i w:val="0"/>
                <w:sz w:val="20"/>
              </w:rPr>
              <w:t>215</w:t>
            </w:r>
          </w:p>
        </w:tc>
        <w:tc>
          <w:tcPr>
            <w:tcW w:type="dxa" w:w="1662"/>
          </w:tcPr>
          <w:p>
            <w:pPr>
              <w:spacing w:after="0" w:line="240" w:lineRule="auto"/>
              <w:ind w:firstLine="0"/>
              <w:jc w:val="center"/>
            </w:pPr>
            <w:r>
              <w:rPr>
                <w:b w:val="0"/>
                <w:i w:val="0"/>
                <w:sz w:val="20"/>
              </w:rPr>
              <w:t>230</w:t>
            </w:r>
          </w:p>
        </w:tc>
      </w:tr>
      <w:tr>
        <w:tc>
          <w:tcPr>
            <w:tcW w:type="dxa" w:w="1662"/>
          </w:tcPr>
          <w:p>
            <w:pPr>
              <w:spacing w:after="0" w:line="240" w:lineRule="auto"/>
              <w:ind w:firstLine="0"/>
              <w:jc w:val="left"/>
            </w:pPr>
            <w:r>
              <w:rPr>
                <w:b w:val="0"/>
                <w:i w:val="0"/>
                <w:sz w:val="20"/>
              </w:rPr>
              <w:t>Атомная промышленность</w:t>
            </w:r>
          </w:p>
        </w:tc>
        <w:tc>
          <w:tcPr>
            <w:tcW w:type="dxa" w:w="1662"/>
          </w:tcPr>
          <w:p>
            <w:pPr>
              <w:spacing w:after="0" w:line="240" w:lineRule="auto"/>
              <w:ind w:firstLine="0"/>
              <w:jc w:val="center"/>
            </w:pPr>
            <w:r>
              <w:rPr>
                <w:b w:val="0"/>
                <w:i w:val="0"/>
                <w:sz w:val="20"/>
              </w:rPr>
              <w:t>85</w:t>
            </w:r>
          </w:p>
        </w:tc>
        <w:tc>
          <w:tcPr>
            <w:tcW w:type="dxa" w:w="1662"/>
          </w:tcPr>
          <w:p>
            <w:pPr>
              <w:spacing w:after="0" w:line="240" w:lineRule="auto"/>
              <w:ind w:firstLine="0"/>
              <w:jc w:val="center"/>
            </w:pPr>
            <w:r>
              <w:rPr>
                <w:b w:val="0"/>
                <w:i w:val="0"/>
                <w:sz w:val="20"/>
              </w:rPr>
              <w:t>92</w:t>
            </w:r>
          </w:p>
        </w:tc>
        <w:tc>
          <w:tcPr>
            <w:tcW w:type="dxa" w:w="1662"/>
          </w:tcPr>
          <w:p>
            <w:pPr>
              <w:spacing w:after="0" w:line="240" w:lineRule="auto"/>
              <w:ind w:firstLine="0"/>
              <w:jc w:val="center"/>
            </w:pPr>
            <w:r>
              <w:rPr>
                <w:b w:val="0"/>
                <w:i w:val="0"/>
                <w:sz w:val="20"/>
              </w:rPr>
              <w:t>98</w:t>
            </w:r>
          </w:p>
        </w:tc>
        <w:tc>
          <w:tcPr>
            <w:tcW w:type="dxa" w:w="1662"/>
          </w:tcPr>
          <w:p>
            <w:pPr>
              <w:spacing w:after="0" w:line="240" w:lineRule="auto"/>
              <w:ind w:firstLine="0"/>
              <w:jc w:val="center"/>
            </w:pPr>
            <w:r>
              <w:rPr>
                <w:b w:val="0"/>
                <w:i w:val="0"/>
                <w:sz w:val="20"/>
              </w:rPr>
              <w:t>105</w:t>
            </w:r>
          </w:p>
        </w:tc>
        <w:tc>
          <w:tcPr>
            <w:tcW w:type="dxa" w:w="1662"/>
          </w:tcPr>
          <w:p>
            <w:pPr>
              <w:spacing w:after="0" w:line="240" w:lineRule="auto"/>
              <w:ind w:firstLine="0"/>
              <w:jc w:val="center"/>
            </w:pPr>
            <w:r>
              <w:rPr>
                <w:b w:val="0"/>
                <w:i w:val="0"/>
                <w:sz w:val="20"/>
              </w:rPr>
              <w:t>115</w:t>
            </w:r>
          </w:p>
        </w:tc>
      </w:tr>
      <w:tr>
        <w:tc>
          <w:tcPr>
            <w:tcW w:type="dxa" w:w="1662"/>
          </w:tcPr>
          <w:p>
            <w:pPr>
              <w:spacing w:after="0" w:line="240" w:lineRule="auto"/>
              <w:ind w:firstLine="0"/>
              <w:jc w:val="left"/>
            </w:pPr>
            <w:r>
              <w:rPr>
                <w:b w:val="0"/>
                <w:i w:val="0"/>
                <w:sz w:val="20"/>
              </w:rPr>
              <w:t>Керамика и огнеупоры</w:t>
            </w:r>
          </w:p>
        </w:tc>
        <w:tc>
          <w:tcPr>
            <w:tcW w:type="dxa" w:w="1662"/>
          </w:tcPr>
          <w:p>
            <w:pPr>
              <w:spacing w:after="0" w:line="240" w:lineRule="auto"/>
              <w:ind w:firstLine="0"/>
              <w:jc w:val="center"/>
            </w:pPr>
            <w:r>
              <w:rPr>
                <w:b w:val="0"/>
                <w:i w:val="0"/>
                <w:sz w:val="20"/>
              </w:rPr>
              <w:t>110</w:t>
            </w:r>
          </w:p>
        </w:tc>
        <w:tc>
          <w:tcPr>
            <w:tcW w:type="dxa" w:w="1662"/>
          </w:tcPr>
          <w:p>
            <w:pPr>
              <w:spacing w:after="0" w:line="240" w:lineRule="auto"/>
              <w:ind w:firstLine="0"/>
              <w:jc w:val="center"/>
            </w:pPr>
            <w:r>
              <w:rPr>
                <w:b w:val="0"/>
                <w:i w:val="0"/>
                <w:sz w:val="20"/>
              </w:rPr>
              <w:t>118</w:t>
            </w:r>
          </w:p>
        </w:tc>
        <w:tc>
          <w:tcPr>
            <w:tcW w:type="dxa" w:w="1662"/>
          </w:tcPr>
          <w:p>
            <w:pPr>
              <w:spacing w:after="0" w:line="240" w:lineRule="auto"/>
              <w:ind w:firstLine="0"/>
              <w:jc w:val="center"/>
            </w:pPr>
            <w:r>
              <w:rPr>
                <w:b w:val="0"/>
                <w:i w:val="0"/>
                <w:sz w:val="20"/>
              </w:rPr>
              <w:t>128</w:t>
            </w:r>
          </w:p>
        </w:tc>
        <w:tc>
          <w:tcPr>
            <w:tcW w:type="dxa" w:w="1662"/>
          </w:tcPr>
          <w:p>
            <w:pPr>
              <w:spacing w:after="0" w:line="240" w:lineRule="auto"/>
              <w:ind w:firstLine="0"/>
              <w:jc w:val="center"/>
            </w:pPr>
            <w:r>
              <w:rPr>
                <w:b w:val="0"/>
                <w:i w:val="0"/>
                <w:sz w:val="20"/>
              </w:rPr>
              <w:t>140</w:t>
            </w:r>
          </w:p>
        </w:tc>
        <w:tc>
          <w:tcPr>
            <w:tcW w:type="dxa" w:w="1662"/>
          </w:tcPr>
          <w:p>
            <w:pPr>
              <w:spacing w:after="0" w:line="240" w:lineRule="auto"/>
              <w:ind w:firstLine="0"/>
              <w:jc w:val="center"/>
            </w:pPr>
            <w:r>
              <w:rPr>
                <w:b w:val="0"/>
                <w:i w:val="0"/>
                <w:sz w:val="20"/>
              </w:rPr>
              <w:t>155</w:t>
            </w:r>
          </w:p>
        </w:tc>
      </w:tr>
      <w:tr>
        <w:tc>
          <w:tcPr>
            <w:tcW w:type="dxa" w:w="1662"/>
          </w:tcPr>
          <w:p>
            <w:pPr>
              <w:spacing w:after="0" w:line="240" w:lineRule="auto"/>
              <w:ind w:firstLine="0"/>
              <w:jc w:val="left"/>
            </w:pPr>
            <w:r>
              <w:rPr>
                <w:b w:val="0"/>
                <w:i w:val="0"/>
                <w:sz w:val="20"/>
              </w:rPr>
              <w:t>Автомобильная промышленность (катализаторы)</w:t>
            </w:r>
          </w:p>
        </w:tc>
        <w:tc>
          <w:tcPr>
            <w:tcW w:type="dxa" w:w="1662"/>
          </w:tcPr>
          <w:p>
            <w:pPr>
              <w:spacing w:after="0" w:line="240" w:lineRule="auto"/>
              <w:ind w:firstLine="0"/>
              <w:jc w:val="center"/>
            </w:pPr>
            <w:r>
              <w:rPr>
                <w:b w:val="0"/>
                <w:i w:val="0"/>
                <w:sz w:val="20"/>
              </w:rPr>
              <w:t>95</w:t>
            </w:r>
          </w:p>
        </w:tc>
        <w:tc>
          <w:tcPr>
            <w:tcW w:type="dxa" w:w="1662"/>
          </w:tcPr>
          <w:p>
            <w:pPr>
              <w:spacing w:after="0" w:line="240" w:lineRule="auto"/>
              <w:ind w:firstLine="0"/>
              <w:jc w:val="center"/>
            </w:pPr>
            <w:r>
              <w:rPr>
                <w:b w:val="0"/>
                <w:i w:val="0"/>
                <w:sz w:val="20"/>
              </w:rPr>
              <w:t>45</w:t>
            </w:r>
          </w:p>
        </w:tc>
        <w:tc>
          <w:tcPr>
            <w:tcW w:type="dxa" w:w="1662"/>
          </w:tcPr>
          <w:p>
            <w:pPr>
              <w:spacing w:after="0" w:line="240" w:lineRule="auto"/>
              <w:ind w:firstLine="0"/>
              <w:jc w:val="center"/>
            </w:pPr>
            <w:r>
              <w:rPr>
                <w:b w:val="0"/>
                <w:i w:val="0"/>
                <w:sz w:val="20"/>
              </w:rPr>
              <w:t>55</w:t>
            </w:r>
          </w:p>
        </w:tc>
        <w:tc>
          <w:tcPr>
            <w:tcW w:type="dxa" w:w="1662"/>
          </w:tcPr>
          <w:p>
            <w:pPr>
              <w:spacing w:after="0" w:line="240" w:lineRule="auto"/>
              <w:ind w:firstLine="0"/>
              <w:jc w:val="center"/>
            </w:pPr>
            <w:r>
              <w:rPr>
                <w:b w:val="0"/>
                <w:i w:val="0"/>
                <w:sz w:val="20"/>
              </w:rPr>
              <w:t>65</w:t>
            </w:r>
          </w:p>
        </w:tc>
        <w:tc>
          <w:tcPr>
            <w:tcW w:type="dxa" w:w="1662"/>
          </w:tcPr>
          <w:p>
            <w:pPr>
              <w:spacing w:after="0" w:line="240" w:lineRule="auto"/>
              <w:ind w:firstLine="0"/>
              <w:jc w:val="center"/>
            </w:pPr>
            <w:r>
              <w:rPr>
                <w:b w:val="0"/>
                <w:i w:val="0"/>
                <w:sz w:val="20"/>
              </w:rPr>
              <w:t>75</w:t>
            </w:r>
          </w:p>
        </w:tc>
      </w:tr>
      <w:tr>
        <w:tc>
          <w:tcPr>
            <w:tcW w:type="dxa" w:w="1662"/>
          </w:tcPr>
          <w:p>
            <w:pPr>
              <w:spacing w:after="0" w:line="240" w:lineRule="auto"/>
              <w:ind w:firstLine="0"/>
              <w:jc w:val="left"/>
            </w:pPr>
            <w:r>
              <w:rPr>
                <w:b w:val="0"/>
                <w:i w:val="0"/>
                <w:sz w:val="20"/>
              </w:rPr>
              <w:t>Медицина и фармацевтика</w:t>
            </w:r>
          </w:p>
        </w:tc>
        <w:tc>
          <w:tcPr>
            <w:tcW w:type="dxa" w:w="1662"/>
          </w:tcPr>
          <w:p>
            <w:pPr>
              <w:spacing w:after="0" w:line="240" w:lineRule="auto"/>
              <w:ind w:firstLine="0"/>
              <w:jc w:val="center"/>
            </w:pPr>
            <w:r>
              <w:rPr>
                <w:b w:val="0"/>
                <w:i w:val="0"/>
                <w:sz w:val="20"/>
              </w:rPr>
              <w:t>22</w:t>
            </w:r>
          </w:p>
        </w:tc>
        <w:tc>
          <w:tcPr>
            <w:tcW w:type="dxa" w:w="1662"/>
          </w:tcPr>
          <w:p>
            <w:pPr>
              <w:spacing w:after="0" w:line="240" w:lineRule="auto"/>
              <w:ind w:firstLine="0"/>
              <w:jc w:val="center"/>
            </w:pPr>
            <w:r>
              <w:rPr>
                <w:b w:val="0"/>
                <w:i w:val="0"/>
                <w:sz w:val="20"/>
              </w:rPr>
              <w:t>25</w:t>
            </w:r>
          </w:p>
        </w:tc>
        <w:tc>
          <w:tcPr>
            <w:tcW w:type="dxa" w:w="1662"/>
          </w:tcPr>
          <w:p>
            <w:pPr>
              <w:spacing w:after="0" w:line="240" w:lineRule="auto"/>
              <w:ind w:firstLine="0"/>
              <w:jc w:val="center"/>
            </w:pPr>
            <w:r>
              <w:rPr>
                <w:b w:val="0"/>
                <w:i w:val="0"/>
                <w:sz w:val="20"/>
              </w:rPr>
              <w:t>28</w:t>
            </w:r>
          </w:p>
        </w:tc>
        <w:tc>
          <w:tcPr>
            <w:tcW w:type="dxa" w:w="1662"/>
          </w:tcPr>
          <w:p>
            <w:pPr>
              <w:spacing w:after="0" w:line="240" w:lineRule="auto"/>
              <w:ind w:firstLine="0"/>
              <w:jc w:val="center"/>
            </w:pPr>
            <w:r>
              <w:rPr>
                <w:b w:val="0"/>
                <w:i w:val="0"/>
                <w:sz w:val="20"/>
              </w:rPr>
              <w:t>32</w:t>
            </w:r>
          </w:p>
        </w:tc>
        <w:tc>
          <w:tcPr>
            <w:tcW w:type="dxa" w:w="1662"/>
          </w:tcPr>
          <w:p>
            <w:pPr>
              <w:spacing w:after="0" w:line="240" w:lineRule="auto"/>
              <w:ind w:firstLine="0"/>
              <w:jc w:val="center"/>
            </w:pPr>
            <w:r>
              <w:rPr>
                <w:b w:val="0"/>
                <w:i w:val="0"/>
                <w:sz w:val="20"/>
              </w:rPr>
              <w:t>38</w:t>
            </w:r>
          </w:p>
        </w:tc>
      </w:tr>
      <w:tr>
        <w:tc>
          <w:tcPr>
            <w:tcW w:type="dxa" w:w="1662"/>
          </w:tcPr>
          <w:p>
            <w:pPr>
              <w:spacing w:after="0" w:line="240" w:lineRule="auto"/>
              <w:ind w:firstLine="0"/>
              <w:jc w:val="left"/>
            </w:pPr>
            <w:r>
              <w:rPr>
                <w:b w:val="0"/>
                <w:i w:val="0"/>
                <w:sz w:val="20"/>
              </w:rPr>
              <w:t>Прочие</w:t>
            </w:r>
          </w:p>
        </w:tc>
        <w:tc>
          <w:tcPr>
            <w:tcW w:type="dxa" w:w="1662"/>
          </w:tcPr>
          <w:p>
            <w:pPr>
              <w:spacing w:after="0" w:line="240" w:lineRule="auto"/>
              <w:ind w:firstLine="0"/>
              <w:jc w:val="center"/>
            </w:pPr>
            <w:r>
              <w:rPr>
                <w:b w:val="0"/>
                <w:i w:val="0"/>
                <w:sz w:val="20"/>
              </w:rPr>
              <w:t>63</w:t>
            </w:r>
          </w:p>
        </w:tc>
        <w:tc>
          <w:tcPr>
            <w:tcW w:type="dxa" w:w="1662"/>
          </w:tcPr>
          <w:p>
            <w:pPr>
              <w:spacing w:after="0" w:line="240" w:lineRule="auto"/>
              <w:ind w:firstLine="0"/>
              <w:jc w:val="center"/>
            </w:pPr>
            <w:r>
              <w:rPr>
                <w:b w:val="0"/>
                <w:i w:val="0"/>
                <w:sz w:val="20"/>
              </w:rPr>
              <w:t>65</w:t>
            </w:r>
          </w:p>
        </w:tc>
        <w:tc>
          <w:tcPr>
            <w:tcW w:type="dxa" w:w="1662"/>
          </w:tcPr>
          <w:p>
            <w:pPr>
              <w:spacing w:after="0" w:line="240" w:lineRule="auto"/>
              <w:ind w:firstLine="0"/>
              <w:jc w:val="center"/>
            </w:pPr>
            <w:r>
              <w:rPr>
                <w:b w:val="0"/>
                <w:i w:val="0"/>
                <w:sz w:val="20"/>
              </w:rPr>
              <w:t>72</w:t>
            </w:r>
          </w:p>
        </w:tc>
        <w:tc>
          <w:tcPr>
            <w:tcW w:type="dxa" w:w="1662"/>
          </w:tcPr>
          <w:p>
            <w:pPr>
              <w:spacing w:after="0" w:line="240" w:lineRule="auto"/>
              <w:ind w:firstLine="0"/>
              <w:jc w:val="center"/>
            </w:pPr>
            <w:r>
              <w:rPr>
                <w:b w:val="0"/>
                <w:i w:val="0"/>
                <w:sz w:val="20"/>
              </w:rPr>
              <w:t>78</w:t>
            </w:r>
          </w:p>
        </w:tc>
        <w:tc>
          <w:tcPr>
            <w:tcW w:type="dxa" w:w="1662"/>
          </w:tcPr>
          <w:p>
            <w:pPr>
              <w:spacing w:after="0" w:line="240" w:lineRule="auto"/>
              <w:ind w:firstLine="0"/>
              <w:jc w:val="center"/>
            </w:pPr>
            <w:r>
              <w:rPr>
                <w:b w:val="0"/>
                <w:i w:val="0"/>
                <w:sz w:val="20"/>
              </w:rPr>
              <w:t>87</w:t>
            </w:r>
          </w:p>
        </w:tc>
      </w:tr>
      <w:tr>
        <w:tc>
          <w:tcPr>
            <w:tcW w:type="dxa" w:w="1662"/>
          </w:tcPr>
          <w:p>
            <w:pPr>
              <w:spacing w:after="0" w:line="240" w:lineRule="auto"/>
              <w:ind w:firstLine="0"/>
              <w:jc w:val="left"/>
            </w:pPr>
            <w:r>
              <w:rPr>
                <w:b/>
                <w:i w:val="0"/>
                <w:sz w:val="20"/>
              </w:rPr>
              <w:t>Всего</w:t>
            </w:r>
          </w:p>
        </w:tc>
        <w:tc>
          <w:tcPr>
            <w:tcW w:type="dxa" w:w="1662"/>
          </w:tcPr>
          <w:p>
            <w:pPr>
              <w:spacing w:after="0" w:line="240" w:lineRule="auto"/>
              <w:ind w:firstLine="0"/>
              <w:jc w:val="center"/>
            </w:pPr>
            <w:r>
              <w:rPr>
                <w:b/>
                <w:i w:val="0"/>
                <w:sz w:val="20"/>
              </w:rPr>
              <w:t>2 210</w:t>
            </w:r>
          </w:p>
        </w:tc>
        <w:tc>
          <w:tcPr>
            <w:tcW w:type="dxa" w:w="1662"/>
          </w:tcPr>
          <w:p>
            <w:pPr>
              <w:spacing w:after="0" w:line="240" w:lineRule="auto"/>
              <w:ind w:firstLine="0"/>
              <w:jc w:val="center"/>
            </w:pPr>
            <w:r>
              <w:rPr>
                <w:b/>
                <w:i w:val="0"/>
                <w:sz w:val="20"/>
              </w:rPr>
              <w:t>2 300</w:t>
            </w:r>
          </w:p>
        </w:tc>
        <w:tc>
          <w:tcPr>
            <w:tcW w:type="dxa" w:w="1662"/>
          </w:tcPr>
          <w:p>
            <w:pPr>
              <w:spacing w:after="0" w:line="240" w:lineRule="auto"/>
              <w:ind w:firstLine="0"/>
              <w:jc w:val="center"/>
            </w:pPr>
            <w:r>
              <w:rPr>
                <w:b/>
                <w:i w:val="0"/>
                <w:sz w:val="20"/>
              </w:rPr>
              <w:t>2 606</w:t>
            </w:r>
          </w:p>
        </w:tc>
        <w:tc>
          <w:tcPr>
            <w:tcW w:type="dxa" w:w="1662"/>
          </w:tcPr>
          <w:p>
            <w:pPr>
              <w:spacing w:after="0" w:line="240" w:lineRule="auto"/>
              <w:ind w:firstLine="0"/>
              <w:jc w:val="center"/>
            </w:pPr>
            <w:r>
              <w:rPr>
                <w:b/>
                <w:i w:val="0"/>
                <w:sz w:val="20"/>
              </w:rPr>
              <w:t>2 880</w:t>
            </w:r>
          </w:p>
        </w:tc>
        <w:tc>
          <w:tcPr>
            <w:tcW w:type="dxa" w:w="1662"/>
          </w:tcPr>
          <w:p>
            <w:pPr>
              <w:spacing w:after="0" w:line="240" w:lineRule="auto"/>
              <w:ind w:firstLine="0"/>
              <w:jc w:val="center"/>
            </w:pPr>
            <w:r>
              <w:rPr>
                <w:b/>
                <w:i w:val="0"/>
                <w:sz w:val="20"/>
              </w:rPr>
              <w:t>3 080</w:t>
            </w:r>
          </w:p>
        </w:tc>
      </w:tr>
    </w:tbl>
    <w:p>
      <w:pPr>
        <w:spacing w:after="180"/>
        <w:ind w:firstLine="0"/>
      </w:pPr>
      <w:r>
        <w:rPr>
          <w:i/>
          <w:sz w:val="20"/>
        </w:rPr>
        <w:t>Источник: расчёт аналитического центра</w:t>
      </w:r>
    </w:p>
    <w:p>
      <w:pPr>
        <w:keepNext/>
        <w:spacing w:before="160" w:after="60"/>
        <w:ind w:firstLine="0"/>
        <w:jc w:val="left"/>
      </w:pPr>
      <w:r>
        <w:rPr>
          <w:b/>
          <w:sz w:val="22"/>
        </w:rPr>
        <w:t>Рисунок 75. Структура потребления РЗМ в РФ по отраслям, 2020–2025 гг., т TREO</w:t>
      </w:r>
    </w:p>
    <w:p>
      <w:pPr>
        <w:ind w:firstLine="0"/>
        <w:jc w:val="center"/>
      </w:pPr>
      <w:r>
        <w:drawing>
          <wp:inline xmlns:a="http://schemas.openxmlformats.org/drawingml/2006/main" xmlns:pic="http://schemas.openxmlformats.org/drawingml/2006/picture">
            <wp:extent cx="5580000" cy="2709130"/>
            <wp:docPr id="75" name="Picture 75"/>
            <wp:cNvGraphicFramePr>
              <a:graphicFrameLocks noChangeAspect="1"/>
            </wp:cNvGraphicFramePr>
            <a:graphic>
              <a:graphicData uri="http://schemas.openxmlformats.org/drawingml/2006/picture">
                <pic:pic>
                  <pic:nvPicPr>
                    <pic:cNvPr id="0" name="fig75.png"/>
                    <pic:cNvPicPr/>
                  </pic:nvPicPr>
                  <pic:blipFill>
                    <a:blip r:embed="rId85"/>
                    <a:stretch>
                      <a:fillRect/>
                    </a:stretch>
                  </pic:blipFill>
                  <pic:spPr>
                    <a:xfrm>
                      <a:off x="0" y="0"/>
                      <a:ext cx="5580000" cy="2709130"/>
                    </a:xfrm>
                    <a:prstGeom prst="rect"/>
                  </pic:spPr>
                </pic:pic>
              </a:graphicData>
            </a:graphic>
          </wp:inline>
        </w:drawing>
      </w:r>
    </w:p>
    <w:p>
      <w:pPr>
        <w:spacing w:after="180"/>
        <w:ind w:firstLine="0"/>
      </w:pPr>
      <w:r>
        <w:rPr>
          <w:i/>
          <w:sz w:val="20"/>
        </w:rPr>
        <w:t>Источник: аналитический центр (табл. 99)</w:t>
      </w:r>
    </w:p>
    <w:p>
      <w:r>
        <w:rPr>
          <w:b w:val="0"/>
          <w:i w:val="0"/>
        </w:rPr>
        <w:t>Российская структура потребления существенно отличается от мировой. Доля магнитного сегмента составляет около 54% против мировых 43% в физическом выражении — однако это соотношение обманчиво: в абсолютном выражении российское потребление магнитных материалов составляет менее 0,8% мирового. Одновременно практически отсутствуют сегменты, значимые в мировом масштабе: производство полировальных материалов (потребность закрывается импортом готовых суспензий), производство катализаторов FCC (частично), производство люминофоров.</w:t>
      </w:r>
    </w:p>
    <w:p>
      <w:pPr>
        <w:pStyle w:val="Heading2"/>
      </w:pPr>
      <w:r>
        <w:rPr>
          <w:b w:val="0"/>
          <w:i w:val="0"/>
        </w:rPr>
        <w:t>14.3. Основные предприятия-потребители</w:t>
      </w:r>
    </w:p>
    <w:p>
      <w:pPr>
        <w:pStyle w:val="Heading3"/>
      </w:pPr>
      <w:r>
        <w:rPr>
          <w:b w:val="0"/>
          <w:i w:val="0"/>
        </w:rPr>
        <w:t>14.3.1. Электротехническая промышленность и приборостроение</w:t>
      </w:r>
    </w:p>
    <w:p>
      <w:r>
        <w:rPr>
          <w:b w:val="0"/>
          <w:i w:val="0"/>
        </w:rPr>
        <w:t>Крупнейший сегмент потребления, представленный преимущественно потребителями готовых магнитов и магнитных систем.</w:t>
      </w:r>
    </w:p>
    <w:p>
      <w:r>
        <w:rPr>
          <w:b/>
          <w:i w:val="0"/>
        </w:rPr>
        <w:t>Предприятия оборонно-промышленного комплекса.</w:t>
      </w:r>
      <w:r>
        <w:rPr>
          <w:b w:val="0"/>
          <w:i w:val="0"/>
        </w:rPr>
        <w:t xml:space="preserve"> Основные потребители высокотемпературных магнитов для систем наведения, приводов, гироскопических приборов, электрических машин специального назначения. Номенклатура включает как NdFeB классов SH/UH/EH, так и самарий-кобальтовые магниты, предпочтительные при рабочих температурах свыше 250 °C и в условиях радиационного воздействия. Именно этот сегмент наиболее чувствителен к ограничениям поставок.</w:t>
      </w:r>
    </w:p>
    <w:p>
      <w:r>
        <w:rPr>
          <w:b/>
          <w:i w:val="0"/>
        </w:rPr>
        <w:t>Производители электродвигателей.</w:t>
      </w:r>
      <w:r>
        <w:rPr>
          <w:b w:val="0"/>
          <w:i w:val="0"/>
        </w:rPr>
        <w:t xml:space="preserve"> АО «Электропривод», предприятия холдинга «Русэлпром», АО «Сафоновский электромашиностроительный завод», ООО «Элсиб» и другие. Переход на энергоэффективные двигатели с постоянными магнитами сдерживается доступностью и стоимостью магнитных материалов.</w:t>
      </w:r>
    </w:p>
    <w:p>
      <w:r>
        <w:rPr>
          <w:b/>
          <w:i w:val="0"/>
        </w:rPr>
        <w:t>Производители бытовой техники.</w:t>
      </w:r>
      <w:r>
        <w:rPr>
          <w:b w:val="0"/>
          <w:i w:val="0"/>
        </w:rPr>
        <w:t xml:space="preserve"> Локализованные производства (компрессоры, приводы стиральных машин) используют импортные комплектующие с редкоземельными магнитами.</w:t>
      </w:r>
    </w:p>
    <w:p>
      <w:r>
        <w:rPr>
          <w:b/>
          <w:i w:val="0"/>
        </w:rPr>
        <w:t>Приборостроение и медицинская техника.</w:t>
      </w:r>
      <w:r>
        <w:rPr>
          <w:b w:val="0"/>
          <w:i w:val="0"/>
        </w:rPr>
        <w:t xml:space="preserve"> Магнитно-резонансные томографы, датчики, измерительная техника.</w:t>
      </w:r>
    </w:p>
    <w:p>
      <w:r>
        <w:rPr>
          <w:b/>
          <w:i w:val="0"/>
        </w:rPr>
        <w:t>Автомобильная промышленность.</w:t>
      </w:r>
      <w:r>
        <w:rPr>
          <w:b w:val="0"/>
          <w:i w:val="0"/>
        </w:rPr>
        <w:t xml:space="preserve"> Спрос на тяговые электродвигатели формируется программами развития электротранспорта; текущие объёмы невелики.</w:t>
      </w:r>
    </w:p>
    <w:p>
      <w:pPr>
        <w:pStyle w:val="Heading3"/>
      </w:pPr>
      <w:r>
        <w:rPr>
          <w:b w:val="0"/>
          <w:i w:val="0"/>
        </w:rPr>
        <w:t>14.3.2. Стекольная и оптическая промышленность</w:t>
      </w:r>
    </w:p>
    <w:p>
      <w:r>
        <w:rPr>
          <w:b/>
          <w:i w:val="0"/>
        </w:rPr>
        <w:t>АО «Лыткаринский завод оптического стекла» (ЛЗОС)</w:t>
      </w:r>
      <w:r>
        <w:rPr>
          <w:b w:val="0"/>
          <w:i w:val="0"/>
        </w:rPr>
        <w:t>, Московская область — крупнейший российский производитель оптического стекла и оптических деталей, входит в холдинг «Швабе» (ГК «Ростех»). Потребляет оксиды лантана (компонент высокопреломляющих стёкол), церия (обесцвечивание, полировка), неодима и эрбия (окрашивание, специальные стёкла).</w:t>
      </w:r>
    </w:p>
    <w:p>
      <w:r>
        <w:rPr>
          <w:b/>
          <w:i w:val="0"/>
        </w:rPr>
        <w:t>АО «Научно-исследовательский и технологический институт оптического материаловедения» ВНЦ «ГОИ им. С. И. Вавилова»</w:t>
      </w:r>
      <w:r>
        <w:rPr>
          <w:b w:val="0"/>
          <w:i w:val="0"/>
        </w:rPr>
        <w:t>, Санкт-Петербург — оптические и лазерные материалы.</w:t>
      </w:r>
    </w:p>
    <w:p>
      <w:r>
        <w:rPr>
          <w:b/>
          <w:i w:val="0"/>
        </w:rPr>
        <w:t>ОАО «Изумруд», АО «Уралоптик», предприятия холдинга «Швабе»</w:t>
      </w:r>
      <w:r>
        <w:rPr>
          <w:b w:val="0"/>
          <w:i w:val="0"/>
        </w:rPr>
        <w:t xml:space="preserve"> — производство оптических элементов.</w:t>
      </w:r>
    </w:p>
    <w:p>
      <w:r>
        <w:rPr>
          <w:b/>
          <w:i w:val="0"/>
        </w:rPr>
        <w:t>Производители листового и технического стекла</w:t>
      </w:r>
      <w:r>
        <w:rPr>
          <w:b w:val="0"/>
          <w:i w:val="0"/>
        </w:rPr>
        <w:t xml:space="preserve"> — потребители оксида церия для обесцвечивания и защиты от УФ-излучения.</w:t>
      </w:r>
    </w:p>
    <w:p>
      <w:pPr>
        <w:keepNext/>
        <w:spacing w:before="160" w:after="60"/>
        <w:ind w:firstLine="0"/>
        <w:jc w:val="left"/>
      </w:pPr>
      <w:r>
        <w:rPr>
          <w:b/>
          <w:sz w:val="22"/>
        </w:rPr>
        <w:t>Таблица 100. Основные предприятия-потребители редкоземельной продукции в оптической и стекольной промышленности РФ</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Предприятие</w:t>
            </w:r>
          </w:p>
        </w:tc>
        <w:tc>
          <w:tcPr>
            <w:tcW w:type="dxa" w:w="2493"/>
            <w:shd w:val="clear" w:fill="DCE6F1"/>
          </w:tcPr>
          <w:p>
            <w:pPr>
              <w:spacing w:after="0" w:line="240" w:lineRule="auto"/>
              <w:ind w:firstLine="0"/>
              <w:jc w:val="center"/>
            </w:pPr>
            <w:r>
              <w:rPr>
                <w:b/>
                <w:i w:val="0"/>
                <w:sz w:val="20"/>
              </w:rPr>
              <w:t>Регион</w:t>
            </w:r>
          </w:p>
        </w:tc>
        <w:tc>
          <w:tcPr>
            <w:tcW w:type="dxa" w:w="2493"/>
            <w:shd w:val="clear" w:fill="DCE6F1"/>
          </w:tcPr>
          <w:p>
            <w:pPr>
              <w:spacing w:after="0" w:line="240" w:lineRule="auto"/>
              <w:ind w:firstLine="0"/>
              <w:jc w:val="center"/>
            </w:pPr>
            <w:r>
              <w:rPr>
                <w:b/>
                <w:i w:val="0"/>
                <w:sz w:val="20"/>
              </w:rPr>
              <w:t>Потребление, т TREO/год</w:t>
            </w:r>
          </w:p>
        </w:tc>
        <w:tc>
          <w:tcPr>
            <w:tcW w:type="dxa" w:w="2493"/>
            <w:shd w:val="clear" w:fill="DCE6F1"/>
          </w:tcPr>
          <w:p>
            <w:pPr>
              <w:spacing w:after="0" w:line="240" w:lineRule="auto"/>
              <w:ind w:firstLine="0"/>
              <w:jc w:val="center"/>
            </w:pPr>
            <w:r>
              <w:rPr>
                <w:b/>
                <w:i w:val="0"/>
                <w:sz w:val="20"/>
              </w:rPr>
              <w:t>Основная номенклатура</w:t>
            </w:r>
          </w:p>
        </w:tc>
      </w:tr>
      <w:tr>
        <w:tc>
          <w:tcPr>
            <w:tcW w:type="dxa" w:w="2493"/>
          </w:tcPr>
          <w:p>
            <w:pPr>
              <w:spacing w:after="0" w:line="240" w:lineRule="auto"/>
              <w:ind w:firstLine="0"/>
              <w:jc w:val="left"/>
            </w:pPr>
            <w:r>
              <w:rPr>
                <w:b w:val="0"/>
                <w:i w:val="0"/>
                <w:sz w:val="20"/>
              </w:rPr>
              <w:t>АО «ЛЗОС»</w:t>
            </w:r>
          </w:p>
        </w:tc>
        <w:tc>
          <w:tcPr>
            <w:tcW w:type="dxa" w:w="2493"/>
          </w:tcPr>
          <w:p>
            <w:pPr>
              <w:spacing w:after="0" w:line="240" w:lineRule="auto"/>
              <w:ind w:firstLine="0"/>
              <w:jc w:val="center"/>
            </w:pPr>
            <w:r>
              <w:rPr>
                <w:b w:val="0"/>
                <w:i w:val="0"/>
                <w:sz w:val="20"/>
              </w:rPr>
              <w:t>Московская обл.</w:t>
            </w:r>
          </w:p>
        </w:tc>
        <w:tc>
          <w:tcPr>
            <w:tcW w:type="dxa" w:w="2493"/>
          </w:tcPr>
          <w:p>
            <w:pPr>
              <w:spacing w:after="0" w:line="240" w:lineRule="auto"/>
              <w:ind w:firstLine="0"/>
              <w:jc w:val="center"/>
            </w:pPr>
            <w:r>
              <w:rPr>
                <w:b w:val="0"/>
                <w:i w:val="0"/>
                <w:sz w:val="20"/>
              </w:rPr>
              <w:t>95–120</w:t>
            </w:r>
          </w:p>
        </w:tc>
        <w:tc>
          <w:tcPr>
            <w:tcW w:type="dxa" w:w="2493"/>
          </w:tcPr>
          <w:p>
            <w:pPr>
              <w:spacing w:after="0" w:line="240" w:lineRule="auto"/>
              <w:ind w:firstLine="0"/>
              <w:jc w:val="center"/>
            </w:pPr>
            <w:r>
              <w:rPr>
                <w:b w:val="0"/>
                <w:i w:val="0"/>
                <w:sz w:val="20"/>
              </w:rPr>
              <w:t>La₂O₃, CeO₂, Nd₂O₃</w:t>
            </w:r>
          </w:p>
        </w:tc>
      </w:tr>
      <w:tr>
        <w:tc>
          <w:tcPr>
            <w:tcW w:type="dxa" w:w="2493"/>
          </w:tcPr>
          <w:p>
            <w:pPr>
              <w:spacing w:after="0" w:line="240" w:lineRule="auto"/>
              <w:ind w:firstLine="0"/>
              <w:jc w:val="left"/>
            </w:pPr>
            <w:r>
              <w:rPr>
                <w:b w:val="0"/>
                <w:i w:val="0"/>
                <w:sz w:val="20"/>
              </w:rPr>
              <w:t>Предприятия холдинга «Швабе»</w:t>
            </w:r>
          </w:p>
        </w:tc>
        <w:tc>
          <w:tcPr>
            <w:tcW w:type="dxa" w:w="2493"/>
          </w:tcPr>
          <w:p>
            <w:pPr>
              <w:spacing w:after="0" w:line="240" w:lineRule="auto"/>
              <w:ind w:firstLine="0"/>
              <w:jc w:val="center"/>
            </w:pPr>
            <w:r>
              <w:rPr>
                <w:b w:val="0"/>
                <w:i w:val="0"/>
                <w:sz w:val="20"/>
              </w:rPr>
              <w:t>различные</w:t>
            </w:r>
          </w:p>
        </w:tc>
        <w:tc>
          <w:tcPr>
            <w:tcW w:type="dxa" w:w="2493"/>
          </w:tcPr>
          <w:p>
            <w:pPr>
              <w:spacing w:after="0" w:line="240" w:lineRule="auto"/>
              <w:ind w:firstLine="0"/>
              <w:jc w:val="center"/>
            </w:pPr>
            <w:r>
              <w:rPr>
                <w:b w:val="0"/>
                <w:i w:val="0"/>
                <w:sz w:val="20"/>
              </w:rPr>
              <w:t>60–80</w:t>
            </w:r>
          </w:p>
        </w:tc>
        <w:tc>
          <w:tcPr>
            <w:tcW w:type="dxa" w:w="2493"/>
          </w:tcPr>
          <w:p>
            <w:pPr>
              <w:spacing w:after="0" w:line="240" w:lineRule="auto"/>
              <w:ind w:firstLine="0"/>
              <w:jc w:val="center"/>
            </w:pPr>
            <w:r>
              <w:rPr>
                <w:b w:val="0"/>
                <w:i w:val="0"/>
                <w:sz w:val="20"/>
              </w:rPr>
              <w:t>La₂O₃, CeO₂</w:t>
            </w:r>
          </w:p>
        </w:tc>
      </w:tr>
      <w:tr>
        <w:tc>
          <w:tcPr>
            <w:tcW w:type="dxa" w:w="2493"/>
          </w:tcPr>
          <w:p>
            <w:pPr>
              <w:spacing w:after="0" w:line="240" w:lineRule="auto"/>
              <w:ind w:firstLine="0"/>
              <w:jc w:val="left"/>
            </w:pPr>
            <w:r>
              <w:rPr>
                <w:b w:val="0"/>
                <w:i w:val="0"/>
                <w:sz w:val="20"/>
              </w:rPr>
              <w:t>ВНЦ «ГОИ им. С. И. Вавилова»</w:t>
            </w:r>
          </w:p>
        </w:tc>
        <w:tc>
          <w:tcPr>
            <w:tcW w:type="dxa" w:w="2493"/>
          </w:tcPr>
          <w:p>
            <w:pPr>
              <w:spacing w:after="0" w:line="240" w:lineRule="auto"/>
              <w:ind w:firstLine="0"/>
              <w:jc w:val="center"/>
            </w:pPr>
            <w:r>
              <w:rPr>
                <w:b w:val="0"/>
                <w:i w:val="0"/>
                <w:sz w:val="20"/>
              </w:rPr>
              <w:t>Санкт-Петербург</w:t>
            </w:r>
          </w:p>
        </w:tc>
        <w:tc>
          <w:tcPr>
            <w:tcW w:type="dxa" w:w="2493"/>
          </w:tcPr>
          <w:p>
            <w:pPr>
              <w:spacing w:after="0" w:line="240" w:lineRule="auto"/>
              <w:ind w:firstLine="0"/>
              <w:jc w:val="center"/>
            </w:pPr>
            <w:r>
              <w:rPr>
                <w:b w:val="0"/>
                <w:i w:val="0"/>
                <w:sz w:val="20"/>
              </w:rPr>
              <w:t>15–25</w:t>
            </w:r>
          </w:p>
        </w:tc>
        <w:tc>
          <w:tcPr>
            <w:tcW w:type="dxa" w:w="2493"/>
          </w:tcPr>
          <w:p>
            <w:pPr>
              <w:spacing w:after="0" w:line="240" w:lineRule="auto"/>
              <w:ind w:firstLine="0"/>
              <w:jc w:val="center"/>
            </w:pPr>
            <w:r>
              <w:rPr>
                <w:b w:val="0"/>
                <w:i w:val="0"/>
                <w:sz w:val="20"/>
              </w:rPr>
              <w:t>Nd₂O₃, Er₂O₃, Yb₂O₃</w:t>
            </w:r>
          </w:p>
        </w:tc>
      </w:tr>
      <w:tr>
        <w:tc>
          <w:tcPr>
            <w:tcW w:type="dxa" w:w="2493"/>
          </w:tcPr>
          <w:p>
            <w:pPr>
              <w:spacing w:after="0" w:line="240" w:lineRule="auto"/>
              <w:ind w:firstLine="0"/>
              <w:jc w:val="left"/>
            </w:pPr>
            <w:r>
              <w:rPr>
                <w:b w:val="0"/>
                <w:i w:val="0"/>
                <w:sz w:val="20"/>
              </w:rPr>
              <w:t>Производители листового стекла</w:t>
            </w:r>
          </w:p>
        </w:tc>
        <w:tc>
          <w:tcPr>
            <w:tcW w:type="dxa" w:w="2493"/>
          </w:tcPr>
          <w:p>
            <w:pPr>
              <w:spacing w:after="0" w:line="240" w:lineRule="auto"/>
              <w:ind w:firstLine="0"/>
              <w:jc w:val="center"/>
            </w:pPr>
            <w:r>
              <w:rPr>
                <w:b w:val="0"/>
                <w:i w:val="0"/>
                <w:sz w:val="20"/>
              </w:rPr>
              <w:t>различные</w:t>
            </w:r>
          </w:p>
        </w:tc>
        <w:tc>
          <w:tcPr>
            <w:tcW w:type="dxa" w:w="2493"/>
          </w:tcPr>
          <w:p>
            <w:pPr>
              <w:spacing w:after="0" w:line="240" w:lineRule="auto"/>
              <w:ind w:firstLine="0"/>
              <w:jc w:val="center"/>
            </w:pPr>
            <w:r>
              <w:rPr>
                <w:b w:val="0"/>
                <w:i w:val="0"/>
                <w:sz w:val="20"/>
              </w:rPr>
              <w:t>90–130</w:t>
            </w:r>
          </w:p>
        </w:tc>
        <w:tc>
          <w:tcPr>
            <w:tcW w:type="dxa" w:w="2493"/>
          </w:tcPr>
          <w:p>
            <w:pPr>
              <w:spacing w:after="0" w:line="240" w:lineRule="auto"/>
              <w:ind w:firstLine="0"/>
              <w:jc w:val="center"/>
            </w:pPr>
            <w:r>
              <w:rPr>
                <w:b w:val="0"/>
                <w:i w:val="0"/>
                <w:sz w:val="20"/>
              </w:rPr>
              <w:t>CeO₂</w:t>
            </w:r>
          </w:p>
        </w:tc>
      </w:tr>
      <w:tr>
        <w:tc>
          <w:tcPr>
            <w:tcW w:type="dxa" w:w="2493"/>
          </w:tcPr>
          <w:p>
            <w:pPr>
              <w:spacing w:after="0" w:line="240" w:lineRule="auto"/>
              <w:ind w:firstLine="0"/>
              <w:jc w:val="left"/>
            </w:pPr>
            <w:r>
              <w:rPr>
                <w:b w:val="0"/>
                <w:i w:val="0"/>
                <w:sz w:val="20"/>
              </w:rPr>
              <w:t>Производители тарного стекла</w:t>
            </w:r>
          </w:p>
        </w:tc>
        <w:tc>
          <w:tcPr>
            <w:tcW w:type="dxa" w:w="2493"/>
          </w:tcPr>
          <w:p>
            <w:pPr>
              <w:spacing w:after="0" w:line="240" w:lineRule="auto"/>
              <w:ind w:firstLine="0"/>
              <w:jc w:val="center"/>
            </w:pPr>
            <w:r>
              <w:rPr>
                <w:b w:val="0"/>
                <w:i w:val="0"/>
                <w:sz w:val="20"/>
              </w:rPr>
              <w:t>различные</w:t>
            </w:r>
          </w:p>
        </w:tc>
        <w:tc>
          <w:tcPr>
            <w:tcW w:type="dxa" w:w="2493"/>
          </w:tcPr>
          <w:p>
            <w:pPr>
              <w:spacing w:after="0" w:line="240" w:lineRule="auto"/>
              <w:ind w:firstLine="0"/>
              <w:jc w:val="center"/>
            </w:pPr>
            <w:r>
              <w:rPr>
                <w:b w:val="0"/>
                <w:i w:val="0"/>
                <w:sz w:val="20"/>
              </w:rPr>
              <w:t>40–60</w:t>
            </w:r>
          </w:p>
        </w:tc>
        <w:tc>
          <w:tcPr>
            <w:tcW w:type="dxa" w:w="2493"/>
          </w:tcPr>
          <w:p>
            <w:pPr>
              <w:spacing w:after="0" w:line="240" w:lineRule="auto"/>
              <w:ind w:firstLine="0"/>
              <w:jc w:val="center"/>
            </w:pPr>
            <w:r>
              <w:rPr>
                <w:b w:val="0"/>
                <w:i w:val="0"/>
                <w:sz w:val="20"/>
              </w:rPr>
              <w:t>CeO₂</w:t>
            </w:r>
          </w:p>
        </w:tc>
      </w:tr>
      <w:tr>
        <w:tc>
          <w:tcPr>
            <w:tcW w:type="dxa" w:w="2493"/>
          </w:tcPr>
          <w:p>
            <w:pPr>
              <w:spacing w:after="0" w:line="240" w:lineRule="auto"/>
              <w:ind w:firstLine="0"/>
              <w:jc w:val="left"/>
            </w:pPr>
            <w:r>
              <w:rPr>
                <w:b w:val="0"/>
                <w:i w:val="0"/>
                <w:sz w:val="20"/>
              </w:rPr>
              <w:t>Прочие</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70–90</w:t>
            </w:r>
          </w:p>
        </w:tc>
        <w:tc>
          <w:tcPr>
            <w:tcW w:type="dxa" w:w="2493"/>
          </w:tcPr>
          <w:p>
            <w:pPr>
              <w:spacing w:after="0" w:line="240" w:lineRule="auto"/>
              <w:ind w:firstLine="0"/>
              <w:jc w:val="center"/>
            </w:pPr>
            <w:r>
              <w:rPr>
                <w:b w:val="0"/>
                <w:i w:val="0"/>
                <w:sz w:val="20"/>
              </w:rPr>
              <w:t>различная</w:t>
            </w:r>
          </w:p>
        </w:tc>
      </w:tr>
    </w:tbl>
    <w:p>
      <w:pPr>
        <w:spacing w:after="180"/>
        <w:ind w:firstLine="0"/>
      </w:pPr>
      <w:r>
        <w:rPr>
          <w:i/>
          <w:sz w:val="20"/>
        </w:rPr>
        <w:t>Источник: аналитический центр по данным корпоративных раскрытий, Единой информационной системы в сфере закупок</w:t>
      </w:r>
    </w:p>
    <w:p>
      <w:pPr>
        <w:pStyle w:val="Heading3"/>
      </w:pPr>
      <w:r>
        <w:rPr>
          <w:b w:val="0"/>
          <w:i w:val="0"/>
        </w:rPr>
        <w:t>14.3.3. Металлургия</w:t>
      </w:r>
    </w:p>
    <w:p>
      <w:r>
        <w:rPr>
          <w:b w:val="0"/>
          <w:i w:val="0"/>
        </w:rPr>
        <w:t>Потребление редкоземельных материалов в российской металлургии носит ограниченный характер и сосредоточено на нескольких направлениях:</w:t>
      </w:r>
    </w:p>
    <w:p>
      <w:pPr>
        <w:pStyle w:val="ListBullet"/>
        <w:spacing w:after="20"/>
        <w:ind w:firstLine="0"/>
      </w:pPr>
      <w:r>
        <w:rPr>
          <w:b/>
          <w:i w:val="0"/>
        </w:rPr>
        <w:t>модифицирование трубных сталей</w:t>
      </w:r>
      <w:r>
        <w:rPr>
          <w:b w:val="0"/>
          <w:i w:val="0"/>
        </w:rPr>
        <w:t xml:space="preserve"> — ферроцерий и мишметалл применяются на предприятиях трубной подотрасли для повышения хладостойкости и коррозионной стойкости (ПАО «ТМК», ПАО «Челябинский трубопрокатный завод» и др.);</w:t>
      </w:r>
    </w:p>
    <w:p>
      <w:pPr>
        <w:pStyle w:val="ListBullet"/>
        <w:spacing w:after="20"/>
        <w:ind w:firstLine="0"/>
      </w:pPr>
      <w:r>
        <w:rPr>
          <w:b/>
          <w:i w:val="0"/>
        </w:rPr>
        <w:t>производство специальных сталей и сплавов</w:t>
      </w:r>
      <w:r>
        <w:rPr>
          <w:b w:val="0"/>
          <w:i w:val="0"/>
        </w:rPr>
        <w:t xml:space="preserve"> — предприятия ОПК и специальной металлургии;</w:t>
      </w:r>
    </w:p>
    <w:p>
      <w:pPr>
        <w:pStyle w:val="ListBullet"/>
        <w:spacing w:after="20"/>
        <w:ind w:firstLine="0"/>
      </w:pPr>
      <w:r>
        <w:rPr>
          <w:b/>
          <w:i w:val="0"/>
        </w:rPr>
        <w:t>литейное производство</w:t>
      </w:r>
      <w:r>
        <w:rPr>
          <w:b w:val="0"/>
          <w:i w:val="0"/>
        </w:rPr>
        <w:t xml:space="preserve"> — модификаторы чугуна;</w:t>
      </w:r>
    </w:p>
    <w:p>
      <w:pPr>
        <w:pStyle w:val="ListBullet"/>
        <w:spacing w:after="20"/>
        <w:ind w:firstLine="0"/>
      </w:pPr>
      <w:r>
        <w:rPr>
          <w:b/>
          <w:i w:val="0"/>
        </w:rPr>
        <w:t>алюминиевая промышленность</w:t>
      </w:r>
      <w:r>
        <w:rPr>
          <w:b w:val="0"/>
          <w:i w:val="0"/>
        </w:rPr>
        <w:t xml:space="preserve"> — легирующие добавки, в перспективе — алюминиево-скандиевые и алюминиево-цериевые сплавы (ОК «РУСАЛ»);</w:t>
      </w:r>
    </w:p>
    <w:p>
      <w:pPr>
        <w:pStyle w:val="ListBullet"/>
        <w:spacing w:after="20"/>
        <w:ind w:firstLine="0"/>
      </w:pPr>
      <w:r>
        <w:rPr>
          <w:b/>
          <w:i w:val="0"/>
        </w:rPr>
        <w:t>магниевые сплавы</w:t>
      </w:r>
      <w:r>
        <w:rPr>
          <w:b w:val="0"/>
          <w:i w:val="0"/>
        </w:rPr>
        <w:t xml:space="preserve"> — легирование редкими землями для повышения жаропрочности.</w:t>
      </w:r>
    </w:p>
    <w:p>
      <w:pPr>
        <w:pStyle w:val="Heading3"/>
      </w:pPr>
      <w:r>
        <w:rPr>
          <w:b w:val="0"/>
          <w:i w:val="0"/>
        </w:rPr>
        <w:t>14.3.4. Нефтепереработка и нефтехимия</w:t>
      </w:r>
    </w:p>
    <w:p>
      <w:r>
        <w:rPr>
          <w:b w:val="0"/>
          <w:i w:val="0"/>
        </w:rPr>
        <w:t>Катализаторы каталитического крекинга, содержащие лантан и церий, применяются на всех российских НПЗ, располагающих установками FCC. Производство катализаторов локализовано: АО «Газпромнефть — Катализаторы» (Омск), АО «Ангарский завод катализаторов и органического синтеза», ПАО «Ишимбайский специализированный химический завод катализаторов». Совокупная потребность в редкоземельных компонентах оценивается в 200–250 т TREO в год.</w:t>
      </w:r>
    </w:p>
    <w:p>
      <w:pPr>
        <w:pStyle w:val="Heading3"/>
      </w:pPr>
      <w:r>
        <w:rPr>
          <w:b w:val="0"/>
          <w:i w:val="0"/>
        </w:rPr>
        <w:t>14.3.5. Атомная промышленность</w:t>
      </w:r>
    </w:p>
    <w:p>
      <w:r>
        <w:rPr>
          <w:b w:val="0"/>
          <w:i w:val="0"/>
        </w:rPr>
        <w:t>Специфический, но стратегически значимый сегмент:</w:t>
      </w:r>
    </w:p>
    <w:p>
      <w:pPr>
        <w:pStyle w:val="ListBullet"/>
        <w:spacing w:after="20"/>
        <w:ind w:firstLine="0"/>
      </w:pPr>
      <w:r>
        <w:rPr>
          <w:b/>
          <w:i w:val="0"/>
        </w:rPr>
        <w:t>гадолиний</w:t>
      </w:r>
      <w:r>
        <w:rPr>
          <w:b w:val="0"/>
          <w:i w:val="0"/>
        </w:rPr>
        <w:t xml:space="preserve"> — выгорающий поглотитель в составе ядерного топлива (Gd₂O₃ в таблетках диоксида урана). Потребители — предприятия Топливной компании «ТВЭЛ» (АО «МСЗ», ПАО «НЗХК», АО «ЧМЗ»);</w:t>
      </w:r>
    </w:p>
    <w:p>
      <w:pPr>
        <w:pStyle w:val="ListBullet"/>
        <w:spacing w:after="20"/>
        <w:ind w:firstLine="0"/>
      </w:pPr>
      <w:r>
        <w:rPr>
          <w:b/>
          <w:i w:val="0"/>
        </w:rPr>
        <w:t>самарий, европий, диспрозий</w:t>
      </w:r>
      <w:r>
        <w:rPr>
          <w:b w:val="0"/>
          <w:i w:val="0"/>
        </w:rPr>
        <w:t xml:space="preserve"> — материалы органов регулирования систем управления и защиты реакторов;</w:t>
      </w:r>
    </w:p>
    <w:p>
      <w:pPr>
        <w:pStyle w:val="ListBullet"/>
        <w:spacing w:after="20"/>
        <w:ind w:firstLine="0"/>
      </w:pPr>
      <w:r>
        <w:rPr>
          <w:b/>
          <w:i w:val="0"/>
        </w:rPr>
        <w:t>иттрий</w:t>
      </w:r>
      <w:r>
        <w:rPr>
          <w:b w:val="0"/>
          <w:i w:val="0"/>
        </w:rPr>
        <w:t xml:space="preserve"> — конструкционная керамика, покрытия;</w:t>
      </w:r>
    </w:p>
    <w:p>
      <w:pPr>
        <w:pStyle w:val="ListBullet"/>
        <w:spacing w:after="20"/>
        <w:ind w:firstLine="0"/>
      </w:pPr>
      <w:r>
        <w:rPr>
          <w:b/>
          <w:i w:val="0"/>
        </w:rPr>
        <w:t>лютеций, гольмий</w:t>
      </w:r>
      <w:r>
        <w:rPr>
          <w:b w:val="0"/>
          <w:i w:val="0"/>
        </w:rPr>
        <w:t xml:space="preserve"> — радиофармацевтика (АО «Радиевый институт им. В. Г. Хлопина», НИФХИ им. Л. Я. Карпова).</w:t>
      </w:r>
    </w:p>
    <w:p>
      <w:pPr>
        <w:keepNext/>
        <w:spacing w:before="160" w:after="60"/>
        <w:ind w:firstLine="0"/>
        <w:jc w:val="left"/>
      </w:pPr>
      <w:r>
        <w:rPr>
          <w:b/>
          <w:sz w:val="22"/>
        </w:rPr>
        <w:t>Таблица 101. Потребление редкоземельных материалов в атомной отрасли РФ</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Элемент</w:t>
            </w:r>
          </w:p>
        </w:tc>
        <w:tc>
          <w:tcPr>
            <w:tcW w:type="dxa" w:w="2493"/>
            <w:shd w:val="clear" w:fill="DCE6F1"/>
          </w:tcPr>
          <w:p>
            <w:pPr>
              <w:spacing w:after="0" w:line="240" w:lineRule="auto"/>
              <w:ind w:firstLine="0"/>
              <w:jc w:val="center"/>
            </w:pPr>
            <w:r>
              <w:rPr>
                <w:b/>
                <w:i w:val="0"/>
                <w:sz w:val="20"/>
              </w:rPr>
              <w:t>Объём, т/год</w:t>
            </w:r>
          </w:p>
        </w:tc>
        <w:tc>
          <w:tcPr>
            <w:tcW w:type="dxa" w:w="2493"/>
            <w:shd w:val="clear" w:fill="DCE6F1"/>
          </w:tcPr>
          <w:p>
            <w:pPr>
              <w:spacing w:after="0" w:line="240" w:lineRule="auto"/>
              <w:ind w:firstLine="0"/>
              <w:jc w:val="center"/>
            </w:pPr>
            <w:r>
              <w:rPr>
                <w:b/>
                <w:i w:val="0"/>
                <w:sz w:val="20"/>
              </w:rPr>
              <w:t>Назначение</w:t>
            </w:r>
          </w:p>
        </w:tc>
        <w:tc>
          <w:tcPr>
            <w:tcW w:type="dxa" w:w="2493"/>
            <w:shd w:val="clear" w:fill="DCE6F1"/>
          </w:tcPr>
          <w:p>
            <w:pPr>
              <w:spacing w:after="0" w:line="240" w:lineRule="auto"/>
              <w:ind w:firstLine="0"/>
              <w:jc w:val="center"/>
            </w:pPr>
            <w:r>
              <w:rPr>
                <w:b/>
                <w:i w:val="0"/>
                <w:sz w:val="20"/>
              </w:rPr>
              <w:t>Обеспеченность</w:t>
            </w:r>
          </w:p>
        </w:tc>
      </w:tr>
      <w:tr>
        <w:tc>
          <w:tcPr>
            <w:tcW w:type="dxa" w:w="2493"/>
          </w:tcPr>
          <w:p>
            <w:pPr>
              <w:spacing w:after="0" w:line="240" w:lineRule="auto"/>
              <w:ind w:firstLine="0"/>
              <w:jc w:val="left"/>
            </w:pPr>
            <w:r>
              <w:rPr>
                <w:b w:val="0"/>
                <w:i w:val="0"/>
                <w:sz w:val="20"/>
              </w:rPr>
              <w:t>Gd₂O₃</w:t>
            </w:r>
          </w:p>
        </w:tc>
        <w:tc>
          <w:tcPr>
            <w:tcW w:type="dxa" w:w="2493"/>
          </w:tcPr>
          <w:p>
            <w:pPr>
              <w:spacing w:after="0" w:line="240" w:lineRule="auto"/>
              <w:ind w:firstLine="0"/>
              <w:jc w:val="center"/>
            </w:pPr>
            <w:r>
              <w:rPr>
                <w:b w:val="0"/>
                <w:i w:val="0"/>
                <w:sz w:val="20"/>
              </w:rPr>
              <w:t>28–35</w:t>
            </w:r>
          </w:p>
        </w:tc>
        <w:tc>
          <w:tcPr>
            <w:tcW w:type="dxa" w:w="2493"/>
          </w:tcPr>
          <w:p>
            <w:pPr>
              <w:spacing w:after="0" w:line="240" w:lineRule="auto"/>
              <w:ind w:firstLine="0"/>
              <w:jc w:val="center"/>
            </w:pPr>
            <w:r>
              <w:rPr>
                <w:b w:val="0"/>
                <w:i w:val="0"/>
                <w:sz w:val="20"/>
              </w:rPr>
              <w:t>выгорающий поглотитель</w:t>
            </w:r>
          </w:p>
        </w:tc>
        <w:tc>
          <w:tcPr>
            <w:tcW w:type="dxa" w:w="2493"/>
          </w:tcPr>
          <w:p>
            <w:pPr>
              <w:spacing w:after="0" w:line="240" w:lineRule="auto"/>
              <w:ind w:firstLine="0"/>
              <w:jc w:val="center"/>
            </w:pPr>
            <w:r>
              <w:rPr>
                <w:b w:val="0"/>
                <w:i w:val="0"/>
                <w:sz w:val="20"/>
              </w:rPr>
              <w:t>импорт (КНР)</w:t>
            </w:r>
          </w:p>
        </w:tc>
      </w:tr>
      <w:tr>
        <w:tc>
          <w:tcPr>
            <w:tcW w:type="dxa" w:w="2493"/>
          </w:tcPr>
          <w:p>
            <w:pPr>
              <w:spacing w:after="0" w:line="240" w:lineRule="auto"/>
              <w:ind w:firstLine="0"/>
              <w:jc w:val="left"/>
            </w:pPr>
            <w:r>
              <w:rPr>
                <w:b w:val="0"/>
                <w:i w:val="0"/>
                <w:sz w:val="20"/>
              </w:rPr>
              <w:t>Sm₂O₃</w:t>
            </w:r>
          </w:p>
        </w:tc>
        <w:tc>
          <w:tcPr>
            <w:tcW w:type="dxa" w:w="2493"/>
          </w:tcPr>
          <w:p>
            <w:pPr>
              <w:spacing w:after="0" w:line="240" w:lineRule="auto"/>
              <w:ind w:firstLine="0"/>
              <w:jc w:val="center"/>
            </w:pPr>
            <w:r>
              <w:rPr>
                <w:b w:val="0"/>
                <w:i w:val="0"/>
                <w:sz w:val="20"/>
              </w:rPr>
              <w:t>8–12</w:t>
            </w:r>
          </w:p>
        </w:tc>
        <w:tc>
          <w:tcPr>
            <w:tcW w:type="dxa" w:w="2493"/>
          </w:tcPr>
          <w:p>
            <w:pPr>
              <w:spacing w:after="0" w:line="240" w:lineRule="auto"/>
              <w:ind w:firstLine="0"/>
              <w:jc w:val="center"/>
            </w:pPr>
            <w:r>
              <w:rPr>
                <w:b w:val="0"/>
                <w:i w:val="0"/>
                <w:sz w:val="20"/>
              </w:rPr>
              <w:t>органы регулирования</w:t>
            </w:r>
          </w:p>
        </w:tc>
        <w:tc>
          <w:tcPr>
            <w:tcW w:type="dxa" w:w="2493"/>
          </w:tcPr>
          <w:p>
            <w:pPr>
              <w:spacing w:after="0" w:line="240" w:lineRule="auto"/>
              <w:ind w:firstLine="0"/>
              <w:jc w:val="center"/>
            </w:pPr>
            <w:r>
              <w:rPr>
                <w:b w:val="0"/>
                <w:i w:val="0"/>
                <w:sz w:val="20"/>
              </w:rPr>
              <w:t>частично собств.</w:t>
            </w:r>
          </w:p>
        </w:tc>
      </w:tr>
      <w:tr>
        <w:tc>
          <w:tcPr>
            <w:tcW w:type="dxa" w:w="2493"/>
          </w:tcPr>
          <w:p>
            <w:pPr>
              <w:spacing w:after="0" w:line="240" w:lineRule="auto"/>
              <w:ind w:firstLine="0"/>
              <w:jc w:val="left"/>
            </w:pPr>
            <w:r>
              <w:rPr>
                <w:b w:val="0"/>
                <w:i w:val="0"/>
                <w:sz w:val="20"/>
              </w:rPr>
              <w:t>Eu₂O₃</w:t>
            </w:r>
          </w:p>
        </w:tc>
        <w:tc>
          <w:tcPr>
            <w:tcW w:type="dxa" w:w="2493"/>
          </w:tcPr>
          <w:p>
            <w:pPr>
              <w:spacing w:after="0" w:line="240" w:lineRule="auto"/>
              <w:ind w:firstLine="0"/>
              <w:jc w:val="center"/>
            </w:pPr>
            <w:r>
              <w:rPr>
                <w:b w:val="0"/>
                <w:i w:val="0"/>
                <w:sz w:val="20"/>
              </w:rPr>
              <w:t>2–3</w:t>
            </w:r>
          </w:p>
        </w:tc>
        <w:tc>
          <w:tcPr>
            <w:tcW w:type="dxa" w:w="2493"/>
          </w:tcPr>
          <w:p>
            <w:pPr>
              <w:spacing w:after="0" w:line="240" w:lineRule="auto"/>
              <w:ind w:firstLine="0"/>
              <w:jc w:val="center"/>
            </w:pPr>
            <w:r>
              <w:rPr>
                <w:b w:val="0"/>
                <w:i w:val="0"/>
                <w:sz w:val="20"/>
              </w:rPr>
              <w:t>органы регулирования</w:t>
            </w:r>
          </w:p>
        </w:tc>
        <w:tc>
          <w:tcPr>
            <w:tcW w:type="dxa" w:w="2493"/>
          </w:tcPr>
          <w:p>
            <w:pPr>
              <w:spacing w:after="0" w:line="240" w:lineRule="auto"/>
              <w:ind w:firstLine="0"/>
              <w:jc w:val="center"/>
            </w:pPr>
            <w:r>
              <w:rPr>
                <w:b w:val="0"/>
                <w:i w:val="0"/>
                <w:sz w:val="20"/>
              </w:rPr>
              <w:t>импорт</w:t>
            </w:r>
          </w:p>
        </w:tc>
      </w:tr>
      <w:tr>
        <w:tc>
          <w:tcPr>
            <w:tcW w:type="dxa" w:w="2493"/>
          </w:tcPr>
          <w:p>
            <w:pPr>
              <w:spacing w:after="0" w:line="240" w:lineRule="auto"/>
              <w:ind w:firstLine="0"/>
              <w:jc w:val="left"/>
            </w:pPr>
            <w:r>
              <w:rPr>
                <w:b w:val="0"/>
                <w:i w:val="0"/>
                <w:sz w:val="20"/>
              </w:rPr>
              <w:t>Dy₂O₃</w:t>
            </w:r>
          </w:p>
        </w:tc>
        <w:tc>
          <w:tcPr>
            <w:tcW w:type="dxa" w:w="2493"/>
          </w:tcPr>
          <w:p>
            <w:pPr>
              <w:spacing w:after="0" w:line="240" w:lineRule="auto"/>
              <w:ind w:firstLine="0"/>
              <w:jc w:val="center"/>
            </w:pPr>
            <w:r>
              <w:rPr>
                <w:b w:val="0"/>
                <w:i w:val="0"/>
                <w:sz w:val="20"/>
              </w:rPr>
              <w:t>4–6</w:t>
            </w:r>
          </w:p>
        </w:tc>
        <w:tc>
          <w:tcPr>
            <w:tcW w:type="dxa" w:w="2493"/>
          </w:tcPr>
          <w:p>
            <w:pPr>
              <w:spacing w:after="0" w:line="240" w:lineRule="auto"/>
              <w:ind w:firstLine="0"/>
              <w:jc w:val="center"/>
            </w:pPr>
            <w:r>
              <w:rPr>
                <w:b w:val="0"/>
                <w:i w:val="0"/>
                <w:sz w:val="20"/>
              </w:rPr>
              <w:t>органы регулирования</w:t>
            </w:r>
          </w:p>
        </w:tc>
        <w:tc>
          <w:tcPr>
            <w:tcW w:type="dxa" w:w="2493"/>
          </w:tcPr>
          <w:p>
            <w:pPr>
              <w:spacing w:after="0" w:line="240" w:lineRule="auto"/>
              <w:ind w:firstLine="0"/>
              <w:jc w:val="center"/>
            </w:pPr>
            <w:r>
              <w:rPr>
                <w:b w:val="0"/>
                <w:i w:val="0"/>
                <w:sz w:val="20"/>
              </w:rPr>
              <w:t>импорт</w:t>
            </w:r>
          </w:p>
        </w:tc>
      </w:tr>
      <w:tr>
        <w:tc>
          <w:tcPr>
            <w:tcW w:type="dxa" w:w="2493"/>
          </w:tcPr>
          <w:p>
            <w:pPr>
              <w:spacing w:after="0" w:line="240" w:lineRule="auto"/>
              <w:ind w:firstLine="0"/>
              <w:jc w:val="left"/>
            </w:pPr>
            <w:r>
              <w:rPr>
                <w:b w:val="0"/>
                <w:i w:val="0"/>
                <w:sz w:val="20"/>
              </w:rPr>
              <w:t>Y₂O₃</w:t>
            </w:r>
          </w:p>
        </w:tc>
        <w:tc>
          <w:tcPr>
            <w:tcW w:type="dxa" w:w="2493"/>
          </w:tcPr>
          <w:p>
            <w:pPr>
              <w:spacing w:after="0" w:line="240" w:lineRule="auto"/>
              <w:ind w:firstLine="0"/>
              <w:jc w:val="center"/>
            </w:pPr>
            <w:r>
              <w:rPr>
                <w:b w:val="0"/>
                <w:i w:val="0"/>
                <w:sz w:val="20"/>
              </w:rPr>
              <w:t>12–18</w:t>
            </w:r>
          </w:p>
        </w:tc>
        <w:tc>
          <w:tcPr>
            <w:tcW w:type="dxa" w:w="2493"/>
          </w:tcPr>
          <w:p>
            <w:pPr>
              <w:spacing w:after="0" w:line="240" w:lineRule="auto"/>
              <w:ind w:firstLine="0"/>
              <w:jc w:val="center"/>
            </w:pPr>
            <w:r>
              <w:rPr>
                <w:b w:val="0"/>
                <w:i w:val="0"/>
                <w:sz w:val="20"/>
              </w:rPr>
              <w:t>керамика, покрытия</w:t>
            </w:r>
          </w:p>
        </w:tc>
        <w:tc>
          <w:tcPr>
            <w:tcW w:type="dxa" w:w="2493"/>
          </w:tcPr>
          <w:p>
            <w:pPr>
              <w:spacing w:after="0" w:line="240" w:lineRule="auto"/>
              <w:ind w:firstLine="0"/>
              <w:jc w:val="center"/>
            </w:pPr>
            <w:r>
              <w:rPr>
                <w:b w:val="0"/>
                <w:i w:val="0"/>
                <w:sz w:val="20"/>
              </w:rPr>
              <w:t>импорт</w:t>
            </w:r>
          </w:p>
        </w:tc>
      </w:tr>
      <w:tr>
        <w:tc>
          <w:tcPr>
            <w:tcW w:type="dxa" w:w="2493"/>
          </w:tcPr>
          <w:p>
            <w:pPr>
              <w:spacing w:after="0" w:line="240" w:lineRule="auto"/>
              <w:ind w:firstLine="0"/>
              <w:jc w:val="left"/>
            </w:pPr>
            <w:r>
              <w:rPr>
                <w:b w:val="0"/>
                <w:i w:val="0"/>
                <w:sz w:val="20"/>
              </w:rPr>
              <w:t>Lu, Ho (радиофарм.)</w:t>
            </w:r>
          </w:p>
        </w:tc>
        <w:tc>
          <w:tcPr>
            <w:tcW w:type="dxa" w:w="2493"/>
          </w:tcPr>
          <w:p>
            <w:pPr>
              <w:spacing w:after="0" w:line="240" w:lineRule="auto"/>
              <w:ind w:firstLine="0"/>
              <w:jc w:val="center"/>
            </w:pPr>
            <w:r>
              <w:rPr>
                <w:b w:val="0"/>
                <w:i w:val="0"/>
                <w:sz w:val="20"/>
              </w:rPr>
              <w:t>&lt;0,1</w:t>
            </w:r>
          </w:p>
        </w:tc>
        <w:tc>
          <w:tcPr>
            <w:tcW w:type="dxa" w:w="2493"/>
          </w:tcPr>
          <w:p>
            <w:pPr>
              <w:spacing w:after="0" w:line="240" w:lineRule="auto"/>
              <w:ind w:firstLine="0"/>
              <w:jc w:val="center"/>
            </w:pPr>
            <w:r>
              <w:rPr>
                <w:b w:val="0"/>
                <w:i w:val="0"/>
                <w:sz w:val="20"/>
              </w:rPr>
              <w:t>медицина</w:t>
            </w:r>
          </w:p>
        </w:tc>
        <w:tc>
          <w:tcPr>
            <w:tcW w:type="dxa" w:w="2493"/>
          </w:tcPr>
          <w:p>
            <w:pPr>
              <w:spacing w:after="0" w:line="240" w:lineRule="auto"/>
              <w:ind w:firstLine="0"/>
              <w:jc w:val="center"/>
            </w:pPr>
            <w:r>
              <w:rPr>
                <w:b w:val="0"/>
                <w:i w:val="0"/>
                <w:sz w:val="20"/>
              </w:rPr>
              <w:t>импорт/наработка</w:t>
            </w:r>
          </w:p>
        </w:tc>
      </w:tr>
    </w:tbl>
    <w:p>
      <w:pPr>
        <w:spacing w:after="180"/>
        <w:ind w:firstLine="0"/>
      </w:pPr>
      <w:r>
        <w:rPr>
          <w:i/>
          <w:sz w:val="20"/>
        </w:rPr>
        <w:t>Источник: аналитический центр по данным отраслевых публикаций и Единой информационной системы в сфере закупок</w:t>
      </w:r>
    </w:p>
    <w:p>
      <w:r>
        <w:rPr>
          <w:b w:val="0"/>
          <w:i w:val="0"/>
        </w:rPr>
        <w:t>Обеспеченность атомной отрасли редкоземельными материалами является отдельным вопросом промышленной безопасности: гадолиний, применяемый в ядерном топливе, полностью импортируется из КНР и с апреля 2025 г. находится под китайским экспортным контролем.</w:t>
      </w:r>
    </w:p>
    <w:p>
      <w:pPr>
        <w:pStyle w:val="Heading2"/>
      </w:pPr>
      <w:r>
        <w:rPr>
          <w:b w:val="0"/>
          <w:i w:val="0"/>
        </w:rPr>
        <w:t>14.4. Профили ключевых потребителей</w:t>
      </w:r>
    </w:p>
    <w:p>
      <w:pPr>
        <w:pStyle w:val="Heading3"/>
      </w:pPr>
      <w:r>
        <w:rPr>
          <w:b w:val="0"/>
          <w:i w:val="0"/>
        </w:rPr>
        <w:t>АО «Лыткаринский завод оптического стекла»</w:t>
      </w:r>
    </w:p>
    <w:p>
      <w:r>
        <w:rPr>
          <w:b w:val="0"/>
          <w:i w:val="0"/>
        </w:rPr>
        <w:t>Расположение: Московская область, г. Лыткарино. Входит в холдинг АО «Швабе» (ГК «Ростех»). Основан в 1939 г. Крупнейший в России производитель оптического стекла, астрономической оптики, оптических систем специального назначения.</w:t>
      </w:r>
    </w:p>
    <w:p>
      <w:r>
        <w:rPr>
          <w:b w:val="0"/>
          <w:i w:val="0"/>
        </w:rPr>
        <w:t>Редкоземельные материалы применяются в производстве оптических стёкол типов ЛК, ТФ, СТК, ОФ с высоким показателем преломления. Содержание La₂O₃ в отдельных марках достигает 35–40%. Помимо лантана, используются оксиды церия, неодима, эрбия, гадолиния, иттрия.</w:t>
      </w:r>
    </w:p>
    <w:p>
      <w:pPr>
        <w:keepNext/>
        <w:spacing w:before="160" w:after="60"/>
        <w:ind w:firstLine="0"/>
        <w:jc w:val="left"/>
      </w:pPr>
      <w:r>
        <w:rPr>
          <w:b/>
          <w:sz w:val="22"/>
        </w:rPr>
        <w:t>Таблица 102. Основные показатели АО «ЛЗОС», 2019–2024 гг.</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Показатель</w:t>
            </w:r>
          </w:p>
        </w:tc>
        <w:tc>
          <w:tcPr>
            <w:tcW w:type="dxa" w:w="1662"/>
            <w:shd w:val="clear" w:fill="DCE6F1"/>
          </w:tcPr>
          <w:p>
            <w:pPr>
              <w:spacing w:after="0" w:line="240" w:lineRule="auto"/>
              <w:ind w:firstLine="0"/>
              <w:jc w:val="center"/>
            </w:pPr>
            <w:r>
              <w:rPr>
                <w:b/>
                <w:i w:val="0"/>
                <w:sz w:val="20"/>
              </w:rPr>
              <w:t>2019</w:t>
            </w:r>
          </w:p>
        </w:tc>
        <w:tc>
          <w:tcPr>
            <w:tcW w:type="dxa" w:w="1662"/>
            <w:shd w:val="clear" w:fill="DCE6F1"/>
          </w:tcPr>
          <w:p>
            <w:pPr>
              <w:spacing w:after="0" w:line="240" w:lineRule="auto"/>
              <w:ind w:firstLine="0"/>
              <w:jc w:val="center"/>
            </w:pPr>
            <w:r>
              <w:rPr>
                <w:b/>
                <w:i w:val="0"/>
                <w:sz w:val="20"/>
              </w:rPr>
              <w:t>2021</w:t>
            </w:r>
          </w:p>
        </w:tc>
        <w:tc>
          <w:tcPr>
            <w:tcW w:type="dxa" w:w="1662"/>
            <w:shd w:val="clear" w:fill="DCE6F1"/>
          </w:tcPr>
          <w:p>
            <w:pPr>
              <w:spacing w:after="0" w:line="240" w:lineRule="auto"/>
              <w:ind w:firstLine="0"/>
              <w:jc w:val="center"/>
            </w:pPr>
            <w:r>
              <w:rPr>
                <w:b/>
                <w:i w:val="0"/>
                <w:sz w:val="20"/>
              </w:rPr>
              <w:t>2022</w:t>
            </w:r>
          </w:p>
        </w:tc>
        <w:tc>
          <w:tcPr>
            <w:tcW w:type="dxa" w:w="1662"/>
            <w:shd w:val="clear" w:fill="DCE6F1"/>
          </w:tcPr>
          <w:p>
            <w:pPr>
              <w:spacing w:after="0" w:line="240" w:lineRule="auto"/>
              <w:ind w:firstLine="0"/>
              <w:jc w:val="center"/>
            </w:pPr>
            <w:r>
              <w:rPr>
                <w:b/>
                <w:i w:val="0"/>
                <w:sz w:val="20"/>
              </w:rPr>
              <w:t>2023</w:t>
            </w:r>
          </w:p>
        </w:tc>
        <w:tc>
          <w:tcPr>
            <w:tcW w:type="dxa" w:w="1662"/>
            <w:shd w:val="clear" w:fill="DCE6F1"/>
          </w:tcPr>
          <w:p>
            <w:pPr>
              <w:spacing w:after="0" w:line="240" w:lineRule="auto"/>
              <w:ind w:firstLine="0"/>
              <w:jc w:val="center"/>
            </w:pPr>
            <w:r>
              <w:rPr>
                <w:b/>
                <w:i w:val="0"/>
                <w:sz w:val="20"/>
              </w:rPr>
              <w:t>2024</w:t>
            </w:r>
          </w:p>
        </w:tc>
      </w:tr>
      <w:tr>
        <w:tc>
          <w:tcPr>
            <w:tcW w:type="dxa" w:w="1662"/>
          </w:tcPr>
          <w:p>
            <w:pPr>
              <w:spacing w:after="0" w:line="240" w:lineRule="auto"/>
              <w:ind w:firstLine="0"/>
              <w:jc w:val="left"/>
            </w:pPr>
            <w:r>
              <w:rPr>
                <w:b w:val="0"/>
                <w:i w:val="0"/>
                <w:sz w:val="20"/>
              </w:rPr>
              <w:t>Выручка, млн руб.</w:t>
            </w:r>
          </w:p>
        </w:tc>
        <w:tc>
          <w:tcPr>
            <w:tcW w:type="dxa" w:w="1662"/>
          </w:tcPr>
          <w:p>
            <w:pPr>
              <w:spacing w:after="0" w:line="240" w:lineRule="auto"/>
              <w:ind w:firstLine="0"/>
              <w:jc w:val="center"/>
            </w:pPr>
            <w:r>
              <w:rPr>
                <w:b w:val="0"/>
                <w:i w:val="0"/>
                <w:sz w:val="20"/>
              </w:rPr>
              <w:t>4 850</w:t>
            </w:r>
          </w:p>
        </w:tc>
        <w:tc>
          <w:tcPr>
            <w:tcW w:type="dxa" w:w="1662"/>
          </w:tcPr>
          <w:p>
            <w:pPr>
              <w:spacing w:after="0" w:line="240" w:lineRule="auto"/>
              <w:ind w:firstLine="0"/>
              <w:jc w:val="center"/>
            </w:pPr>
            <w:r>
              <w:rPr>
                <w:b w:val="0"/>
                <w:i w:val="0"/>
                <w:sz w:val="20"/>
              </w:rPr>
              <w:t>5 620</w:t>
            </w:r>
          </w:p>
        </w:tc>
        <w:tc>
          <w:tcPr>
            <w:tcW w:type="dxa" w:w="1662"/>
          </w:tcPr>
          <w:p>
            <w:pPr>
              <w:spacing w:after="0" w:line="240" w:lineRule="auto"/>
              <w:ind w:firstLine="0"/>
              <w:jc w:val="center"/>
            </w:pPr>
            <w:r>
              <w:rPr>
                <w:b w:val="0"/>
                <w:i w:val="0"/>
                <w:sz w:val="20"/>
              </w:rPr>
              <w:t>6 100</w:t>
            </w:r>
          </w:p>
        </w:tc>
        <w:tc>
          <w:tcPr>
            <w:tcW w:type="dxa" w:w="1662"/>
          </w:tcPr>
          <w:p>
            <w:pPr>
              <w:spacing w:after="0" w:line="240" w:lineRule="auto"/>
              <w:ind w:firstLine="0"/>
              <w:jc w:val="center"/>
            </w:pPr>
            <w:r>
              <w:rPr>
                <w:b w:val="0"/>
                <w:i w:val="0"/>
                <w:sz w:val="20"/>
              </w:rPr>
              <w:t>7 450</w:t>
            </w:r>
          </w:p>
        </w:tc>
        <w:tc>
          <w:tcPr>
            <w:tcW w:type="dxa" w:w="1662"/>
          </w:tcPr>
          <w:p>
            <w:pPr>
              <w:spacing w:after="0" w:line="240" w:lineRule="auto"/>
              <w:ind w:firstLine="0"/>
              <w:jc w:val="center"/>
            </w:pPr>
            <w:r>
              <w:rPr>
                <w:b w:val="0"/>
                <w:i w:val="0"/>
                <w:sz w:val="20"/>
              </w:rPr>
              <w:t>8 900</w:t>
            </w:r>
          </w:p>
        </w:tc>
      </w:tr>
      <w:tr>
        <w:tc>
          <w:tcPr>
            <w:tcW w:type="dxa" w:w="1662"/>
          </w:tcPr>
          <w:p>
            <w:pPr>
              <w:spacing w:after="0" w:line="240" w:lineRule="auto"/>
              <w:ind w:firstLine="0"/>
              <w:jc w:val="left"/>
            </w:pPr>
            <w:r>
              <w:rPr>
                <w:b w:val="0"/>
                <w:i w:val="0"/>
                <w:sz w:val="20"/>
              </w:rPr>
              <w:t>Чистая прибыль, млн руб.</w:t>
            </w:r>
          </w:p>
        </w:tc>
        <w:tc>
          <w:tcPr>
            <w:tcW w:type="dxa" w:w="1662"/>
          </w:tcPr>
          <w:p>
            <w:pPr>
              <w:spacing w:after="0" w:line="240" w:lineRule="auto"/>
              <w:ind w:firstLine="0"/>
              <w:jc w:val="center"/>
            </w:pPr>
            <w:r>
              <w:rPr>
                <w:b w:val="0"/>
                <w:i w:val="0"/>
                <w:sz w:val="20"/>
              </w:rPr>
              <w:t>320</w:t>
            </w:r>
          </w:p>
        </w:tc>
        <w:tc>
          <w:tcPr>
            <w:tcW w:type="dxa" w:w="1662"/>
          </w:tcPr>
          <w:p>
            <w:pPr>
              <w:spacing w:after="0" w:line="240" w:lineRule="auto"/>
              <w:ind w:firstLine="0"/>
              <w:jc w:val="center"/>
            </w:pPr>
            <w:r>
              <w:rPr>
                <w:b w:val="0"/>
                <w:i w:val="0"/>
                <w:sz w:val="20"/>
              </w:rPr>
              <w:t>410</w:t>
            </w:r>
          </w:p>
        </w:tc>
        <w:tc>
          <w:tcPr>
            <w:tcW w:type="dxa" w:w="1662"/>
          </w:tcPr>
          <w:p>
            <w:pPr>
              <w:spacing w:after="0" w:line="240" w:lineRule="auto"/>
              <w:ind w:firstLine="0"/>
              <w:jc w:val="center"/>
            </w:pPr>
            <w:r>
              <w:rPr>
                <w:b w:val="0"/>
                <w:i w:val="0"/>
                <w:sz w:val="20"/>
              </w:rPr>
              <w:t>380</w:t>
            </w:r>
          </w:p>
        </w:tc>
        <w:tc>
          <w:tcPr>
            <w:tcW w:type="dxa" w:w="1662"/>
          </w:tcPr>
          <w:p>
            <w:pPr>
              <w:spacing w:after="0" w:line="240" w:lineRule="auto"/>
              <w:ind w:firstLine="0"/>
              <w:jc w:val="center"/>
            </w:pPr>
            <w:r>
              <w:rPr>
                <w:b w:val="0"/>
                <w:i w:val="0"/>
                <w:sz w:val="20"/>
              </w:rPr>
              <w:t>620</w:t>
            </w:r>
          </w:p>
        </w:tc>
        <w:tc>
          <w:tcPr>
            <w:tcW w:type="dxa" w:w="1662"/>
          </w:tcPr>
          <w:p>
            <w:pPr>
              <w:spacing w:after="0" w:line="240" w:lineRule="auto"/>
              <w:ind w:firstLine="0"/>
              <w:jc w:val="center"/>
            </w:pPr>
            <w:r>
              <w:rPr>
                <w:b w:val="0"/>
                <w:i w:val="0"/>
                <w:sz w:val="20"/>
              </w:rPr>
              <w:t>810</w:t>
            </w:r>
          </w:p>
        </w:tc>
      </w:tr>
      <w:tr>
        <w:tc>
          <w:tcPr>
            <w:tcW w:type="dxa" w:w="1662"/>
          </w:tcPr>
          <w:p>
            <w:pPr>
              <w:spacing w:after="0" w:line="240" w:lineRule="auto"/>
              <w:ind w:firstLine="0"/>
              <w:jc w:val="left"/>
            </w:pPr>
            <w:r>
              <w:rPr>
                <w:b w:val="0"/>
                <w:i w:val="0"/>
                <w:sz w:val="20"/>
              </w:rPr>
              <w:t>Выпуск оптического стекла, т</w:t>
            </w:r>
          </w:p>
        </w:tc>
        <w:tc>
          <w:tcPr>
            <w:tcW w:type="dxa" w:w="1662"/>
          </w:tcPr>
          <w:p>
            <w:pPr>
              <w:spacing w:after="0" w:line="240" w:lineRule="auto"/>
              <w:ind w:firstLine="0"/>
              <w:jc w:val="center"/>
            </w:pPr>
            <w:r>
              <w:rPr>
                <w:b w:val="0"/>
                <w:i w:val="0"/>
                <w:sz w:val="20"/>
              </w:rPr>
              <w:t>1 250</w:t>
            </w:r>
          </w:p>
        </w:tc>
        <w:tc>
          <w:tcPr>
            <w:tcW w:type="dxa" w:w="1662"/>
          </w:tcPr>
          <w:p>
            <w:pPr>
              <w:spacing w:after="0" w:line="240" w:lineRule="auto"/>
              <w:ind w:firstLine="0"/>
              <w:jc w:val="center"/>
            </w:pPr>
            <w:r>
              <w:rPr>
                <w:b w:val="0"/>
                <w:i w:val="0"/>
                <w:sz w:val="20"/>
              </w:rPr>
              <w:t>1 380</w:t>
            </w:r>
          </w:p>
        </w:tc>
        <w:tc>
          <w:tcPr>
            <w:tcW w:type="dxa" w:w="1662"/>
          </w:tcPr>
          <w:p>
            <w:pPr>
              <w:spacing w:after="0" w:line="240" w:lineRule="auto"/>
              <w:ind w:firstLine="0"/>
              <w:jc w:val="center"/>
            </w:pPr>
            <w:r>
              <w:rPr>
                <w:b w:val="0"/>
                <w:i w:val="0"/>
                <w:sz w:val="20"/>
              </w:rPr>
              <w:t>1 420</w:t>
            </w:r>
          </w:p>
        </w:tc>
        <w:tc>
          <w:tcPr>
            <w:tcW w:type="dxa" w:w="1662"/>
          </w:tcPr>
          <w:p>
            <w:pPr>
              <w:spacing w:after="0" w:line="240" w:lineRule="auto"/>
              <w:ind w:firstLine="0"/>
              <w:jc w:val="center"/>
            </w:pPr>
            <w:r>
              <w:rPr>
                <w:b w:val="0"/>
                <w:i w:val="0"/>
                <w:sz w:val="20"/>
              </w:rPr>
              <w:t>1 610</w:t>
            </w:r>
          </w:p>
        </w:tc>
        <w:tc>
          <w:tcPr>
            <w:tcW w:type="dxa" w:w="1662"/>
          </w:tcPr>
          <w:p>
            <w:pPr>
              <w:spacing w:after="0" w:line="240" w:lineRule="auto"/>
              <w:ind w:firstLine="0"/>
              <w:jc w:val="center"/>
            </w:pPr>
            <w:r>
              <w:rPr>
                <w:b w:val="0"/>
                <w:i w:val="0"/>
                <w:sz w:val="20"/>
              </w:rPr>
              <w:t>1 780</w:t>
            </w:r>
          </w:p>
        </w:tc>
      </w:tr>
      <w:tr>
        <w:tc>
          <w:tcPr>
            <w:tcW w:type="dxa" w:w="1662"/>
          </w:tcPr>
          <w:p>
            <w:pPr>
              <w:spacing w:after="0" w:line="240" w:lineRule="auto"/>
              <w:ind w:firstLine="0"/>
              <w:jc w:val="left"/>
            </w:pPr>
            <w:r>
              <w:rPr>
                <w:b w:val="0"/>
                <w:i w:val="0"/>
                <w:sz w:val="20"/>
              </w:rPr>
              <w:t>Потребление РЗМ, т TREO</w:t>
            </w:r>
          </w:p>
        </w:tc>
        <w:tc>
          <w:tcPr>
            <w:tcW w:type="dxa" w:w="1662"/>
          </w:tcPr>
          <w:p>
            <w:pPr>
              <w:spacing w:after="0" w:line="240" w:lineRule="auto"/>
              <w:ind w:firstLine="0"/>
              <w:jc w:val="center"/>
            </w:pPr>
            <w:r>
              <w:rPr>
                <w:b w:val="0"/>
                <w:i w:val="0"/>
                <w:sz w:val="20"/>
              </w:rPr>
              <w:t>92</w:t>
            </w:r>
          </w:p>
        </w:tc>
        <w:tc>
          <w:tcPr>
            <w:tcW w:type="dxa" w:w="1662"/>
          </w:tcPr>
          <w:p>
            <w:pPr>
              <w:spacing w:after="0" w:line="240" w:lineRule="auto"/>
              <w:ind w:firstLine="0"/>
              <w:jc w:val="center"/>
            </w:pPr>
            <w:r>
              <w:rPr>
                <w:b w:val="0"/>
                <w:i w:val="0"/>
                <w:sz w:val="20"/>
              </w:rPr>
              <w:t>102</w:t>
            </w:r>
          </w:p>
        </w:tc>
        <w:tc>
          <w:tcPr>
            <w:tcW w:type="dxa" w:w="1662"/>
          </w:tcPr>
          <w:p>
            <w:pPr>
              <w:spacing w:after="0" w:line="240" w:lineRule="auto"/>
              <w:ind w:firstLine="0"/>
              <w:jc w:val="center"/>
            </w:pPr>
            <w:r>
              <w:rPr>
                <w:b w:val="0"/>
                <w:i w:val="0"/>
                <w:sz w:val="20"/>
              </w:rPr>
              <w:t>105</w:t>
            </w:r>
          </w:p>
        </w:tc>
        <w:tc>
          <w:tcPr>
            <w:tcW w:type="dxa" w:w="1662"/>
          </w:tcPr>
          <w:p>
            <w:pPr>
              <w:spacing w:after="0" w:line="240" w:lineRule="auto"/>
              <w:ind w:firstLine="0"/>
              <w:jc w:val="center"/>
            </w:pPr>
            <w:r>
              <w:rPr>
                <w:b w:val="0"/>
                <w:i w:val="0"/>
                <w:sz w:val="20"/>
              </w:rPr>
              <w:t>115</w:t>
            </w:r>
          </w:p>
        </w:tc>
        <w:tc>
          <w:tcPr>
            <w:tcW w:type="dxa" w:w="1662"/>
          </w:tcPr>
          <w:p>
            <w:pPr>
              <w:spacing w:after="0" w:line="240" w:lineRule="auto"/>
              <w:ind w:firstLine="0"/>
              <w:jc w:val="center"/>
            </w:pPr>
            <w:r>
              <w:rPr>
                <w:b w:val="0"/>
                <w:i w:val="0"/>
                <w:sz w:val="20"/>
              </w:rPr>
              <w:t>128</w:t>
            </w:r>
          </w:p>
        </w:tc>
      </w:tr>
      <w:tr>
        <w:tc>
          <w:tcPr>
            <w:tcW w:type="dxa" w:w="1662"/>
          </w:tcPr>
          <w:p>
            <w:pPr>
              <w:spacing w:after="0" w:line="240" w:lineRule="auto"/>
              <w:ind w:firstLine="0"/>
              <w:jc w:val="left"/>
            </w:pPr>
            <w:r>
              <w:rPr>
                <w:b w:val="0"/>
                <w:i w:val="0"/>
                <w:sz w:val="20"/>
              </w:rPr>
              <w:t>Численность персонала, чел.</w:t>
            </w:r>
          </w:p>
        </w:tc>
        <w:tc>
          <w:tcPr>
            <w:tcW w:type="dxa" w:w="1662"/>
          </w:tcPr>
          <w:p>
            <w:pPr>
              <w:spacing w:after="0" w:line="240" w:lineRule="auto"/>
              <w:ind w:firstLine="0"/>
              <w:jc w:val="center"/>
            </w:pPr>
            <w:r>
              <w:rPr>
                <w:b w:val="0"/>
                <w:i w:val="0"/>
                <w:sz w:val="20"/>
              </w:rPr>
              <w:t>2 400</w:t>
            </w:r>
          </w:p>
        </w:tc>
        <w:tc>
          <w:tcPr>
            <w:tcW w:type="dxa" w:w="1662"/>
          </w:tcPr>
          <w:p>
            <w:pPr>
              <w:spacing w:after="0" w:line="240" w:lineRule="auto"/>
              <w:ind w:firstLine="0"/>
              <w:jc w:val="center"/>
            </w:pPr>
            <w:r>
              <w:rPr>
                <w:b w:val="0"/>
                <w:i w:val="0"/>
                <w:sz w:val="20"/>
              </w:rPr>
              <w:t>2 450</w:t>
            </w:r>
          </w:p>
        </w:tc>
        <w:tc>
          <w:tcPr>
            <w:tcW w:type="dxa" w:w="1662"/>
          </w:tcPr>
          <w:p>
            <w:pPr>
              <w:spacing w:after="0" w:line="240" w:lineRule="auto"/>
              <w:ind w:firstLine="0"/>
              <w:jc w:val="center"/>
            </w:pPr>
            <w:r>
              <w:rPr>
                <w:b w:val="0"/>
                <w:i w:val="0"/>
                <w:sz w:val="20"/>
              </w:rPr>
              <w:t>2 520</w:t>
            </w:r>
          </w:p>
        </w:tc>
        <w:tc>
          <w:tcPr>
            <w:tcW w:type="dxa" w:w="1662"/>
          </w:tcPr>
          <w:p>
            <w:pPr>
              <w:spacing w:after="0" w:line="240" w:lineRule="auto"/>
              <w:ind w:firstLine="0"/>
              <w:jc w:val="center"/>
            </w:pPr>
            <w:r>
              <w:rPr>
                <w:b w:val="0"/>
                <w:i w:val="0"/>
                <w:sz w:val="20"/>
              </w:rPr>
              <w:t>2 680</w:t>
            </w:r>
          </w:p>
        </w:tc>
        <w:tc>
          <w:tcPr>
            <w:tcW w:type="dxa" w:w="1662"/>
          </w:tcPr>
          <w:p>
            <w:pPr>
              <w:spacing w:after="0" w:line="240" w:lineRule="auto"/>
              <w:ind w:firstLine="0"/>
              <w:jc w:val="center"/>
            </w:pPr>
            <w:r>
              <w:rPr>
                <w:b w:val="0"/>
                <w:i w:val="0"/>
                <w:sz w:val="20"/>
              </w:rPr>
              <w:t>2 800</w:t>
            </w:r>
          </w:p>
        </w:tc>
      </w:tr>
    </w:tbl>
    <w:p>
      <w:pPr>
        <w:spacing w:after="180"/>
        <w:ind w:firstLine="0"/>
      </w:pPr>
      <w:r>
        <w:rPr>
          <w:i/>
          <w:sz w:val="20"/>
        </w:rPr>
        <w:t>Источник: бухгалтерская отчётность АО «ЛЗОС»; оценка аналитического центра</w:t>
      </w:r>
    </w:p>
    <w:p>
      <w:pPr>
        <w:pStyle w:val="Heading3"/>
      </w:pPr>
      <w:r>
        <w:rPr>
          <w:b w:val="0"/>
          <w:i w:val="0"/>
        </w:rPr>
        <w:t>Предприятия Топливной компании «ТВЭЛ»</w:t>
      </w:r>
    </w:p>
    <w:p>
      <w:r>
        <w:rPr>
          <w:b w:val="0"/>
          <w:i w:val="0"/>
        </w:rPr>
        <w:t>АО «Машиностроительный завод» (г. Электросталь), ПАО «Новосибирский завод химконцентратов», АО «Чепецкий механический завод» — производители ядерного топлива и компонентов. Потребление гадолиния определяется объёмом производства топлива с выгорающим поглотителем и составляет 28–35 т Gd₂O₃ в год.</w:t>
      </w:r>
    </w:p>
    <w:p>
      <w:pPr>
        <w:pStyle w:val="Heading3"/>
      </w:pPr>
      <w:r>
        <w:rPr>
          <w:b w:val="0"/>
          <w:i w:val="0"/>
        </w:rPr>
        <w:t>АО «Газпромнефть — Катализаторы»</w:t>
      </w:r>
    </w:p>
    <w:p>
      <w:r>
        <w:rPr>
          <w:b w:val="0"/>
          <w:i w:val="0"/>
        </w:rPr>
        <w:t>Омск. Введённое в 2021 г. производство катализаторов каталитического крекинга и гидроочистки мощностью 21 тыс. т в год. Потребление редкоземельных компонентов (преимущественно лантан) — 90–130 т TREO в год при полной загрузке.</w:t>
      </w:r>
    </w:p>
    <w:p>
      <w:pPr>
        <w:keepNext/>
        <w:spacing w:before="160" w:after="60"/>
        <w:ind w:firstLine="0"/>
        <w:jc w:val="left"/>
      </w:pPr>
      <w:r>
        <w:rPr>
          <w:b/>
          <w:sz w:val="22"/>
        </w:rPr>
        <w:t>Таблица 103. Крупнейшие предприятия-потребители редкоземельной продукции в Российской Федерации</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Предприятие</w:t>
            </w:r>
          </w:p>
        </w:tc>
        <w:tc>
          <w:tcPr>
            <w:tcW w:type="dxa" w:w="2493"/>
            <w:shd w:val="clear" w:fill="DCE6F1"/>
          </w:tcPr>
          <w:p>
            <w:pPr>
              <w:spacing w:after="0" w:line="240" w:lineRule="auto"/>
              <w:ind w:firstLine="0"/>
              <w:jc w:val="center"/>
            </w:pPr>
            <w:r>
              <w:rPr>
                <w:b/>
                <w:i w:val="0"/>
                <w:sz w:val="20"/>
              </w:rPr>
              <w:t>Отрасль</w:t>
            </w:r>
          </w:p>
        </w:tc>
        <w:tc>
          <w:tcPr>
            <w:tcW w:type="dxa" w:w="2493"/>
            <w:shd w:val="clear" w:fill="DCE6F1"/>
          </w:tcPr>
          <w:p>
            <w:pPr>
              <w:spacing w:after="0" w:line="240" w:lineRule="auto"/>
              <w:ind w:firstLine="0"/>
              <w:jc w:val="center"/>
            </w:pPr>
            <w:r>
              <w:rPr>
                <w:b/>
                <w:i w:val="0"/>
                <w:sz w:val="20"/>
              </w:rPr>
              <w:t>Потребление, т TREO/год</w:t>
            </w:r>
          </w:p>
        </w:tc>
        <w:tc>
          <w:tcPr>
            <w:tcW w:type="dxa" w:w="2493"/>
            <w:shd w:val="clear" w:fill="DCE6F1"/>
          </w:tcPr>
          <w:p>
            <w:pPr>
              <w:spacing w:after="0" w:line="240" w:lineRule="auto"/>
              <w:ind w:firstLine="0"/>
              <w:jc w:val="center"/>
            </w:pPr>
            <w:r>
              <w:rPr>
                <w:b/>
                <w:i w:val="0"/>
                <w:sz w:val="20"/>
              </w:rPr>
              <w:t>Ключевая номенклатура</w:t>
            </w:r>
          </w:p>
        </w:tc>
      </w:tr>
      <w:tr>
        <w:tc>
          <w:tcPr>
            <w:tcW w:type="dxa" w:w="2493"/>
          </w:tcPr>
          <w:p>
            <w:pPr>
              <w:spacing w:after="0" w:line="240" w:lineRule="auto"/>
              <w:ind w:firstLine="0"/>
              <w:jc w:val="left"/>
            </w:pPr>
            <w:r>
              <w:rPr>
                <w:b w:val="0"/>
                <w:i w:val="0"/>
                <w:sz w:val="20"/>
              </w:rPr>
              <w:t>Предприятия ОПК (совокупно)</w:t>
            </w:r>
          </w:p>
        </w:tc>
        <w:tc>
          <w:tcPr>
            <w:tcW w:type="dxa" w:w="2493"/>
          </w:tcPr>
          <w:p>
            <w:pPr>
              <w:spacing w:after="0" w:line="240" w:lineRule="auto"/>
              <w:ind w:firstLine="0"/>
              <w:jc w:val="center"/>
            </w:pPr>
            <w:r>
              <w:rPr>
                <w:b w:val="0"/>
                <w:i w:val="0"/>
                <w:sz w:val="20"/>
              </w:rPr>
              <w:t>оборонная</w:t>
            </w:r>
          </w:p>
        </w:tc>
        <w:tc>
          <w:tcPr>
            <w:tcW w:type="dxa" w:w="2493"/>
          </w:tcPr>
          <w:p>
            <w:pPr>
              <w:spacing w:after="0" w:line="240" w:lineRule="auto"/>
              <w:ind w:firstLine="0"/>
              <w:jc w:val="center"/>
            </w:pPr>
            <w:r>
              <w:rPr>
                <w:b w:val="0"/>
                <w:i w:val="0"/>
                <w:sz w:val="20"/>
              </w:rPr>
              <w:t>600–800</w:t>
            </w:r>
          </w:p>
        </w:tc>
        <w:tc>
          <w:tcPr>
            <w:tcW w:type="dxa" w:w="2493"/>
          </w:tcPr>
          <w:p>
            <w:pPr>
              <w:spacing w:after="0" w:line="240" w:lineRule="auto"/>
              <w:ind w:firstLine="0"/>
              <w:jc w:val="center"/>
            </w:pPr>
            <w:r>
              <w:rPr>
                <w:b w:val="0"/>
                <w:i w:val="0"/>
                <w:sz w:val="20"/>
              </w:rPr>
              <w:t>магниты NdFeB, SmCo</w:t>
            </w:r>
          </w:p>
        </w:tc>
      </w:tr>
      <w:tr>
        <w:tc>
          <w:tcPr>
            <w:tcW w:type="dxa" w:w="2493"/>
          </w:tcPr>
          <w:p>
            <w:pPr>
              <w:spacing w:after="0" w:line="240" w:lineRule="auto"/>
              <w:ind w:firstLine="0"/>
              <w:jc w:val="left"/>
            </w:pPr>
            <w:r>
              <w:rPr>
                <w:b w:val="0"/>
                <w:i w:val="0"/>
                <w:sz w:val="20"/>
              </w:rPr>
              <w:t>АО «ЛЗОС»</w:t>
            </w:r>
          </w:p>
        </w:tc>
        <w:tc>
          <w:tcPr>
            <w:tcW w:type="dxa" w:w="2493"/>
          </w:tcPr>
          <w:p>
            <w:pPr>
              <w:spacing w:after="0" w:line="240" w:lineRule="auto"/>
              <w:ind w:firstLine="0"/>
              <w:jc w:val="center"/>
            </w:pPr>
            <w:r>
              <w:rPr>
                <w:b w:val="0"/>
                <w:i w:val="0"/>
                <w:sz w:val="20"/>
              </w:rPr>
              <w:t>оптическая</w:t>
            </w:r>
          </w:p>
        </w:tc>
        <w:tc>
          <w:tcPr>
            <w:tcW w:type="dxa" w:w="2493"/>
          </w:tcPr>
          <w:p>
            <w:pPr>
              <w:spacing w:after="0" w:line="240" w:lineRule="auto"/>
              <w:ind w:firstLine="0"/>
              <w:jc w:val="center"/>
            </w:pPr>
            <w:r>
              <w:rPr>
                <w:b w:val="0"/>
                <w:i w:val="0"/>
                <w:sz w:val="20"/>
              </w:rPr>
              <w:t>120–130</w:t>
            </w:r>
          </w:p>
        </w:tc>
        <w:tc>
          <w:tcPr>
            <w:tcW w:type="dxa" w:w="2493"/>
          </w:tcPr>
          <w:p>
            <w:pPr>
              <w:spacing w:after="0" w:line="240" w:lineRule="auto"/>
              <w:ind w:firstLine="0"/>
              <w:jc w:val="center"/>
            </w:pPr>
            <w:r>
              <w:rPr>
                <w:b w:val="0"/>
                <w:i w:val="0"/>
                <w:sz w:val="20"/>
              </w:rPr>
              <w:t>La₂O₃, CeO₂</w:t>
            </w:r>
          </w:p>
        </w:tc>
      </w:tr>
      <w:tr>
        <w:tc>
          <w:tcPr>
            <w:tcW w:type="dxa" w:w="2493"/>
          </w:tcPr>
          <w:p>
            <w:pPr>
              <w:spacing w:after="0" w:line="240" w:lineRule="auto"/>
              <w:ind w:firstLine="0"/>
              <w:jc w:val="left"/>
            </w:pPr>
            <w:r>
              <w:rPr>
                <w:b w:val="0"/>
                <w:i w:val="0"/>
                <w:sz w:val="20"/>
              </w:rPr>
              <w:t>Предприятия ТК «ТВЭЛ»</w:t>
            </w:r>
          </w:p>
        </w:tc>
        <w:tc>
          <w:tcPr>
            <w:tcW w:type="dxa" w:w="2493"/>
          </w:tcPr>
          <w:p>
            <w:pPr>
              <w:spacing w:after="0" w:line="240" w:lineRule="auto"/>
              <w:ind w:firstLine="0"/>
              <w:jc w:val="center"/>
            </w:pPr>
            <w:r>
              <w:rPr>
                <w:b w:val="0"/>
                <w:i w:val="0"/>
                <w:sz w:val="20"/>
              </w:rPr>
              <w:t>атомная</w:t>
            </w:r>
          </w:p>
        </w:tc>
        <w:tc>
          <w:tcPr>
            <w:tcW w:type="dxa" w:w="2493"/>
          </w:tcPr>
          <w:p>
            <w:pPr>
              <w:spacing w:after="0" w:line="240" w:lineRule="auto"/>
              <w:ind w:firstLine="0"/>
              <w:jc w:val="center"/>
            </w:pPr>
            <w:r>
              <w:rPr>
                <w:b w:val="0"/>
                <w:i w:val="0"/>
                <w:sz w:val="20"/>
              </w:rPr>
              <w:t>45–60</w:t>
            </w:r>
          </w:p>
        </w:tc>
        <w:tc>
          <w:tcPr>
            <w:tcW w:type="dxa" w:w="2493"/>
          </w:tcPr>
          <w:p>
            <w:pPr>
              <w:spacing w:after="0" w:line="240" w:lineRule="auto"/>
              <w:ind w:firstLine="0"/>
              <w:jc w:val="center"/>
            </w:pPr>
            <w:r>
              <w:rPr>
                <w:b w:val="0"/>
                <w:i w:val="0"/>
                <w:sz w:val="20"/>
              </w:rPr>
              <w:t>Gd₂O₃, Sm₂O₃</w:t>
            </w:r>
          </w:p>
        </w:tc>
      </w:tr>
      <w:tr>
        <w:tc>
          <w:tcPr>
            <w:tcW w:type="dxa" w:w="2493"/>
          </w:tcPr>
          <w:p>
            <w:pPr>
              <w:spacing w:after="0" w:line="240" w:lineRule="auto"/>
              <w:ind w:firstLine="0"/>
              <w:jc w:val="left"/>
            </w:pPr>
            <w:r>
              <w:rPr>
                <w:b w:val="0"/>
                <w:i w:val="0"/>
                <w:sz w:val="20"/>
              </w:rPr>
              <w:t>АО «Газпромнефть — Катализаторы»</w:t>
            </w:r>
          </w:p>
        </w:tc>
        <w:tc>
          <w:tcPr>
            <w:tcW w:type="dxa" w:w="2493"/>
          </w:tcPr>
          <w:p>
            <w:pPr>
              <w:spacing w:after="0" w:line="240" w:lineRule="auto"/>
              <w:ind w:firstLine="0"/>
              <w:jc w:val="center"/>
            </w:pPr>
            <w:r>
              <w:rPr>
                <w:b w:val="0"/>
                <w:i w:val="0"/>
                <w:sz w:val="20"/>
              </w:rPr>
              <w:t>нефтехимия</w:t>
            </w:r>
          </w:p>
        </w:tc>
        <w:tc>
          <w:tcPr>
            <w:tcW w:type="dxa" w:w="2493"/>
          </w:tcPr>
          <w:p>
            <w:pPr>
              <w:spacing w:after="0" w:line="240" w:lineRule="auto"/>
              <w:ind w:firstLine="0"/>
              <w:jc w:val="center"/>
            </w:pPr>
            <w:r>
              <w:rPr>
                <w:b w:val="0"/>
                <w:i w:val="0"/>
                <w:sz w:val="20"/>
              </w:rPr>
              <w:t>90–130</w:t>
            </w:r>
          </w:p>
        </w:tc>
        <w:tc>
          <w:tcPr>
            <w:tcW w:type="dxa" w:w="2493"/>
          </w:tcPr>
          <w:p>
            <w:pPr>
              <w:spacing w:after="0" w:line="240" w:lineRule="auto"/>
              <w:ind w:firstLine="0"/>
              <w:jc w:val="center"/>
            </w:pPr>
            <w:r>
              <w:rPr>
                <w:b w:val="0"/>
                <w:i w:val="0"/>
                <w:sz w:val="20"/>
              </w:rPr>
              <w:t>La₂O₃, CeO₂</w:t>
            </w:r>
          </w:p>
        </w:tc>
      </w:tr>
      <w:tr>
        <w:tc>
          <w:tcPr>
            <w:tcW w:type="dxa" w:w="2493"/>
          </w:tcPr>
          <w:p>
            <w:pPr>
              <w:spacing w:after="0" w:line="240" w:lineRule="auto"/>
              <w:ind w:firstLine="0"/>
              <w:jc w:val="left"/>
            </w:pPr>
            <w:r>
              <w:rPr>
                <w:b w:val="0"/>
                <w:i w:val="0"/>
                <w:sz w:val="20"/>
              </w:rPr>
              <w:t>Холдинг «Швабе» (прочие)</w:t>
            </w:r>
          </w:p>
        </w:tc>
        <w:tc>
          <w:tcPr>
            <w:tcW w:type="dxa" w:w="2493"/>
          </w:tcPr>
          <w:p>
            <w:pPr>
              <w:spacing w:after="0" w:line="240" w:lineRule="auto"/>
              <w:ind w:firstLine="0"/>
              <w:jc w:val="center"/>
            </w:pPr>
            <w:r>
              <w:rPr>
                <w:b w:val="0"/>
                <w:i w:val="0"/>
                <w:sz w:val="20"/>
              </w:rPr>
              <w:t>оптическая</w:t>
            </w:r>
          </w:p>
        </w:tc>
        <w:tc>
          <w:tcPr>
            <w:tcW w:type="dxa" w:w="2493"/>
          </w:tcPr>
          <w:p>
            <w:pPr>
              <w:spacing w:after="0" w:line="240" w:lineRule="auto"/>
              <w:ind w:firstLine="0"/>
              <w:jc w:val="center"/>
            </w:pPr>
            <w:r>
              <w:rPr>
                <w:b w:val="0"/>
                <w:i w:val="0"/>
                <w:sz w:val="20"/>
              </w:rPr>
              <w:t>60–80</w:t>
            </w:r>
          </w:p>
        </w:tc>
        <w:tc>
          <w:tcPr>
            <w:tcW w:type="dxa" w:w="2493"/>
          </w:tcPr>
          <w:p>
            <w:pPr>
              <w:spacing w:after="0" w:line="240" w:lineRule="auto"/>
              <w:ind w:firstLine="0"/>
              <w:jc w:val="center"/>
            </w:pPr>
            <w:r>
              <w:rPr>
                <w:b w:val="0"/>
                <w:i w:val="0"/>
                <w:sz w:val="20"/>
              </w:rPr>
              <w:t>La₂O₃, CeO₂</w:t>
            </w:r>
          </w:p>
        </w:tc>
      </w:tr>
      <w:tr>
        <w:tc>
          <w:tcPr>
            <w:tcW w:type="dxa" w:w="2493"/>
          </w:tcPr>
          <w:p>
            <w:pPr>
              <w:spacing w:after="0" w:line="240" w:lineRule="auto"/>
              <w:ind w:firstLine="0"/>
              <w:jc w:val="left"/>
            </w:pPr>
            <w:r>
              <w:rPr>
                <w:b w:val="0"/>
                <w:i w:val="0"/>
                <w:sz w:val="20"/>
              </w:rPr>
              <w:t>Холдинг «Русэлпром»</w:t>
            </w:r>
          </w:p>
        </w:tc>
        <w:tc>
          <w:tcPr>
            <w:tcW w:type="dxa" w:w="2493"/>
          </w:tcPr>
          <w:p>
            <w:pPr>
              <w:spacing w:after="0" w:line="240" w:lineRule="auto"/>
              <w:ind w:firstLine="0"/>
              <w:jc w:val="center"/>
            </w:pPr>
            <w:r>
              <w:rPr>
                <w:b w:val="0"/>
                <w:i w:val="0"/>
                <w:sz w:val="20"/>
              </w:rPr>
              <w:t>электротехника</w:t>
            </w:r>
          </w:p>
        </w:tc>
        <w:tc>
          <w:tcPr>
            <w:tcW w:type="dxa" w:w="2493"/>
          </w:tcPr>
          <w:p>
            <w:pPr>
              <w:spacing w:after="0" w:line="240" w:lineRule="auto"/>
              <w:ind w:firstLine="0"/>
              <w:jc w:val="center"/>
            </w:pPr>
            <w:r>
              <w:rPr>
                <w:b w:val="0"/>
                <w:i w:val="0"/>
                <w:sz w:val="20"/>
              </w:rPr>
              <w:t>60–90</w:t>
            </w:r>
          </w:p>
        </w:tc>
        <w:tc>
          <w:tcPr>
            <w:tcW w:type="dxa" w:w="2493"/>
          </w:tcPr>
          <w:p>
            <w:pPr>
              <w:spacing w:after="0" w:line="240" w:lineRule="auto"/>
              <w:ind w:firstLine="0"/>
              <w:jc w:val="center"/>
            </w:pPr>
            <w:r>
              <w:rPr>
                <w:b w:val="0"/>
                <w:i w:val="0"/>
                <w:sz w:val="20"/>
              </w:rPr>
              <w:t>магниты</w:t>
            </w:r>
          </w:p>
        </w:tc>
      </w:tr>
      <w:tr>
        <w:tc>
          <w:tcPr>
            <w:tcW w:type="dxa" w:w="2493"/>
          </w:tcPr>
          <w:p>
            <w:pPr>
              <w:spacing w:after="0" w:line="240" w:lineRule="auto"/>
              <w:ind w:firstLine="0"/>
              <w:jc w:val="left"/>
            </w:pPr>
            <w:r>
              <w:rPr>
                <w:b w:val="0"/>
                <w:i w:val="0"/>
                <w:sz w:val="20"/>
              </w:rPr>
              <w:t>ПАО «ТМК», трубные заводы</w:t>
            </w:r>
          </w:p>
        </w:tc>
        <w:tc>
          <w:tcPr>
            <w:tcW w:type="dxa" w:w="2493"/>
          </w:tcPr>
          <w:p>
            <w:pPr>
              <w:spacing w:after="0" w:line="240" w:lineRule="auto"/>
              <w:ind w:firstLine="0"/>
              <w:jc w:val="center"/>
            </w:pPr>
            <w:r>
              <w:rPr>
                <w:b w:val="0"/>
                <w:i w:val="0"/>
                <w:sz w:val="20"/>
              </w:rPr>
              <w:t>металлургия</w:t>
            </w:r>
          </w:p>
        </w:tc>
        <w:tc>
          <w:tcPr>
            <w:tcW w:type="dxa" w:w="2493"/>
          </w:tcPr>
          <w:p>
            <w:pPr>
              <w:spacing w:after="0" w:line="240" w:lineRule="auto"/>
              <w:ind w:firstLine="0"/>
              <w:jc w:val="center"/>
            </w:pPr>
            <w:r>
              <w:rPr>
                <w:b w:val="0"/>
                <w:i w:val="0"/>
                <w:sz w:val="20"/>
              </w:rPr>
              <w:t>70–110</w:t>
            </w:r>
          </w:p>
        </w:tc>
        <w:tc>
          <w:tcPr>
            <w:tcW w:type="dxa" w:w="2493"/>
          </w:tcPr>
          <w:p>
            <w:pPr>
              <w:spacing w:after="0" w:line="240" w:lineRule="auto"/>
              <w:ind w:firstLine="0"/>
              <w:jc w:val="center"/>
            </w:pPr>
            <w:r>
              <w:rPr>
                <w:b w:val="0"/>
                <w:i w:val="0"/>
                <w:sz w:val="20"/>
              </w:rPr>
              <w:t>мишметалл, ферроцерий</w:t>
            </w:r>
          </w:p>
        </w:tc>
      </w:tr>
      <w:tr>
        <w:tc>
          <w:tcPr>
            <w:tcW w:type="dxa" w:w="2493"/>
          </w:tcPr>
          <w:p>
            <w:pPr>
              <w:spacing w:after="0" w:line="240" w:lineRule="auto"/>
              <w:ind w:firstLine="0"/>
              <w:jc w:val="left"/>
            </w:pPr>
            <w:r>
              <w:rPr>
                <w:b w:val="0"/>
                <w:i w:val="0"/>
                <w:sz w:val="20"/>
              </w:rPr>
              <w:t>ОК «РУСАЛ»</w:t>
            </w:r>
          </w:p>
        </w:tc>
        <w:tc>
          <w:tcPr>
            <w:tcW w:type="dxa" w:w="2493"/>
          </w:tcPr>
          <w:p>
            <w:pPr>
              <w:spacing w:after="0" w:line="240" w:lineRule="auto"/>
              <w:ind w:firstLine="0"/>
              <w:jc w:val="center"/>
            </w:pPr>
            <w:r>
              <w:rPr>
                <w:b w:val="0"/>
                <w:i w:val="0"/>
                <w:sz w:val="20"/>
              </w:rPr>
              <w:t>металлургия</w:t>
            </w:r>
          </w:p>
        </w:tc>
        <w:tc>
          <w:tcPr>
            <w:tcW w:type="dxa" w:w="2493"/>
          </w:tcPr>
          <w:p>
            <w:pPr>
              <w:spacing w:after="0" w:line="240" w:lineRule="auto"/>
              <w:ind w:firstLine="0"/>
              <w:jc w:val="center"/>
            </w:pPr>
            <w:r>
              <w:rPr>
                <w:b w:val="0"/>
                <w:i w:val="0"/>
                <w:sz w:val="20"/>
              </w:rPr>
              <w:t>40–70</w:t>
            </w:r>
          </w:p>
        </w:tc>
        <w:tc>
          <w:tcPr>
            <w:tcW w:type="dxa" w:w="2493"/>
          </w:tcPr>
          <w:p>
            <w:pPr>
              <w:spacing w:after="0" w:line="240" w:lineRule="auto"/>
              <w:ind w:firstLine="0"/>
              <w:jc w:val="center"/>
            </w:pPr>
            <w:r>
              <w:rPr>
                <w:b w:val="0"/>
                <w:i w:val="0"/>
                <w:sz w:val="20"/>
              </w:rPr>
              <w:t>Sc, Ce, лигатуры</w:t>
            </w:r>
          </w:p>
        </w:tc>
      </w:tr>
      <w:tr>
        <w:tc>
          <w:tcPr>
            <w:tcW w:type="dxa" w:w="2493"/>
          </w:tcPr>
          <w:p>
            <w:pPr>
              <w:spacing w:after="0" w:line="240" w:lineRule="auto"/>
              <w:ind w:firstLine="0"/>
              <w:jc w:val="left"/>
            </w:pPr>
            <w:r>
              <w:rPr>
                <w:b w:val="0"/>
                <w:i w:val="0"/>
                <w:sz w:val="20"/>
              </w:rPr>
              <w:t>Производители стекла</w:t>
            </w:r>
          </w:p>
        </w:tc>
        <w:tc>
          <w:tcPr>
            <w:tcW w:type="dxa" w:w="2493"/>
          </w:tcPr>
          <w:p>
            <w:pPr>
              <w:spacing w:after="0" w:line="240" w:lineRule="auto"/>
              <w:ind w:firstLine="0"/>
              <w:jc w:val="center"/>
            </w:pPr>
            <w:r>
              <w:rPr>
                <w:b w:val="0"/>
                <w:i w:val="0"/>
                <w:sz w:val="20"/>
              </w:rPr>
              <w:t>стекольная</w:t>
            </w:r>
          </w:p>
        </w:tc>
        <w:tc>
          <w:tcPr>
            <w:tcW w:type="dxa" w:w="2493"/>
          </w:tcPr>
          <w:p>
            <w:pPr>
              <w:spacing w:after="0" w:line="240" w:lineRule="auto"/>
              <w:ind w:firstLine="0"/>
              <w:jc w:val="center"/>
            </w:pPr>
            <w:r>
              <w:rPr>
                <w:b w:val="0"/>
                <w:i w:val="0"/>
                <w:sz w:val="20"/>
              </w:rPr>
              <w:t>130–190</w:t>
            </w:r>
          </w:p>
        </w:tc>
        <w:tc>
          <w:tcPr>
            <w:tcW w:type="dxa" w:w="2493"/>
          </w:tcPr>
          <w:p>
            <w:pPr>
              <w:spacing w:after="0" w:line="240" w:lineRule="auto"/>
              <w:ind w:firstLine="0"/>
              <w:jc w:val="center"/>
            </w:pPr>
            <w:r>
              <w:rPr>
                <w:b w:val="0"/>
                <w:i w:val="0"/>
                <w:sz w:val="20"/>
              </w:rPr>
              <w:t>CeO₂</w:t>
            </w:r>
          </w:p>
        </w:tc>
      </w:tr>
      <w:tr>
        <w:tc>
          <w:tcPr>
            <w:tcW w:type="dxa" w:w="2493"/>
          </w:tcPr>
          <w:p>
            <w:pPr>
              <w:spacing w:after="0" w:line="240" w:lineRule="auto"/>
              <w:ind w:firstLine="0"/>
              <w:jc w:val="left"/>
            </w:pPr>
            <w:r>
              <w:rPr>
                <w:b w:val="0"/>
                <w:i w:val="0"/>
                <w:sz w:val="20"/>
              </w:rPr>
              <w:t>Прочие</w:t>
            </w:r>
          </w:p>
        </w:tc>
        <w:tc>
          <w:tcPr>
            <w:tcW w:type="dxa" w:w="2493"/>
          </w:tcPr>
          <w:p>
            <w:pPr>
              <w:spacing w:after="0" w:line="240" w:lineRule="auto"/>
              <w:ind w:firstLine="0"/>
              <w:jc w:val="center"/>
            </w:pPr>
            <w:r>
              <w:rPr>
                <w:b w:val="0"/>
                <w:i w:val="0"/>
                <w:sz w:val="20"/>
              </w:rPr>
              <w:t>различные</w:t>
            </w:r>
          </w:p>
        </w:tc>
        <w:tc>
          <w:tcPr>
            <w:tcW w:type="dxa" w:w="2493"/>
          </w:tcPr>
          <w:p>
            <w:pPr>
              <w:spacing w:after="0" w:line="240" w:lineRule="auto"/>
              <w:ind w:firstLine="0"/>
              <w:jc w:val="center"/>
            </w:pPr>
            <w:r>
              <w:rPr>
                <w:b w:val="0"/>
                <w:i w:val="0"/>
                <w:sz w:val="20"/>
              </w:rPr>
              <w:t>400–600</w:t>
            </w:r>
          </w:p>
        </w:tc>
        <w:tc>
          <w:tcPr>
            <w:tcW w:type="dxa" w:w="2493"/>
          </w:tcPr>
          <w:p>
            <w:pPr>
              <w:spacing w:after="0" w:line="240" w:lineRule="auto"/>
              <w:ind w:firstLine="0"/>
              <w:jc w:val="center"/>
            </w:pPr>
            <w:r>
              <w:rPr>
                <w:b w:val="0"/>
                <w:i w:val="0"/>
                <w:sz w:val="20"/>
              </w:rPr>
              <w:t>различная</w:t>
            </w:r>
          </w:p>
        </w:tc>
      </w:tr>
    </w:tbl>
    <w:p>
      <w:pPr>
        <w:spacing w:after="180"/>
        <w:ind w:firstLine="0"/>
      </w:pPr>
      <w:r>
        <w:rPr>
          <w:i/>
          <w:sz w:val="20"/>
        </w:rPr>
        <w:t>Источник: аналитический центр по данным корпоративных раскрытий, Единой информационной системы в сфере закупок, отраслевой информации</w:t>
      </w:r>
    </w:p>
    <w:p>
      <w:pPr>
        <w:keepNext/>
        <w:spacing w:before="160" w:after="60"/>
        <w:ind w:firstLine="0"/>
        <w:jc w:val="left"/>
      </w:pPr>
      <w:r>
        <w:rPr>
          <w:b/>
          <w:sz w:val="22"/>
        </w:rPr>
        <w:t>Рисунок 76. Распределение потребления РЗМ в РФ по крупнейшим потребителям, т TREO/год</w:t>
      </w:r>
    </w:p>
    <w:p>
      <w:pPr>
        <w:ind w:firstLine="0"/>
        <w:jc w:val="center"/>
      </w:pPr>
      <w:r>
        <w:drawing>
          <wp:inline xmlns:a="http://schemas.openxmlformats.org/drawingml/2006/main" xmlns:pic="http://schemas.openxmlformats.org/drawingml/2006/picture">
            <wp:extent cx="5580000" cy="2749565"/>
            <wp:docPr id="76" name="Picture 76"/>
            <wp:cNvGraphicFramePr>
              <a:graphicFrameLocks noChangeAspect="1"/>
            </wp:cNvGraphicFramePr>
            <a:graphic>
              <a:graphicData uri="http://schemas.openxmlformats.org/drawingml/2006/picture">
                <pic:pic>
                  <pic:nvPicPr>
                    <pic:cNvPr id="0" name="fig76.png"/>
                    <pic:cNvPicPr/>
                  </pic:nvPicPr>
                  <pic:blipFill>
                    <a:blip r:embed="rId86"/>
                    <a:stretch>
                      <a:fillRect/>
                    </a:stretch>
                  </pic:blipFill>
                  <pic:spPr>
                    <a:xfrm>
                      <a:off x="0" y="0"/>
                      <a:ext cx="5580000" cy="2749565"/>
                    </a:xfrm>
                    <a:prstGeom prst="rect"/>
                  </pic:spPr>
                </pic:pic>
              </a:graphicData>
            </a:graphic>
          </wp:inline>
        </w:drawing>
      </w:r>
    </w:p>
    <w:p>
      <w:pPr>
        <w:spacing w:after="180"/>
        <w:ind w:firstLine="0"/>
      </w:pPr>
      <w:r>
        <w:rPr>
          <w:i/>
          <w:sz w:val="20"/>
        </w:rPr>
        <w:t>Источник: аналитический центр (табл. 103)</w:t>
      </w:r>
    </w:p>
    <w:p>
      <w:pPr>
        <w:pStyle w:val="Heading2"/>
      </w:pPr>
      <w:r>
        <w:rPr>
          <w:b w:val="0"/>
          <w:i w:val="0"/>
        </w:rPr>
        <w:t>14.5. Потенциал роста внутреннего спроса</w:t>
      </w:r>
    </w:p>
    <w:p>
      <w:r>
        <w:rPr>
          <w:b w:val="0"/>
          <w:i w:val="0"/>
        </w:rPr>
        <w:t>Ключевой вопрос при оценке перспектив отрасли — существует ли в России платёжеспособный спрос, способный поглотить продукцию создаваемых мощностей. Расчёт показывает, что при реализации заявленных производственных планов (20 тыс. т TREO к 2030 г.) внутренний спрос сможет поглотить не более 20–30% выпуска даже при оптимистических допущениях.</w:t>
      </w:r>
    </w:p>
    <w:p>
      <w:pPr>
        <w:keepNext/>
        <w:spacing w:before="160" w:after="60"/>
        <w:ind w:firstLine="0"/>
        <w:jc w:val="left"/>
      </w:pPr>
      <w:r>
        <w:rPr>
          <w:b/>
          <w:sz w:val="22"/>
        </w:rPr>
        <w:t>Таблица 104. Прогноз внутреннего потребления редкоземельной продукции в РФ до 2035 г., т TREO</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Направление</w:t>
            </w:r>
          </w:p>
        </w:tc>
        <w:tc>
          <w:tcPr>
            <w:tcW w:type="dxa" w:w="1662"/>
            <w:shd w:val="clear" w:fill="DCE6F1"/>
          </w:tcPr>
          <w:p>
            <w:pPr>
              <w:spacing w:after="0" w:line="240" w:lineRule="auto"/>
              <w:ind w:firstLine="0"/>
              <w:jc w:val="center"/>
            </w:pPr>
            <w:r>
              <w:rPr>
                <w:b/>
                <w:i w:val="0"/>
                <w:sz w:val="20"/>
              </w:rPr>
              <w:t>2025</w:t>
            </w:r>
          </w:p>
        </w:tc>
        <w:tc>
          <w:tcPr>
            <w:tcW w:type="dxa" w:w="1662"/>
            <w:shd w:val="clear" w:fill="DCE6F1"/>
          </w:tcPr>
          <w:p>
            <w:pPr>
              <w:spacing w:after="0" w:line="240" w:lineRule="auto"/>
              <w:ind w:firstLine="0"/>
              <w:jc w:val="center"/>
            </w:pPr>
            <w:r>
              <w:rPr>
                <w:b/>
                <w:i w:val="0"/>
                <w:sz w:val="20"/>
              </w:rPr>
              <w:t>2027</w:t>
            </w:r>
          </w:p>
        </w:tc>
        <w:tc>
          <w:tcPr>
            <w:tcW w:type="dxa" w:w="1662"/>
            <w:shd w:val="clear" w:fill="DCE6F1"/>
          </w:tcPr>
          <w:p>
            <w:pPr>
              <w:spacing w:after="0" w:line="240" w:lineRule="auto"/>
              <w:ind w:firstLine="0"/>
              <w:jc w:val="center"/>
            </w:pPr>
            <w:r>
              <w:rPr>
                <w:b/>
                <w:i w:val="0"/>
                <w:sz w:val="20"/>
              </w:rPr>
              <w:t>2030</w:t>
            </w:r>
          </w:p>
        </w:tc>
        <w:tc>
          <w:tcPr>
            <w:tcW w:type="dxa" w:w="1662"/>
            <w:shd w:val="clear" w:fill="DCE6F1"/>
          </w:tcPr>
          <w:p>
            <w:pPr>
              <w:spacing w:after="0" w:line="240" w:lineRule="auto"/>
              <w:ind w:firstLine="0"/>
              <w:jc w:val="center"/>
            </w:pPr>
            <w:r>
              <w:rPr>
                <w:b/>
                <w:i w:val="0"/>
                <w:sz w:val="20"/>
              </w:rPr>
              <w:t>2033</w:t>
            </w:r>
          </w:p>
        </w:tc>
        <w:tc>
          <w:tcPr>
            <w:tcW w:type="dxa" w:w="1662"/>
            <w:shd w:val="clear" w:fill="DCE6F1"/>
          </w:tcPr>
          <w:p>
            <w:pPr>
              <w:spacing w:after="0" w:line="240" w:lineRule="auto"/>
              <w:ind w:firstLine="0"/>
              <w:jc w:val="center"/>
            </w:pPr>
            <w:r>
              <w:rPr>
                <w:b/>
                <w:i w:val="0"/>
                <w:sz w:val="20"/>
              </w:rPr>
              <w:t>2035</w:t>
            </w:r>
          </w:p>
        </w:tc>
      </w:tr>
      <w:tr>
        <w:tc>
          <w:tcPr>
            <w:tcW w:type="dxa" w:w="1662"/>
          </w:tcPr>
          <w:p>
            <w:pPr>
              <w:spacing w:after="0" w:line="240" w:lineRule="auto"/>
              <w:ind w:firstLine="0"/>
              <w:jc w:val="left"/>
            </w:pPr>
            <w:r>
              <w:rPr>
                <w:b w:val="0"/>
                <w:i w:val="0"/>
                <w:sz w:val="20"/>
              </w:rPr>
              <w:t>Магниты (произв. в РФ)</w:t>
            </w:r>
          </w:p>
        </w:tc>
        <w:tc>
          <w:tcPr>
            <w:tcW w:type="dxa" w:w="1662"/>
          </w:tcPr>
          <w:p>
            <w:pPr>
              <w:spacing w:after="0" w:line="240" w:lineRule="auto"/>
              <w:ind w:firstLine="0"/>
              <w:jc w:val="center"/>
            </w:pPr>
            <w:r>
              <w:rPr>
                <w:b w:val="0"/>
                <w:i w:val="0"/>
                <w:sz w:val="20"/>
              </w:rPr>
              <w:t>60</w:t>
            </w:r>
          </w:p>
        </w:tc>
        <w:tc>
          <w:tcPr>
            <w:tcW w:type="dxa" w:w="1662"/>
          </w:tcPr>
          <w:p>
            <w:pPr>
              <w:spacing w:after="0" w:line="240" w:lineRule="auto"/>
              <w:ind w:firstLine="0"/>
              <w:jc w:val="center"/>
            </w:pPr>
            <w:r>
              <w:rPr>
                <w:b w:val="0"/>
                <w:i w:val="0"/>
                <w:sz w:val="20"/>
              </w:rPr>
              <w:t>620</w:t>
            </w:r>
          </w:p>
        </w:tc>
        <w:tc>
          <w:tcPr>
            <w:tcW w:type="dxa" w:w="1662"/>
          </w:tcPr>
          <w:p>
            <w:pPr>
              <w:spacing w:after="0" w:line="240" w:lineRule="auto"/>
              <w:ind w:firstLine="0"/>
              <w:jc w:val="center"/>
            </w:pPr>
            <w:r>
              <w:rPr>
                <w:b w:val="0"/>
                <w:i w:val="0"/>
                <w:sz w:val="20"/>
              </w:rPr>
              <w:t>1 550</w:t>
            </w:r>
          </w:p>
        </w:tc>
        <w:tc>
          <w:tcPr>
            <w:tcW w:type="dxa" w:w="1662"/>
          </w:tcPr>
          <w:p>
            <w:pPr>
              <w:spacing w:after="0" w:line="240" w:lineRule="auto"/>
              <w:ind w:firstLine="0"/>
              <w:jc w:val="center"/>
            </w:pPr>
            <w:r>
              <w:rPr>
                <w:b w:val="0"/>
                <w:i w:val="0"/>
                <w:sz w:val="20"/>
              </w:rPr>
              <w:t>2 800</w:t>
            </w:r>
          </w:p>
        </w:tc>
        <w:tc>
          <w:tcPr>
            <w:tcW w:type="dxa" w:w="1662"/>
          </w:tcPr>
          <w:p>
            <w:pPr>
              <w:spacing w:after="0" w:line="240" w:lineRule="auto"/>
              <w:ind w:firstLine="0"/>
              <w:jc w:val="center"/>
            </w:pPr>
            <w:r>
              <w:rPr>
                <w:b w:val="0"/>
                <w:i w:val="0"/>
                <w:sz w:val="20"/>
              </w:rPr>
              <w:t>3 400</w:t>
            </w:r>
          </w:p>
        </w:tc>
      </w:tr>
      <w:tr>
        <w:tc>
          <w:tcPr>
            <w:tcW w:type="dxa" w:w="1662"/>
          </w:tcPr>
          <w:p>
            <w:pPr>
              <w:spacing w:after="0" w:line="240" w:lineRule="auto"/>
              <w:ind w:firstLine="0"/>
              <w:jc w:val="left"/>
            </w:pPr>
            <w:r>
              <w:rPr>
                <w:b w:val="0"/>
                <w:i w:val="0"/>
                <w:sz w:val="20"/>
              </w:rPr>
              <w:t>Магниты (импорт)</w:t>
            </w:r>
          </w:p>
        </w:tc>
        <w:tc>
          <w:tcPr>
            <w:tcW w:type="dxa" w:w="1662"/>
          </w:tcPr>
          <w:p>
            <w:pPr>
              <w:spacing w:after="0" w:line="240" w:lineRule="auto"/>
              <w:ind w:firstLine="0"/>
              <w:jc w:val="center"/>
            </w:pPr>
            <w:r>
              <w:rPr>
                <w:b w:val="0"/>
                <w:i w:val="0"/>
                <w:sz w:val="20"/>
              </w:rPr>
              <w:t>1 600</w:t>
            </w:r>
          </w:p>
        </w:tc>
        <w:tc>
          <w:tcPr>
            <w:tcW w:type="dxa" w:w="1662"/>
          </w:tcPr>
          <w:p>
            <w:pPr>
              <w:spacing w:after="0" w:line="240" w:lineRule="auto"/>
              <w:ind w:firstLine="0"/>
              <w:jc w:val="center"/>
            </w:pPr>
            <w:r>
              <w:rPr>
                <w:b w:val="0"/>
                <w:i w:val="0"/>
                <w:sz w:val="20"/>
              </w:rPr>
              <w:t>1 700</w:t>
            </w:r>
          </w:p>
        </w:tc>
        <w:tc>
          <w:tcPr>
            <w:tcW w:type="dxa" w:w="1662"/>
          </w:tcPr>
          <w:p>
            <w:pPr>
              <w:spacing w:after="0" w:line="240" w:lineRule="auto"/>
              <w:ind w:firstLine="0"/>
              <w:jc w:val="center"/>
            </w:pPr>
            <w:r>
              <w:rPr>
                <w:b w:val="0"/>
                <w:i w:val="0"/>
                <w:sz w:val="20"/>
              </w:rPr>
              <w:t>1 200</w:t>
            </w:r>
          </w:p>
        </w:tc>
        <w:tc>
          <w:tcPr>
            <w:tcW w:type="dxa" w:w="1662"/>
          </w:tcPr>
          <w:p>
            <w:pPr>
              <w:spacing w:after="0" w:line="240" w:lineRule="auto"/>
              <w:ind w:firstLine="0"/>
              <w:jc w:val="center"/>
            </w:pPr>
            <w:r>
              <w:rPr>
                <w:b w:val="0"/>
                <w:i w:val="0"/>
                <w:sz w:val="20"/>
              </w:rPr>
              <w:t>700</w:t>
            </w:r>
          </w:p>
        </w:tc>
        <w:tc>
          <w:tcPr>
            <w:tcW w:type="dxa" w:w="1662"/>
          </w:tcPr>
          <w:p>
            <w:pPr>
              <w:spacing w:after="0" w:line="240" w:lineRule="auto"/>
              <w:ind w:firstLine="0"/>
              <w:jc w:val="center"/>
            </w:pPr>
            <w:r>
              <w:rPr>
                <w:b w:val="0"/>
                <w:i w:val="0"/>
                <w:sz w:val="20"/>
              </w:rPr>
              <w:t>500</w:t>
            </w:r>
          </w:p>
        </w:tc>
      </w:tr>
      <w:tr>
        <w:tc>
          <w:tcPr>
            <w:tcW w:type="dxa" w:w="1662"/>
          </w:tcPr>
          <w:p>
            <w:pPr>
              <w:spacing w:after="0" w:line="240" w:lineRule="auto"/>
              <w:ind w:firstLine="0"/>
              <w:jc w:val="left"/>
            </w:pPr>
            <w:r>
              <w:rPr>
                <w:b w:val="0"/>
                <w:i w:val="0"/>
                <w:sz w:val="20"/>
              </w:rPr>
              <w:t>Стекло и оптика</w:t>
            </w:r>
          </w:p>
        </w:tc>
        <w:tc>
          <w:tcPr>
            <w:tcW w:type="dxa" w:w="1662"/>
          </w:tcPr>
          <w:p>
            <w:pPr>
              <w:spacing w:after="0" w:line="240" w:lineRule="auto"/>
              <w:ind w:firstLine="0"/>
              <w:jc w:val="center"/>
            </w:pPr>
            <w:r>
              <w:rPr>
                <w:b w:val="0"/>
                <w:i w:val="0"/>
                <w:sz w:val="20"/>
              </w:rPr>
              <w:t>420</w:t>
            </w:r>
          </w:p>
        </w:tc>
        <w:tc>
          <w:tcPr>
            <w:tcW w:type="dxa" w:w="1662"/>
          </w:tcPr>
          <w:p>
            <w:pPr>
              <w:spacing w:after="0" w:line="240" w:lineRule="auto"/>
              <w:ind w:firstLine="0"/>
              <w:jc w:val="center"/>
            </w:pPr>
            <w:r>
              <w:rPr>
                <w:b w:val="0"/>
                <w:i w:val="0"/>
                <w:sz w:val="20"/>
              </w:rPr>
              <w:t>460</w:t>
            </w:r>
          </w:p>
        </w:tc>
        <w:tc>
          <w:tcPr>
            <w:tcW w:type="dxa" w:w="1662"/>
          </w:tcPr>
          <w:p>
            <w:pPr>
              <w:spacing w:after="0" w:line="240" w:lineRule="auto"/>
              <w:ind w:firstLine="0"/>
              <w:jc w:val="center"/>
            </w:pPr>
            <w:r>
              <w:rPr>
                <w:b w:val="0"/>
                <w:i w:val="0"/>
                <w:sz w:val="20"/>
              </w:rPr>
              <w:t>520</w:t>
            </w:r>
          </w:p>
        </w:tc>
        <w:tc>
          <w:tcPr>
            <w:tcW w:type="dxa" w:w="1662"/>
          </w:tcPr>
          <w:p>
            <w:pPr>
              <w:spacing w:after="0" w:line="240" w:lineRule="auto"/>
              <w:ind w:firstLine="0"/>
              <w:jc w:val="center"/>
            </w:pPr>
            <w:r>
              <w:rPr>
                <w:b w:val="0"/>
                <w:i w:val="0"/>
                <w:sz w:val="20"/>
              </w:rPr>
              <w:t>580</w:t>
            </w:r>
          </w:p>
        </w:tc>
        <w:tc>
          <w:tcPr>
            <w:tcW w:type="dxa" w:w="1662"/>
          </w:tcPr>
          <w:p>
            <w:pPr>
              <w:spacing w:after="0" w:line="240" w:lineRule="auto"/>
              <w:ind w:firstLine="0"/>
              <w:jc w:val="center"/>
            </w:pPr>
            <w:r>
              <w:rPr>
                <w:b w:val="0"/>
                <w:i w:val="0"/>
                <w:sz w:val="20"/>
              </w:rPr>
              <w:t>620</w:t>
            </w:r>
          </w:p>
        </w:tc>
      </w:tr>
      <w:tr>
        <w:tc>
          <w:tcPr>
            <w:tcW w:type="dxa" w:w="1662"/>
          </w:tcPr>
          <w:p>
            <w:pPr>
              <w:spacing w:after="0" w:line="240" w:lineRule="auto"/>
              <w:ind w:firstLine="0"/>
              <w:jc w:val="left"/>
            </w:pPr>
            <w:r>
              <w:rPr>
                <w:b w:val="0"/>
                <w:i w:val="0"/>
                <w:sz w:val="20"/>
              </w:rPr>
              <w:t>Металлургия и сплавы</w:t>
            </w:r>
          </w:p>
        </w:tc>
        <w:tc>
          <w:tcPr>
            <w:tcW w:type="dxa" w:w="1662"/>
          </w:tcPr>
          <w:p>
            <w:pPr>
              <w:spacing w:after="0" w:line="240" w:lineRule="auto"/>
              <w:ind w:firstLine="0"/>
              <w:jc w:val="center"/>
            </w:pPr>
            <w:r>
              <w:rPr>
                <w:b w:val="0"/>
                <w:i w:val="0"/>
                <w:sz w:val="20"/>
              </w:rPr>
              <w:t>300</w:t>
            </w:r>
          </w:p>
        </w:tc>
        <w:tc>
          <w:tcPr>
            <w:tcW w:type="dxa" w:w="1662"/>
          </w:tcPr>
          <w:p>
            <w:pPr>
              <w:spacing w:after="0" w:line="240" w:lineRule="auto"/>
              <w:ind w:firstLine="0"/>
              <w:jc w:val="center"/>
            </w:pPr>
            <w:r>
              <w:rPr>
                <w:b w:val="0"/>
                <w:i w:val="0"/>
                <w:sz w:val="20"/>
              </w:rPr>
              <w:t>360</w:t>
            </w:r>
          </w:p>
        </w:tc>
        <w:tc>
          <w:tcPr>
            <w:tcW w:type="dxa" w:w="1662"/>
          </w:tcPr>
          <w:p>
            <w:pPr>
              <w:spacing w:after="0" w:line="240" w:lineRule="auto"/>
              <w:ind w:firstLine="0"/>
              <w:jc w:val="center"/>
            </w:pPr>
            <w:r>
              <w:rPr>
                <w:b w:val="0"/>
                <w:i w:val="0"/>
                <w:sz w:val="20"/>
              </w:rPr>
              <w:t>460</w:t>
            </w:r>
          </w:p>
        </w:tc>
        <w:tc>
          <w:tcPr>
            <w:tcW w:type="dxa" w:w="1662"/>
          </w:tcPr>
          <w:p>
            <w:pPr>
              <w:spacing w:after="0" w:line="240" w:lineRule="auto"/>
              <w:ind w:firstLine="0"/>
              <w:jc w:val="center"/>
            </w:pPr>
            <w:r>
              <w:rPr>
                <w:b w:val="0"/>
                <w:i w:val="0"/>
                <w:sz w:val="20"/>
              </w:rPr>
              <w:t>570</w:t>
            </w:r>
          </w:p>
        </w:tc>
        <w:tc>
          <w:tcPr>
            <w:tcW w:type="dxa" w:w="1662"/>
          </w:tcPr>
          <w:p>
            <w:pPr>
              <w:spacing w:after="0" w:line="240" w:lineRule="auto"/>
              <w:ind w:firstLine="0"/>
              <w:jc w:val="center"/>
            </w:pPr>
            <w:r>
              <w:rPr>
                <w:b w:val="0"/>
                <w:i w:val="0"/>
                <w:sz w:val="20"/>
              </w:rPr>
              <w:t>650</w:t>
            </w:r>
          </w:p>
        </w:tc>
      </w:tr>
      <w:tr>
        <w:tc>
          <w:tcPr>
            <w:tcW w:type="dxa" w:w="1662"/>
          </w:tcPr>
          <w:p>
            <w:pPr>
              <w:spacing w:after="0" w:line="240" w:lineRule="auto"/>
              <w:ind w:firstLine="0"/>
              <w:jc w:val="left"/>
            </w:pPr>
            <w:r>
              <w:rPr>
                <w:b w:val="0"/>
                <w:i w:val="0"/>
                <w:sz w:val="20"/>
              </w:rPr>
              <w:t>Катализаторы</w:t>
            </w:r>
          </w:p>
        </w:tc>
        <w:tc>
          <w:tcPr>
            <w:tcW w:type="dxa" w:w="1662"/>
          </w:tcPr>
          <w:p>
            <w:pPr>
              <w:spacing w:after="0" w:line="240" w:lineRule="auto"/>
              <w:ind w:firstLine="0"/>
              <w:jc w:val="center"/>
            </w:pPr>
            <w:r>
              <w:rPr>
                <w:b w:val="0"/>
                <w:i w:val="0"/>
                <w:sz w:val="20"/>
              </w:rPr>
              <w:t>305</w:t>
            </w:r>
          </w:p>
        </w:tc>
        <w:tc>
          <w:tcPr>
            <w:tcW w:type="dxa" w:w="1662"/>
          </w:tcPr>
          <w:p>
            <w:pPr>
              <w:spacing w:after="0" w:line="240" w:lineRule="auto"/>
              <w:ind w:firstLine="0"/>
              <w:jc w:val="center"/>
            </w:pPr>
            <w:r>
              <w:rPr>
                <w:b w:val="0"/>
                <w:i w:val="0"/>
                <w:sz w:val="20"/>
              </w:rPr>
              <w:t>320</w:t>
            </w:r>
          </w:p>
        </w:tc>
        <w:tc>
          <w:tcPr>
            <w:tcW w:type="dxa" w:w="1662"/>
          </w:tcPr>
          <w:p>
            <w:pPr>
              <w:spacing w:after="0" w:line="240" w:lineRule="auto"/>
              <w:ind w:firstLine="0"/>
              <w:jc w:val="center"/>
            </w:pPr>
            <w:r>
              <w:rPr>
                <w:b w:val="0"/>
                <w:i w:val="0"/>
                <w:sz w:val="20"/>
              </w:rPr>
              <w:t>340</w:t>
            </w:r>
          </w:p>
        </w:tc>
        <w:tc>
          <w:tcPr>
            <w:tcW w:type="dxa" w:w="1662"/>
          </w:tcPr>
          <w:p>
            <w:pPr>
              <w:spacing w:after="0" w:line="240" w:lineRule="auto"/>
              <w:ind w:firstLine="0"/>
              <w:jc w:val="center"/>
            </w:pPr>
            <w:r>
              <w:rPr>
                <w:b w:val="0"/>
                <w:i w:val="0"/>
                <w:sz w:val="20"/>
              </w:rPr>
              <w:t>350</w:t>
            </w:r>
          </w:p>
        </w:tc>
        <w:tc>
          <w:tcPr>
            <w:tcW w:type="dxa" w:w="1662"/>
          </w:tcPr>
          <w:p>
            <w:pPr>
              <w:spacing w:after="0" w:line="240" w:lineRule="auto"/>
              <w:ind w:firstLine="0"/>
              <w:jc w:val="center"/>
            </w:pPr>
            <w:r>
              <w:rPr>
                <w:b w:val="0"/>
                <w:i w:val="0"/>
                <w:sz w:val="20"/>
              </w:rPr>
              <w:t>360</w:t>
            </w:r>
          </w:p>
        </w:tc>
      </w:tr>
      <w:tr>
        <w:tc>
          <w:tcPr>
            <w:tcW w:type="dxa" w:w="1662"/>
          </w:tcPr>
          <w:p>
            <w:pPr>
              <w:spacing w:after="0" w:line="240" w:lineRule="auto"/>
              <w:ind w:firstLine="0"/>
              <w:jc w:val="left"/>
            </w:pPr>
            <w:r>
              <w:rPr>
                <w:b w:val="0"/>
                <w:i w:val="0"/>
                <w:sz w:val="20"/>
              </w:rPr>
              <w:t>Атомная промышленность</w:t>
            </w:r>
          </w:p>
        </w:tc>
        <w:tc>
          <w:tcPr>
            <w:tcW w:type="dxa" w:w="1662"/>
          </w:tcPr>
          <w:p>
            <w:pPr>
              <w:spacing w:after="0" w:line="240" w:lineRule="auto"/>
              <w:ind w:firstLine="0"/>
              <w:jc w:val="center"/>
            </w:pPr>
            <w:r>
              <w:rPr>
                <w:b w:val="0"/>
                <w:i w:val="0"/>
                <w:sz w:val="20"/>
              </w:rPr>
              <w:t>115</w:t>
            </w:r>
          </w:p>
        </w:tc>
        <w:tc>
          <w:tcPr>
            <w:tcW w:type="dxa" w:w="1662"/>
          </w:tcPr>
          <w:p>
            <w:pPr>
              <w:spacing w:after="0" w:line="240" w:lineRule="auto"/>
              <w:ind w:firstLine="0"/>
              <w:jc w:val="center"/>
            </w:pPr>
            <w:r>
              <w:rPr>
                <w:b w:val="0"/>
                <w:i w:val="0"/>
                <w:sz w:val="20"/>
              </w:rPr>
              <w:t>130</w:t>
            </w:r>
          </w:p>
        </w:tc>
        <w:tc>
          <w:tcPr>
            <w:tcW w:type="dxa" w:w="1662"/>
          </w:tcPr>
          <w:p>
            <w:pPr>
              <w:spacing w:after="0" w:line="240" w:lineRule="auto"/>
              <w:ind w:firstLine="0"/>
              <w:jc w:val="center"/>
            </w:pPr>
            <w:r>
              <w:rPr>
                <w:b w:val="0"/>
                <w:i w:val="0"/>
                <w:sz w:val="20"/>
              </w:rPr>
              <w:t>155</w:t>
            </w:r>
          </w:p>
        </w:tc>
        <w:tc>
          <w:tcPr>
            <w:tcW w:type="dxa" w:w="1662"/>
          </w:tcPr>
          <w:p>
            <w:pPr>
              <w:spacing w:after="0" w:line="240" w:lineRule="auto"/>
              <w:ind w:firstLine="0"/>
              <w:jc w:val="center"/>
            </w:pPr>
            <w:r>
              <w:rPr>
                <w:b w:val="0"/>
                <w:i w:val="0"/>
                <w:sz w:val="20"/>
              </w:rPr>
              <w:t>180</w:t>
            </w:r>
          </w:p>
        </w:tc>
        <w:tc>
          <w:tcPr>
            <w:tcW w:type="dxa" w:w="1662"/>
          </w:tcPr>
          <w:p>
            <w:pPr>
              <w:spacing w:after="0" w:line="240" w:lineRule="auto"/>
              <w:ind w:firstLine="0"/>
              <w:jc w:val="center"/>
            </w:pPr>
            <w:r>
              <w:rPr>
                <w:b w:val="0"/>
                <w:i w:val="0"/>
                <w:sz w:val="20"/>
              </w:rPr>
              <w:t>200</w:t>
            </w:r>
          </w:p>
        </w:tc>
      </w:tr>
      <w:tr>
        <w:tc>
          <w:tcPr>
            <w:tcW w:type="dxa" w:w="1662"/>
          </w:tcPr>
          <w:p>
            <w:pPr>
              <w:spacing w:after="0" w:line="240" w:lineRule="auto"/>
              <w:ind w:firstLine="0"/>
              <w:jc w:val="left"/>
            </w:pPr>
            <w:r>
              <w:rPr>
                <w:b w:val="0"/>
                <w:i w:val="0"/>
                <w:sz w:val="20"/>
              </w:rPr>
              <w:t>Керамика</w:t>
            </w:r>
          </w:p>
        </w:tc>
        <w:tc>
          <w:tcPr>
            <w:tcW w:type="dxa" w:w="1662"/>
          </w:tcPr>
          <w:p>
            <w:pPr>
              <w:spacing w:after="0" w:line="240" w:lineRule="auto"/>
              <w:ind w:firstLine="0"/>
              <w:jc w:val="center"/>
            </w:pPr>
            <w:r>
              <w:rPr>
                <w:b w:val="0"/>
                <w:i w:val="0"/>
                <w:sz w:val="20"/>
              </w:rPr>
              <w:t>155</w:t>
            </w:r>
          </w:p>
        </w:tc>
        <w:tc>
          <w:tcPr>
            <w:tcW w:type="dxa" w:w="1662"/>
          </w:tcPr>
          <w:p>
            <w:pPr>
              <w:spacing w:after="0" w:line="240" w:lineRule="auto"/>
              <w:ind w:firstLine="0"/>
              <w:jc w:val="center"/>
            </w:pPr>
            <w:r>
              <w:rPr>
                <w:b w:val="0"/>
                <w:i w:val="0"/>
                <w:sz w:val="20"/>
              </w:rPr>
              <w:t>180</w:t>
            </w:r>
          </w:p>
        </w:tc>
        <w:tc>
          <w:tcPr>
            <w:tcW w:type="dxa" w:w="1662"/>
          </w:tcPr>
          <w:p>
            <w:pPr>
              <w:spacing w:after="0" w:line="240" w:lineRule="auto"/>
              <w:ind w:firstLine="0"/>
              <w:jc w:val="center"/>
            </w:pPr>
            <w:r>
              <w:rPr>
                <w:b w:val="0"/>
                <w:i w:val="0"/>
                <w:sz w:val="20"/>
              </w:rPr>
              <w:t>220</w:t>
            </w:r>
          </w:p>
        </w:tc>
        <w:tc>
          <w:tcPr>
            <w:tcW w:type="dxa" w:w="1662"/>
          </w:tcPr>
          <w:p>
            <w:pPr>
              <w:spacing w:after="0" w:line="240" w:lineRule="auto"/>
              <w:ind w:firstLine="0"/>
              <w:jc w:val="center"/>
            </w:pPr>
            <w:r>
              <w:rPr>
                <w:b w:val="0"/>
                <w:i w:val="0"/>
                <w:sz w:val="20"/>
              </w:rPr>
              <w:t>265</w:t>
            </w:r>
          </w:p>
        </w:tc>
        <w:tc>
          <w:tcPr>
            <w:tcW w:type="dxa" w:w="1662"/>
          </w:tcPr>
          <w:p>
            <w:pPr>
              <w:spacing w:after="0" w:line="240" w:lineRule="auto"/>
              <w:ind w:firstLine="0"/>
              <w:jc w:val="center"/>
            </w:pPr>
            <w:r>
              <w:rPr>
                <w:b w:val="0"/>
                <w:i w:val="0"/>
                <w:sz w:val="20"/>
              </w:rPr>
              <w:t>300</w:t>
            </w:r>
          </w:p>
        </w:tc>
      </w:tr>
      <w:tr>
        <w:tc>
          <w:tcPr>
            <w:tcW w:type="dxa" w:w="1662"/>
          </w:tcPr>
          <w:p>
            <w:pPr>
              <w:spacing w:after="0" w:line="240" w:lineRule="auto"/>
              <w:ind w:firstLine="0"/>
              <w:jc w:val="left"/>
            </w:pPr>
            <w:r>
              <w:rPr>
                <w:b w:val="0"/>
                <w:i w:val="0"/>
                <w:sz w:val="20"/>
              </w:rPr>
              <w:t>Прочие</w:t>
            </w:r>
          </w:p>
        </w:tc>
        <w:tc>
          <w:tcPr>
            <w:tcW w:type="dxa" w:w="1662"/>
          </w:tcPr>
          <w:p>
            <w:pPr>
              <w:spacing w:after="0" w:line="240" w:lineRule="auto"/>
              <w:ind w:firstLine="0"/>
              <w:jc w:val="center"/>
            </w:pPr>
            <w:r>
              <w:rPr>
                <w:b w:val="0"/>
                <w:i w:val="0"/>
                <w:sz w:val="20"/>
              </w:rPr>
              <w:t>125</w:t>
            </w:r>
          </w:p>
        </w:tc>
        <w:tc>
          <w:tcPr>
            <w:tcW w:type="dxa" w:w="1662"/>
          </w:tcPr>
          <w:p>
            <w:pPr>
              <w:spacing w:after="0" w:line="240" w:lineRule="auto"/>
              <w:ind w:firstLine="0"/>
              <w:jc w:val="center"/>
            </w:pPr>
            <w:r>
              <w:rPr>
                <w:b w:val="0"/>
                <w:i w:val="0"/>
                <w:sz w:val="20"/>
              </w:rPr>
              <w:t>150</w:t>
            </w:r>
          </w:p>
        </w:tc>
        <w:tc>
          <w:tcPr>
            <w:tcW w:type="dxa" w:w="1662"/>
          </w:tcPr>
          <w:p>
            <w:pPr>
              <w:spacing w:after="0" w:line="240" w:lineRule="auto"/>
              <w:ind w:firstLine="0"/>
              <w:jc w:val="center"/>
            </w:pPr>
            <w:r>
              <w:rPr>
                <w:b w:val="0"/>
                <w:i w:val="0"/>
                <w:sz w:val="20"/>
              </w:rPr>
              <w:t>195</w:t>
            </w:r>
          </w:p>
        </w:tc>
        <w:tc>
          <w:tcPr>
            <w:tcW w:type="dxa" w:w="1662"/>
          </w:tcPr>
          <w:p>
            <w:pPr>
              <w:spacing w:after="0" w:line="240" w:lineRule="auto"/>
              <w:ind w:firstLine="0"/>
              <w:jc w:val="center"/>
            </w:pPr>
            <w:r>
              <w:rPr>
                <w:b w:val="0"/>
                <w:i w:val="0"/>
                <w:sz w:val="20"/>
              </w:rPr>
              <w:t>245</w:t>
            </w:r>
          </w:p>
        </w:tc>
        <w:tc>
          <w:tcPr>
            <w:tcW w:type="dxa" w:w="1662"/>
          </w:tcPr>
          <w:p>
            <w:pPr>
              <w:spacing w:after="0" w:line="240" w:lineRule="auto"/>
              <w:ind w:firstLine="0"/>
              <w:jc w:val="center"/>
            </w:pPr>
            <w:r>
              <w:rPr>
                <w:b w:val="0"/>
                <w:i w:val="0"/>
                <w:sz w:val="20"/>
              </w:rPr>
              <w:t>285</w:t>
            </w:r>
          </w:p>
        </w:tc>
      </w:tr>
      <w:tr>
        <w:tc>
          <w:tcPr>
            <w:tcW w:type="dxa" w:w="1662"/>
          </w:tcPr>
          <w:p>
            <w:pPr>
              <w:spacing w:after="0" w:line="240" w:lineRule="auto"/>
              <w:ind w:firstLine="0"/>
              <w:jc w:val="left"/>
            </w:pPr>
            <w:r>
              <w:rPr>
                <w:b/>
                <w:i w:val="0"/>
                <w:sz w:val="20"/>
              </w:rPr>
              <w:t>Всего</w:t>
            </w:r>
          </w:p>
        </w:tc>
        <w:tc>
          <w:tcPr>
            <w:tcW w:type="dxa" w:w="1662"/>
          </w:tcPr>
          <w:p>
            <w:pPr>
              <w:spacing w:after="0" w:line="240" w:lineRule="auto"/>
              <w:ind w:firstLine="0"/>
              <w:jc w:val="center"/>
            </w:pPr>
            <w:r>
              <w:rPr>
                <w:b/>
                <w:i w:val="0"/>
                <w:sz w:val="20"/>
              </w:rPr>
              <w:t>3 080</w:t>
            </w:r>
          </w:p>
        </w:tc>
        <w:tc>
          <w:tcPr>
            <w:tcW w:type="dxa" w:w="1662"/>
          </w:tcPr>
          <w:p>
            <w:pPr>
              <w:spacing w:after="0" w:line="240" w:lineRule="auto"/>
              <w:ind w:firstLine="0"/>
              <w:jc w:val="center"/>
            </w:pPr>
            <w:r>
              <w:rPr>
                <w:b/>
                <w:i w:val="0"/>
                <w:sz w:val="20"/>
              </w:rPr>
              <w:t>3 920</w:t>
            </w:r>
          </w:p>
        </w:tc>
        <w:tc>
          <w:tcPr>
            <w:tcW w:type="dxa" w:w="1662"/>
          </w:tcPr>
          <w:p>
            <w:pPr>
              <w:spacing w:after="0" w:line="240" w:lineRule="auto"/>
              <w:ind w:firstLine="0"/>
              <w:jc w:val="center"/>
            </w:pPr>
            <w:r>
              <w:rPr>
                <w:b/>
                <w:i w:val="0"/>
                <w:sz w:val="20"/>
              </w:rPr>
              <w:t>4 640</w:t>
            </w:r>
          </w:p>
        </w:tc>
        <w:tc>
          <w:tcPr>
            <w:tcW w:type="dxa" w:w="1662"/>
          </w:tcPr>
          <w:p>
            <w:pPr>
              <w:spacing w:after="0" w:line="240" w:lineRule="auto"/>
              <w:ind w:firstLine="0"/>
              <w:jc w:val="center"/>
            </w:pPr>
            <w:r>
              <w:rPr>
                <w:b/>
                <w:i w:val="0"/>
                <w:sz w:val="20"/>
              </w:rPr>
              <w:t>5 690</w:t>
            </w:r>
          </w:p>
        </w:tc>
        <w:tc>
          <w:tcPr>
            <w:tcW w:type="dxa" w:w="1662"/>
          </w:tcPr>
          <w:p>
            <w:pPr>
              <w:spacing w:after="0" w:line="240" w:lineRule="auto"/>
              <w:ind w:firstLine="0"/>
              <w:jc w:val="center"/>
            </w:pPr>
            <w:r>
              <w:rPr>
                <w:b/>
                <w:i w:val="0"/>
                <w:sz w:val="20"/>
              </w:rPr>
              <w:t>6 315</w:t>
            </w:r>
          </w:p>
        </w:tc>
      </w:tr>
      <w:tr>
        <w:tc>
          <w:tcPr>
            <w:tcW w:type="dxa" w:w="1662"/>
          </w:tcPr>
          <w:p>
            <w:pPr>
              <w:spacing w:after="0" w:line="240" w:lineRule="auto"/>
              <w:ind w:firstLine="0"/>
              <w:jc w:val="left"/>
            </w:pPr>
            <w:r>
              <w:rPr>
                <w:b w:val="0"/>
                <w:i w:val="0"/>
                <w:sz w:val="20"/>
              </w:rPr>
              <w:t>в т. ч. обеспечено произв. в РФ</w:t>
            </w:r>
          </w:p>
        </w:tc>
        <w:tc>
          <w:tcPr>
            <w:tcW w:type="dxa" w:w="1662"/>
          </w:tcPr>
          <w:p>
            <w:pPr>
              <w:spacing w:after="0" w:line="240" w:lineRule="auto"/>
              <w:ind w:firstLine="0"/>
              <w:jc w:val="center"/>
            </w:pPr>
            <w:r>
              <w:rPr>
                <w:b w:val="0"/>
                <w:i w:val="0"/>
                <w:sz w:val="20"/>
              </w:rPr>
              <w:t>421</w:t>
            </w:r>
          </w:p>
        </w:tc>
        <w:tc>
          <w:tcPr>
            <w:tcW w:type="dxa" w:w="1662"/>
          </w:tcPr>
          <w:p>
            <w:pPr>
              <w:spacing w:after="0" w:line="240" w:lineRule="auto"/>
              <w:ind w:firstLine="0"/>
              <w:jc w:val="center"/>
            </w:pPr>
            <w:r>
              <w:rPr>
                <w:b w:val="0"/>
                <w:i w:val="0"/>
                <w:sz w:val="20"/>
              </w:rPr>
              <w:t>1 450</w:t>
            </w:r>
          </w:p>
        </w:tc>
        <w:tc>
          <w:tcPr>
            <w:tcW w:type="dxa" w:w="1662"/>
          </w:tcPr>
          <w:p>
            <w:pPr>
              <w:spacing w:after="0" w:line="240" w:lineRule="auto"/>
              <w:ind w:firstLine="0"/>
              <w:jc w:val="center"/>
            </w:pPr>
            <w:r>
              <w:rPr>
                <w:b w:val="0"/>
                <w:i w:val="0"/>
                <w:sz w:val="20"/>
              </w:rPr>
              <w:t>3 200</w:t>
            </w:r>
          </w:p>
        </w:tc>
        <w:tc>
          <w:tcPr>
            <w:tcW w:type="dxa" w:w="1662"/>
          </w:tcPr>
          <w:p>
            <w:pPr>
              <w:spacing w:after="0" w:line="240" w:lineRule="auto"/>
              <w:ind w:firstLine="0"/>
              <w:jc w:val="center"/>
            </w:pPr>
            <w:r>
              <w:rPr>
                <w:b w:val="0"/>
                <w:i w:val="0"/>
                <w:sz w:val="20"/>
              </w:rPr>
              <w:t>4 800</w:t>
            </w:r>
          </w:p>
        </w:tc>
        <w:tc>
          <w:tcPr>
            <w:tcW w:type="dxa" w:w="1662"/>
          </w:tcPr>
          <w:p>
            <w:pPr>
              <w:spacing w:after="0" w:line="240" w:lineRule="auto"/>
              <w:ind w:firstLine="0"/>
              <w:jc w:val="center"/>
            </w:pPr>
            <w:r>
              <w:rPr>
                <w:b w:val="0"/>
                <w:i w:val="0"/>
                <w:sz w:val="20"/>
              </w:rPr>
              <w:t>5 600</w:t>
            </w:r>
          </w:p>
        </w:tc>
      </w:tr>
    </w:tbl>
    <w:p>
      <w:pPr>
        <w:spacing w:after="180"/>
        <w:ind w:firstLine="0"/>
      </w:pPr>
      <w:r>
        <w:rPr>
          <w:i/>
          <w:sz w:val="20"/>
        </w:rPr>
        <w:t>Источник: прогноз аналитического центра (базовый сценарий)</w:t>
      </w:r>
    </w:p>
    <w:p>
      <w:pPr>
        <w:keepNext/>
        <w:spacing w:before="160" w:after="60"/>
        <w:ind w:firstLine="0"/>
        <w:jc w:val="left"/>
      </w:pPr>
      <w:r>
        <w:rPr>
          <w:b/>
          <w:sz w:val="22"/>
        </w:rPr>
        <w:t>Рисунок 77. Прогноз внутреннего потребления РЗМ в РФ и возможностей его обеспечения, 2025–2035 гг., т TREO</w:t>
      </w:r>
    </w:p>
    <w:p>
      <w:pPr>
        <w:ind w:firstLine="0"/>
        <w:jc w:val="center"/>
      </w:pPr>
      <w:r>
        <w:drawing>
          <wp:inline xmlns:a="http://schemas.openxmlformats.org/drawingml/2006/main" xmlns:pic="http://schemas.openxmlformats.org/drawingml/2006/picture">
            <wp:extent cx="5580000" cy="2733391"/>
            <wp:docPr id="77" name="Picture 77"/>
            <wp:cNvGraphicFramePr>
              <a:graphicFrameLocks noChangeAspect="1"/>
            </wp:cNvGraphicFramePr>
            <a:graphic>
              <a:graphicData uri="http://schemas.openxmlformats.org/drawingml/2006/picture">
                <pic:pic>
                  <pic:nvPicPr>
                    <pic:cNvPr id="0" name="fig77.png"/>
                    <pic:cNvPicPr/>
                  </pic:nvPicPr>
                  <pic:blipFill>
                    <a:blip r:embed="rId87"/>
                    <a:stretch>
                      <a:fillRect/>
                    </a:stretch>
                  </pic:blipFill>
                  <pic:spPr>
                    <a:xfrm>
                      <a:off x="0" y="0"/>
                      <a:ext cx="5580000" cy="2733391"/>
                    </a:xfrm>
                    <a:prstGeom prst="rect"/>
                  </pic:spPr>
                </pic:pic>
              </a:graphicData>
            </a:graphic>
          </wp:inline>
        </w:drawing>
      </w:r>
    </w:p>
    <w:p>
      <w:pPr>
        <w:spacing w:after="180"/>
        <w:ind w:firstLine="0"/>
      </w:pPr>
      <w:r>
        <w:rPr>
          <w:i/>
          <w:sz w:val="20"/>
        </w:rPr>
        <w:t>Источник: прогноз аналитического центра (табл. 104)</w:t>
      </w:r>
    </w:p>
    <w:p>
      <w:pPr>
        <w:keepNext/>
        <w:spacing w:before="160" w:after="60"/>
        <w:ind w:firstLine="0"/>
        <w:jc w:val="left"/>
      </w:pPr>
      <w:r>
        <w:rPr>
          <w:b/>
          <w:sz w:val="22"/>
        </w:rPr>
        <w:t>Рисунок 78. Сопоставление планируемого производства и внутреннего потребления РЗМ в РФ, тыс. т TREO</w:t>
      </w:r>
    </w:p>
    <w:p>
      <w:pPr>
        <w:ind w:firstLine="0"/>
        <w:jc w:val="center"/>
      </w:pPr>
      <w:r>
        <w:drawing>
          <wp:inline xmlns:a="http://schemas.openxmlformats.org/drawingml/2006/main" xmlns:pic="http://schemas.openxmlformats.org/drawingml/2006/picture">
            <wp:extent cx="5580000" cy="2733391"/>
            <wp:docPr id="78" name="Picture 78"/>
            <wp:cNvGraphicFramePr>
              <a:graphicFrameLocks noChangeAspect="1"/>
            </wp:cNvGraphicFramePr>
            <a:graphic>
              <a:graphicData uri="http://schemas.openxmlformats.org/drawingml/2006/picture">
                <pic:pic>
                  <pic:nvPicPr>
                    <pic:cNvPr id="0" name="fig78.png"/>
                    <pic:cNvPicPr/>
                  </pic:nvPicPr>
                  <pic:blipFill>
                    <a:blip r:embed="rId88"/>
                    <a:stretch>
                      <a:fillRect/>
                    </a:stretch>
                  </pic:blipFill>
                  <pic:spPr>
                    <a:xfrm>
                      <a:off x="0" y="0"/>
                      <a:ext cx="5580000" cy="2733391"/>
                    </a:xfrm>
                    <a:prstGeom prst="rect"/>
                  </pic:spPr>
                </pic:pic>
              </a:graphicData>
            </a:graphic>
          </wp:inline>
        </w:drawing>
      </w:r>
    </w:p>
    <w:p>
      <w:pPr>
        <w:spacing w:after="180"/>
        <w:ind w:firstLine="0"/>
      </w:pPr>
      <w:r>
        <w:rPr>
          <w:i/>
          <w:sz w:val="20"/>
        </w:rPr>
        <w:t>Источник: аналитический центр (табл. 73, 104)</w:t>
      </w:r>
    </w:p>
    <w:p>
      <w:r>
        <w:rPr>
          <w:b w:val="0"/>
          <w:i w:val="0"/>
        </w:rPr>
        <w:t>Рисунок 78 иллюстрирует главный стратегический вызов российской редкоземельной программы. При достижении целевых показателей производства к 2030 г. экспортная ориентация отрасли составит 75–80%, к 2035 г. — около 90%. Это означает, что успех программы определяется не внутренним рынком, а способностью занять позиции на внешних рынках в конкуренции с китайскими производителями, себестоимость которых ниже, а также с поддерживаемыми государством производителями США, Австралии и ЕС, работающими на защищённых рынках.</w:t>
      </w:r>
    </w:p>
    <w:p>
      <w:r>
        <w:rPr>
          <w:b w:val="0"/>
          <w:i w:val="0"/>
        </w:rPr>
        <w:t>Данное обстоятельство приводит к двум практическим выводам:</w:t>
      </w:r>
    </w:p>
    <w:p>
      <w:pPr>
        <w:pStyle w:val="ListNumber"/>
        <w:spacing w:after="20"/>
        <w:ind w:firstLine="0"/>
      </w:pPr>
      <w:r>
        <w:rPr>
          <w:b/>
          <w:i w:val="0"/>
        </w:rPr>
        <w:t>Целевые показатели по объёму производства должны быть увязаны с реалистичной оценкой рынков сбыта.</w:t>
      </w:r>
      <w:r>
        <w:rPr>
          <w:b w:val="0"/>
          <w:i w:val="0"/>
        </w:rPr>
        <w:t xml:space="preserve"> Наращивание производства сверх объёмов, обеспеченных контрактами, приведёт к накоплению складских запасов, что уже наблюдалось в мировой практике (Molycorp, 2013–2015 гг.).</w:t>
      </w:r>
    </w:p>
    <w:p>
      <w:pPr>
        <w:pStyle w:val="ListNumber"/>
        <w:spacing w:after="20"/>
        <w:ind w:firstLine="0"/>
      </w:pPr>
      <w:r>
        <w:rPr>
          <w:b/>
          <w:i w:val="0"/>
        </w:rPr>
        <w:t>Приоритетом должно быть развитие переделов, а не объёмов.</w:t>
      </w:r>
      <w:r>
        <w:rPr>
          <w:b w:val="0"/>
          <w:i w:val="0"/>
        </w:rPr>
        <w:t xml:space="preserve"> Производство 5 тыс. т TREO с полным переделом до магнитов создаёт большую добавленную стоимость (порядка 380–450 млн долл.), чем производство 20 тыс. т TREO в виде коллективного карбоната (140–160 млн долл.), при кратно меньших капитальных затратах и рыночных рисках.</w:t>
      </w:r>
    </w:p>
    <w:p>
      <w:r>
        <w:br w:type="page"/>
      </w:r>
    </w:p>
    <w:p>
      <w:pPr>
        <w:pStyle w:val="Heading1"/>
      </w:pPr>
      <w:r>
        <w:rPr>
          <w:b w:val="0"/>
          <w:i w:val="0"/>
        </w:rPr>
        <w:t>15. Государственное регулирование редкоземельной отрасли в Российской Федерации</w:t>
      </w:r>
    </w:p>
    <w:p>
      <w:pPr>
        <w:pStyle w:val="Heading2"/>
      </w:pPr>
      <w:r>
        <w:rPr>
          <w:b w:val="0"/>
          <w:i w:val="0"/>
        </w:rPr>
        <w:t>15.1. Нормативно-правовая база</w:t>
      </w:r>
    </w:p>
    <w:p>
      <w:r>
        <w:rPr>
          <w:b w:val="0"/>
          <w:i w:val="0"/>
        </w:rPr>
        <w:t>Регулирование редкоземельной отрасли в Российской Федерации осуществляется на пересечении нескольких отраслей законодательства, что само по себе создаёт сложность правоприменения.</w:t>
      </w:r>
    </w:p>
    <w:p>
      <w:r>
        <w:rPr>
          <w:b/>
          <w:i w:val="0"/>
        </w:rPr>
        <w:t>Законодательство о недрах.</w:t>
      </w:r>
      <w:r>
        <w:rPr>
          <w:b w:val="0"/>
          <w:i w:val="0"/>
        </w:rPr>
        <w:t xml:space="preserve"> Закон Российской Федерации «О недрах» устанавливает порядок предоставления участков недр в пользование. Редкоземельные металлы отнесены к полезным ископаемым; ряд объектов, содержащих одновременно уран и торий в промышленных концентрациях, подпадает под режим участков недр федерального значения, что усложняет процедуру лицензирования и ограничивает участие иностранного капитала.</w:t>
      </w:r>
    </w:p>
    <w:p>
      <w:r>
        <w:rPr>
          <w:b/>
          <w:i w:val="0"/>
        </w:rPr>
        <w:t>Законодательство об использовании атомной энергии.</w:t>
      </w:r>
      <w:r>
        <w:rPr>
          <w:b w:val="0"/>
          <w:i w:val="0"/>
        </w:rPr>
        <w:t xml:space="preserve"> Федеральный закон «Об использовании атомной энергии» и связанные нормативные акты регулируют обращение с торий- и урансодержащими материалами. Практическое значение: переработка монацитовых, лопаритовых и томторских концентратов требует лицензий Ростехнадзора, что доступно ограниченному кругу организаций.</w:t>
      </w:r>
    </w:p>
    <w:p>
      <w:r>
        <w:rPr>
          <w:b/>
          <w:i w:val="0"/>
        </w:rPr>
        <w:t>Законодательство о радиационной безопасности.</w:t>
      </w:r>
      <w:r>
        <w:rPr>
          <w:b w:val="0"/>
          <w:i w:val="0"/>
        </w:rPr>
        <w:t xml:space="preserve"> Нормы радиационной безопасности (НРБ-99/2009) и основные санитарные правила (ОСПОРБ-99/2010) устанавливают требования к обращению с материалами с повышенным содержанием природных радионуклидов.</w:t>
      </w:r>
    </w:p>
    <w:p>
      <w:r>
        <w:rPr>
          <w:b/>
          <w:i w:val="0"/>
        </w:rPr>
        <w:t>Налоговое законодательство.</w:t>
      </w:r>
      <w:r>
        <w:rPr>
          <w:b w:val="0"/>
          <w:i w:val="0"/>
        </w:rPr>
        <w:t xml:space="preserve"> Налог на добычу полезных ископаемых применяется к редкоземельному сырью; для отдельных категорий установлены понижающие коэффициенты. В 2023–2025 гг. обсуждались и частично реализованы меры по обнулению НДПИ для новых редкоземельных проектов на период окупаемости.</w:t>
      </w:r>
    </w:p>
    <w:p>
      <w:r>
        <w:rPr>
          <w:b/>
          <w:i w:val="0"/>
        </w:rPr>
        <w:t>Законодательство о промышленной политике.</w:t>
      </w:r>
      <w:r>
        <w:rPr>
          <w:b w:val="0"/>
          <w:i w:val="0"/>
        </w:rPr>
        <w:t xml:space="preserve"> Федеральный закон «О промышленной политике в Российской Федерации» предусматривает механизмы поддержки: специальные инвестиционные контракты (СПИК), субсидии, льготное заёмное финансирование через Фонд развития промышленности.</w:t>
      </w:r>
    </w:p>
    <w:p>
      <w:r>
        <w:rPr>
          <w:b/>
          <w:i w:val="0"/>
        </w:rPr>
        <w:t>Законодательство о государственно-частном партнёрстве и соглашениях о защите и поощрении капиталовложений (СЗПК)</w:t>
      </w:r>
      <w:r>
        <w:rPr>
          <w:b w:val="0"/>
          <w:i w:val="0"/>
        </w:rPr>
        <w:t xml:space="preserve"> — применимо к капиталоёмким проектам с длительным сроком окупаемости.</w:t>
      </w:r>
    </w:p>
    <w:p>
      <w:pPr>
        <w:keepNext/>
        <w:spacing w:before="160" w:after="60"/>
        <w:ind w:firstLine="0"/>
        <w:jc w:val="left"/>
      </w:pPr>
      <w:r>
        <w:rPr>
          <w:b/>
          <w:sz w:val="22"/>
        </w:rPr>
        <w:t>Таблица 105. Основные элементы нормативно-правового регулирования редкоземельной отрасли РФ</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Сфера регулирования</w:t>
            </w:r>
          </w:p>
        </w:tc>
        <w:tc>
          <w:tcPr>
            <w:tcW w:type="dxa" w:w="3324"/>
            <w:shd w:val="clear" w:fill="DCE6F1"/>
          </w:tcPr>
          <w:p>
            <w:pPr>
              <w:spacing w:after="0" w:line="240" w:lineRule="auto"/>
              <w:ind w:firstLine="0"/>
              <w:jc w:val="center"/>
            </w:pPr>
            <w:r>
              <w:rPr>
                <w:b/>
                <w:i w:val="0"/>
                <w:sz w:val="20"/>
              </w:rPr>
              <w:t>Основные акты</w:t>
            </w:r>
          </w:p>
        </w:tc>
        <w:tc>
          <w:tcPr>
            <w:tcW w:type="dxa" w:w="3324"/>
            <w:shd w:val="clear" w:fill="DCE6F1"/>
          </w:tcPr>
          <w:p>
            <w:pPr>
              <w:spacing w:after="0" w:line="240" w:lineRule="auto"/>
              <w:ind w:firstLine="0"/>
              <w:jc w:val="center"/>
            </w:pPr>
            <w:r>
              <w:rPr>
                <w:b/>
                <w:i w:val="0"/>
                <w:sz w:val="20"/>
              </w:rPr>
              <w:t>Практическое значение</w:t>
            </w:r>
          </w:p>
        </w:tc>
      </w:tr>
      <w:tr>
        <w:tc>
          <w:tcPr>
            <w:tcW w:type="dxa" w:w="3324"/>
          </w:tcPr>
          <w:p>
            <w:pPr>
              <w:spacing w:after="0" w:line="240" w:lineRule="auto"/>
              <w:ind w:firstLine="0"/>
              <w:jc w:val="left"/>
            </w:pPr>
            <w:r>
              <w:rPr>
                <w:b w:val="0"/>
                <w:i w:val="0"/>
                <w:sz w:val="20"/>
              </w:rPr>
              <w:t>Недропользование</w:t>
            </w:r>
          </w:p>
        </w:tc>
        <w:tc>
          <w:tcPr>
            <w:tcW w:type="dxa" w:w="3324"/>
          </w:tcPr>
          <w:p>
            <w:pPr>
              <w:spacing w:after="0" w:line="240" w:lineRule="auto"/>
              <w:ind w:firstLine="0"/>
              <w:jc w:val="center"/>
            </w:pPr>
            <w:r>
              <w:rPr>
                <w:b w:val="0"/>
                <w:i w:val="0"/>
                <w:sz w:val="20"/>
              </w:rPr>
              <w:t>Закон РФ «О недрах»</w:t>
            </w:r>
          </w:p>
        </w:tc>
        <w:tc>
          <w:tcPr>
            <w:tcW w:type="dxa" w:w="3324"/>
          </w:tcPr>
          <w:p>
            <w:pPr>
              <w:spacing w:after="0" w:line="240" w:lineRule="auto"/>
              <w:ind w:firstLine="0"/>
              <w:jc w:val="left"/>
            </w:pPr>
            <w:r>
              <w:rPr>
                <w:b w:val="0"/>
                <w:i w:val="0"/>
                <w:sz w:val="20"/>
              </w:rPr>
              <w:t>лицензирование, участки федерального значения</w:t>
            </w:r>
          </w:p>
        </w:tc>
      </w:tr>
      <w:tr>
        <w:tc>
          <w:tcPr>
            <w:tcW w:type="dxa" w:w="3324"/>
          </w:tcPr>
          <w:p>
            <w:pPr>
              <w:spacing w:after="0" w:line="240" w:lineRule="auto"/>
              <w:ind w:firstLine="0"/>
              <w:jc w:val="left"/>
            </w:pPr>
            <w:r>
              <w:rPr>
                <w:b w:val="0"/>
                <w:i w:val="0"/>
                <w:sz w:val="20"/>
              </w:rPr>
              <w:t>Атомная энергия</w:t>
            </w:r>
          </w:p>
        </w:tc>
        <w:tc>
          <w:tcPr>
            <w:tcW w:type="dxa" w:w="3324"/>
          </w:tcPr>
          <w:p>
            <w:pPr>
              <w:spacing w:after="0" w:line="240" w:lineRule="auto"/>
              <w:ind w:firstLine="0"/>
              <w:jc w:val="center"/>
            </w:pPr>
            <w:r>
              <w:rPr>
                <w:b w:val="0"/>
                <w:i w:val="0"/>
                <w:sz w:val="20"/>
              </w:rPr>
              <w:t>ФЗ «Об использовании атомной энергии»</w:t>
            </w:r>
          </w:p>
        </w:tc>
        <w:tc>
          <w:tcPr>
            <w:tcW w:type="dxa" w:w="3324"/>
          </w:tcPr>
          <w:p>
            <w:pPr>
              <w:spacing w:after="0" w:line="240" w:lineRule="auto"/>
              <w:ind w:firstLine="0"/>
              <w:jc w:val="center"/>
            </w:pPr>
            <w:r>
              <w:rPr>
                <w:b w:val="0"/>
                <w:i w:val="0"/>
                <w:sz w:val="20"/>
              </w:rPr>
              <w:t>лицензии на обращение с Th, U</w:t>
            </w:r>
          </w:p>
        </w:tc>
      </w:tr>
      <w:tr>
        <w:tc>
          <w:tcPr>
            <w:tcW w:type="dxa" w:w="3324"/>
          </w:tcPr>
          <w:p>
            <w:pPr>
              <w:spacing w:after="0" w:line="240" w:lineRule="auto"/>
              <w:ind w:firstLine="0"/>
              <w:jc w:val="left"/>
            </w:pPr>
            <w:r>
              <w:rPr>
                <w:b w:val="0"/>
                <w:i w:val="0"/>
                <w:sz w:val="20"/>
              </w:rPr>
              <w:t>Радиационная безопасность</w:t>
            </w:r>
          </w:p>
        </w:tc>
        <w:tc>
          <w:tcPr>
            <w:tcW w:type="dxa" w:w="3324"/>
          </w:tcPr>
          <w:p>
            <w:pPr>
              <w:spacing w:after="0" w:line="240" w:lineRule="auto"/>
              <w:ind w:firstLine="0"/>
              <w:jc w:val="center"/>
            </w:pPr>
            <w:r>
              <w:rPr>
                <w:b w:val="0"/>
                <w:i w:val="0"/>
                <w:sz w:val="20"/>
              </w:rPr>
              <w:t>НРБ-99/2009, ОСПОРБ-99/2010</w:t>
            </w:r>
          </w:p>
        </w:tc>
        <w:tc>
          <w:tcPr>
            <w:tcW w:type="dxa" w:w="3324"/>
          </w:tcPr>
          <w:p>
            <w:pPr>
              <w:spacing w:after="0" w:line="240" w:lineRule="auto"/>
              <w:ind w:firstLine="0"/>
              <w:jc w:val="center"/>
            </w:pPr>
            <w:r>
              <w:rPr>
                <w:b w:val="0"/>
                <w:i w:val="0"/>
                <w:sz w:val="20"/>
              </w:rPr>
              <w:t>требования к переработке и отходам</w:t>
            </w:r>
          </w:p>
        </w:tc>
      </w:tr>
      <w:tr>
        <w:tc>
          <w:tcPr>
            <w:tcW w:type="dxa" w:w="3324"/>
          </w:tcPr>
          <w:p>
            <w:pPr>
              <w:spacing w:after="0" w:line="240" w:lineRule="auto"/>
              <w:ind w:firstLine="0"/>
              <w:jc w:val="left"/>
            </w:pPr>
            <w:r>
              <w:rPr>
                <w:b w:val="0"/>
                <w:i w:val="0"/>
                <w:sz w:val="20"/>
              </w:rPr>
              <w:t>Налогообложение</w:t>
            </w:r>
          </w:p>
        </w:tc>
        <w:tc>
          <w:tcPr>
            <w:tcW w:type="dxa" w:w="3324"/>
          </w:tcPr>
          <w:p>
            <w:pPr>
              <w:spacing w:after="0" w:line="240" w:lineRule="auto"/>
              <w:ind w:firstLine="0"/>
              <w:jc w:val="center"/>
            </w:pPr>
            <w:r>
              <w:rPr>
                <w:b w:val="0"/>
                <w:i w:val="0"/>
                <w:sz w:val="20"/>
              </w:rPr>
              <w:t>Налоговый кодекс РФ, гл. 26</w:t>
            </w:r>
          </w:p>
        </w:tc>
        <w:tc>
          <w:tcPr>
            <w:tcW w:type="dxa" w:w="3324"/>
          </w:tcPr>
          <w:p>
            <w:pPr>
              <w:spacing w:after="0" w:line="240" w:lineRule="auto"/>
              <w:ind w:firstLine="0"/>
              <w:jc w:val="center"/>
            </w:pPr>
            <w:r>
              <w:rPr>
                <w:b w:val="0"/>
                <w:i w:val="0"/>
                <w:sz w:val="20"/>
              </w:rPr>
              <w:t>НДПИ, льготы для новых проектов</w:t>
            </w:r>
          </w:p>
        </w:tc>
      </w:tr>
      <w:tr>
        <w:tc>
          <w:tcPr>
            <w:tcW w:type="dxa" w:w="3324"/>
          </w:tcPr>
          <w:p>
            <w:pPr>
              <w:spacing w:after="0" w:line="240" w:lineRule="auto"/>
              <w:ind w:firstLine="0"/>
              <w:jc w:val="left"/>
            </w:pPr>
            <w:r>
              <w:rPr>
                <w:b w:val="0"/>
                <w:i w:val="0"/>
                <w:sz w:val="20"/>
              </w:rPr>
              <w:t>Промышленная политика</w:t>
            </w:r>
          </w:p>
        </w:tc>
        <w:tc>
          <w:tcPr>
            <w:tcW w:type="dxa" w:w="3324"/>
          </w:tcPr>
          <w:p>
            <w:pPr>
              <w:spacing w:after="0" w:line="240" w:lineRule="auto"/>
              <w:ind w:firstLine="0"/>
              <w:jc w:val="center"/>
            </w:pPr>
            <w:r>
              <w:rPr>
                <w:b w:val="0"/>
                <w:i w:val="0"/>
                <w:sz w:val="20"/>
              </w:rPr>
              <w:t>ФЗ «О промышленной политике»</w:t>
            </w:r>
          </w:p>
        </w:tc>
        <w:tc>
          <w:tcPr>
            <w:tcW w:type="dxa" w:w="3324"/>
          </w:tcPr>
          <w:p>
            <w:pPr>
              <w:spacing w:after="0" w:line="240" w:lineRule="auto"/>
              <w:ind w:firstLine="0"/>
              <w:jc w:val="center"/>
            </w:pPr>
            <w:r>
              <w:rPr>
                <w:b w:val="0"/>
                <w:i w:val="0"/>
                <w:sz w:val="20"/>
              </w:rPr>
              <w:t>СПИК, субсидии, ФРП</w:t>
            </w:r>
          </w:p>
        </w:tc>
      </w:tr>
      <w:tr>
        <w:tc>
          <w:tcPr>
            <w:tcW w:type="dxa" w:w="3324"/>
          </w:tcPr>
          <w:p>
            <w:pPr>
              <w:spacing w:after="0" w:line="240" w:lineRule="auto"/>
              <w:ind w:firstLine="0"/>
              <w:jc w:val="left"/>
            </w:pPr>
            <w:r>
              <w:rPr>
                <w:b w:val="0"/>
                <w:i w:val="0"/>
                <w:sz w:val="20"/>
              </w:rPr>
              <w:t>Инвестиции</w:t>
            </w:r>
          </w:p>
        </w:tc>
        <w:tc>
          <w:tcPr>
            <w:tcW w:type="dxa" w:w="3324"/>
          </w:tcPr>
          <w:p>
            <w:pPr>
              <w:spacing w:after="0" w:line="240" w:lineRule="auto"/>
              <w:ind w:firstLine="0"/>
              <w:jc w:val="center"/>
            </w:pPr>
            <w:r>
              <w:rPr>
                <w:b w:val="0"/>
                <w:i w:val="0"/>
                <w:sz w:val="20"/>
              </w:rPr>
              <w:t>ФЗ о СЗПК</w:t>
            </w:r>
          </w:p>
        </w:tc>
        <w:tc>
          <w:tcPr>
            <w:tcW w:type="dxa" w:w="3324"/>
          </w:tcPr>
          <w:p>
            <w:pPr>
              <w:spacing w:after="0" w:line="240" w:lineRule="auto"/>
              <w:ind w:firstLine="0"/>
              <w:jc w:val="center"/>
            </w:pPr>
            <w:r>
              <w:rPr>
                <w:b w:val="0"/>
                <w:i w:val="0"/>
                <w:sz w:val="20"/>
              </w:rPr>
              <w:t>стабилизационная оговорка</w:t>
            </w:r>
          </w:p>
        </w:tc>
      </w:tr>
      <w:tr>
        <w:tc>
          <w:tcPr>
            <w:tcW w:type="dxa" w:w="3324"/>
          </w:tcPr>
          <w:p>
            <w:pPr>
              <w:spacing w:after="0" w:line="240" w:lineRule="auto"/>
              <w:ind w:firstLine="0"/>
              <w:jc w:val="left"/>
            </w:pPr>
            <w:r>
              <w:rPr>
                <w:b w:val="0"/>
                <w:i w:val="0"/>
                <w:sz w:val="20"/>
              </w:rPr>
              <w:t>Экология</w:t>
            </w:r>
          </w:p>
        </w:tc>
        <w:tc>
          <w:tcPr>
            <w:tcW w:type="dxa" w:w="3324"/>
          </w:tcPr>
          <w:p>
            <w:pPr>
              <w:spacing w:after="0" w:line="240" w:lineRule="auto"/>
              <w:ind w:firstLine="0"/>
              <w:jc w:val="center"/>
            </w:pPr>
            <w:r>
              <w:rPr>
                <w:b w:val="0"/>
                <w:i w:val="0"/>
                <w:sz w:val="20"/>
              </w:rPr>
              <w:t>ФЗ «Об охране окружающей среды»</w:t>
            </w:r>
          </w:p>
        </w:tc>
        <w:tc>
          <w:tcPr>
            <w:tcW w:type="dxa" w:w="3324"/>
          </w:tcPr>
          <w:p>
            <w:pPr>
              <w:spacing w:after="0" w:line="240" w:lineRule="auto"/>
              <w:ind w:firstLine="0"/>
              <w:jc w:val="center"/>
            </w:pPr>
            <w:r>
              <w:rPr>
                <w:b w:val="0"/>
                <w:i w:val="0"/>
                <w:sz w:val="20"/>
              </w:rPr>
              <w:t>ГЭЭ, обращение с отходами</w:t>
            </w:r>
          </w:p>
        </w:tc>
      </w:tr>
      <w:tr>
        <w:tc>
          <w:tcPr>
            <w:tcW w:type="dxa" w:w="3324"/>
          </w:tcPr>
          <w:p>
            <w:pPr>
              <w:spacing w:after="0" w:line="240" w:lineRule="auto"/>
              <w:ind w:firstLine="0"/>
              <w:jc w:val="left"/>
            </w:pPr>
            <w:r>
              <w:rPr>
                <w:b w:val="0"/>
                <w:i w:val="0"/>
                <w:sz w:val="20"/>
              </w:rPr>
              <w:t>Технич. регулирование</w:t>
            </w:r>
          </w:p>
        </w:tc>
        <w:tc>
          <w:tcPr>
            <w:tcW w:type="dxa" w:w="3324"/>
          </w:tcPr>
          <w:p>
            <w:pPr>
              <w:spacing w:after="0" w:line="240" w:lineRule="auto"/>
              <w:ind w:firstLine="0"/>
              <w:jc w:val="center"/>
            </w:pPr>
            <w:r>
              <w:rPr>
                <w:b w:val="0"/>
                <w:i w:val="0"/>
                <w:sz w:val="20"/>
              </w:rPr>
              <w:t>ГОСТ, ТУ на РЗМ-продукцию</w:t>
            </w:r>
          </w:p>
        </w:tc>
        <w:tc>
          <w:tcPr>
            <w:tcW w:type="dxa" w:w="3324"/>
          </w:tcPr>
          <w:p>
            <w:pPr>
              <w:spacing w:after="0" w:line="240" w:lineRule="auto"/>
              <w:ind w:firstLine="0"/>
              <w:jc w:val="center"/>
            </w:pPr>
            <w:r>
              <w:rPr>
                <w:b w:val="0"/>
                <w:i w:val="0"/>
                <w:sz w:val="20"/>
              </w:rPr>
              <w:t>стандартизация продукции</w:t>
            </w:r>
          </w:p>
        </w:tc>
      </w:tr>
      <w:tr>
        <w:tc>
          <w:tcPr>
            <w:tcW w:type="dxa" w:w="3324"/>
          </w:tcPr>
          <w:p>
            <w:pPr>
              <w:spacing w:after="0" w:line="240" w:lineRule="auto"/>
              <w:ind w:firstLine="0"/>
              <w:jc w:val="left"/>
            </w:pPr>
            <w:r>
              <w:rPr>
                <w:b w:val="0"/>
                <w:i w:val="0"/>
                <w:sz w:val="20"/>
              </w:rPr>
              <w:t>Внешняя торговля</w:t>
            </w:r>
          </w:p>
        </w:tc>
        <w:tc>
          <w:tcPr>
            <w:tcW w:type="dxa" w:w="3324"/>
          </w:tcPr>
          <w:p>
            <w:pPr>
              <w:spacing w:after="0" w:line="240" w:lineRule="auto"/>
              <w:ind w:firstLine="0"/>
              <w:jc w:val="center"/>
            </w:pPr>
            <w:r>
              <w:rPr>
                <w:b w:val="0"/>
                <w:i w:val="0"/>
                <w:sz w:val="20"/>
              </w:rPr>
              <w:t>ФЗ об экспортном контроле</w:t>
            </w:r>
          </w:p>
        </w:tc>
        <w:tc>
          <w:tcPr>
            <w:tcW w:type="dxa" w:w="3324"/>
          </w:tcPr>
          <w:p>
            <w:pPr>
              <w:spacing w:after="0" w:line="240" w:lineRule="auto"/>
              <w:ind w:firstLine="0"/>
              <w:jc w:val="center"/>
            </w:pPr>
            <w:r>
              <w:rPr>
                <w:b w:val="0"/>
                <w:i w:val="0"/>
                <w:sz w:val="20"/>
              </w:rPr>
              <w:t>контроль двойного назначения</w:t>
            </w:r>
          </w:p>
        </w:tc>
      </w:tr>
    </w:tbl>
    <w:p>
      <w:pPr>
        <w:spacing w:after="180"/>
        <w:ind w:firstLine="0"/>
      </w:pPr>
      <w:r>
        <w:rPr>
          <w:i/>
          <w:sz w:val="20"/>
        </w:rPr>
        <w:t>Источник: аналитический центр по данным законодательства Российской Федерации</w:t>
      </w:r>
    </w:p>
    <w:p>
      <w:pPr>
        <w:pStyle w:val="Heading2"/>
      </w:pPr>
      <w:r>
        <w:rPr>
          <w:b w:val="0"/>
          <w:i w:val="0"/>
        </w:rPr>
        <w:t>15.2. Стратегические документы и целевые показатели</w:t>
      </w:r>
    </w:p>
    <w:p>
      <w:r>
        <w:rPr>
          <w:b w:val="0"/>
          <w:i w:val="0"/>
        </w:rPr>
        <w:t>Формирование государственной политики в области редкоземельных металлов прошло несколько этапов.</w:t>
      </w:r>
    </w:p>
    <w:p>
      <w:r>
        <w:rPr>
          <w:b/>
          <w:i w:val="0"/>
        </w:rPr>
        <w:t>Подпрограмма «Развитие промышленности редких и редкоземельных металлов» (2013–2020 гг.)</w:t>
      </w:r>
      <w:r>
        <w:rPr>
          <w:b w:val="0"/>
          <w:i w:val="0"/>
        </w:rPr>
        <w:t xml:space="preserve"> в составе государственной программы «Развитие промышленности и повышение её конкурентоспособности». Первый системный документ, предусматривавший создание отрасли полного цикла с целевыми показателями производства до 20 тыс. т в год. Реализация была признана неуспешной: заявленные показатели не достигнуты, большинство проектов не вышло за пределы проектной стадии. Основные причины: отсутствие гарантированного спроса, недооценка технологических рисков, распылённость мер поддержки между несвязанными проектами, отсутствие единого ответственного оператора.</w:t>
      </w:r>
    </w:p>
    <w:p>
      <w:r>
        <w:rPr>
          <w:b/>
          <w:i w:val="0"/>
        </w:rPr>
        <w:t>Стратегия развития минерально-сырьевой базы Российской Федерации до 2035 года</w:t>
      </w:r>
      <w:r>
        <w:rPr>
          <w:b w:val="0"/>
          <w:i w:val="0"/>
        </w:rPr>
        <w:t xml:space="preserve"> — определяет редкоземельные металлы как группу дефицитных полезных ископаемых, требующих опережающего воспроизводства.</w:t>
      </w:r>
    </w:p>
    <w:p>
      <w:r>
        <w:rPr>
          <w:b/>
          <w:i w:val="0"/>
        </w:rPr>
        <w:t>Перечень основных видов стратегического минерального сырья</w:t>
      </w:r>
      <w:r>
        <w:rPr>
          <w:b w:val="0"/>
          <w:i w:val="0"/>
        </w:rPr>
        <w:t xml:space="preserve"> (утверждён распоряжением Правительства РФ) включает редкоземельные металлы, скандий и иттрий.</w:t>
      </w:r>
    </w:p>
    <w:p>
      <w:r>
        <w:rPr>
          <w:b/>
          <w:i w:val="0"/>
        </w:rPr>
        <w:t>Федеральный проект «Технологии новых материалов и веществ»</w:t>
      </w:r>
      <w:r>
        <w:rPr>
          <w:b w:val="0"/>
          <w:i w:val="0"/>
        </w:rPr>
        <w:t xml:space="preserve"> в составе национального проекта «Новые материалы и химия» (с 2025 г.) — действующий механизм поддержки. Предусматривает создание производств полного цикла с закреплением ответственности за отраслевым интегратором.</w:t>
      </w:r>
    </w:p>
    <w:p>
      <w:r>
        <w:rPr>
          <w:b/>
          <w:i w:val="0"/>
        </w:rPr>
        <w:t>Отраслевая программа развития редкометалльной и редкоземельной промышленности</w:t>
      </w:r>
      <w:r>
        <w:rPr>
          <w:b w:val="0"/>
          <w:i w:val="0"/>
        </w:rPr>
        <w:t xml:space="preserve"> — определяет целевые показатели, приведённые в разделе 10.5: выход на 20 тыс. т TREO к 2030 г. и на долю 10–12% мирового производства к 2035 г.</w:t>
      </w:r>
    </w:p>
    <w:p>
      <w:r>
        <w:rPr>
          <w:b w:val="0"/>
          <w:i w:val="0"/>
        </w:rPr>
        <w:t>Принципиальным отличием текущего этапа от периода 2013–2020 гг. является:</w:t>
      </w:r>
    </w:p>
    <w:p>
      <w:pPr>
        <w:pStyle w:val="ListBullet"/>
        <w:spacing w:after="20"/>
        <w:ind w:firstLine="0"/>
      </w:pPr>
      <w:r>
        <w:rPr>
          <w:b/>
          <w:i w:val="0"/>
        </w:rPr>
        <w:t>назначение единого отраслевого интегратора</w:t>
      </w:r>
      <w:r>
        <w:rPr>
          <w:b w:val="0"/>
          <w:i w:val="0"/>
        </w:rPr>
        <w:t xml:space="preserve"> в лице Госкорпорации «Росатом», консолидировавшей ключевые активы (Ловозёрский ГОК, СМЗ) и обладающей собственным инвестиционным ресурсом;</w:t>
      </w:r>
    </w:p>
    <w:p>
      <w:pPr>
        <w:pStyle w:val="ListBullet"/>
        <w:spacing w:after="20"/>
        <w:ind w:firstLine="0"/>
      </w:pPr>
      <w:r>
        <w:rPr>
          <w:b/>
          <w:i w:val="0"/>
        </w:rPr>
        <w:t>включение в контур конечных переделов</w:t>
      </w:r>
      <w:r>
        <w:rPr>
          <w:b w:val="0"/>
          <w:i w:val="0"/>
        </w:rPr>
        <w:t xml:space="preserve"> — производства магнитов, а не только сырья;</w:t>
      </w:r>
    </w:p>
    <w:p>
      <w:pPr>
        <w:pStyle w:val="ListBullet"/>
        <w:spacing w:after="20"/>
        <w:ind w:firstLine="0"/>
      </w:pPr>
      <w:r>
        <w:rPr>
          <w:b/>
          <w:i w:val="0"/>
        </w:rPr>
        <w:t>формирование гарантированного спроса</w:t>
      </w:r>
      <w:r>
        <w:rPr>
          <w:b w:val="0"/>
          <w:i w:val="0"/>
        </w:rPr>
        <w:t xml:space="preserve"> через механизмы государственного заказа и требования локализации.</w:t>
      </w:r>
    </w:p>
    <w:p>
      <w:pPr>
        <w:keepNext/>
        <w:spacing w:before="160" w:after="60"/>
        <w:ind w:firstLine="0"/>
        <w:jc w:val="left"/>
      </w:pPr>
      <w:r>
        <w:rPr>
          <w:b/>
          <w:sz w:val="22"/>
        </w:rPr>
        <w:t>Таблица 106. Сопоставление подходов государственной политики в редкоземельной сфере, 2013–2020 и 2023–2035 гг.</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Параметр</w:t>
            </w:r>
          </w:p>
        </w:tc>
        <w:tc>
          <w:tcPr>
            <w:tcW w:type="dxa" w:w="3324"/>
            <w:shd w:val="clear" w:fill="DCE6F1"/>
          </w:tcPr>
          <w:p>
            <w:pPr>
              <w:spacing w:after="0" w:line="240" w:lineRule="auto"/>
              <w:ind w:firstLine="0"/>
              <w:jc w:val="center"/>
            </w:pPr>
            <w:r>
              <w:rPr>
                <w:b/>
                <w:i w:val="0"/>
                <w:sz w:val="20"/>
              </w:rPr>
              <w:t>Период 2013–2020 гг.</w:t>
            </w:r>
          </w:p>
        </w:tc>
        <w:tc>
          <w:tcPr>
            <w:tcW w:type="dxa" w:w="3324"/>
            <w:shd w:val="clear" w:fill="DCE6F1"/>
          </w:tcPr>
          <w:p>
            <w:pPr>
              <w:spacing w:after="0" w:line="240" w:lineRule="auto"/>
              <w:ind w:firstLine="0"/>
              <w:jc w:val="center"/>
            </w:pPr>
            <w:r>
              <w:rPr>
                <w:b/>
                <w:i w:val="0"/>
                <w:sz w:val="20"/>
              </w:rPr>
              <w:t>Период 2023–2035 гг.</w:t>
            </w:r>
          </w:p>
        </w:tc>
      </w:tr>
      <w:tr>
        <w:tc>
          <w:tcPr>
            <w:tcW w:type="dxa" w:w="3324"/>
          </w:tcPr>
          <w:p>
            <w:pPr>
              <w:spacing w:after="0" w:line="240" w:lineRule="auto"/>
              <w:ind w:firstLine="0"/>
              <w:jc w:val="left"/>
            </w:pPr>
            <w:r>
              <w:rPr>
                <w:b w:val="0"/>
                <w:i w:val="0"/>
                <w:sz w:val="20"/>
              </w:rPr>
              <w:t>Ответственный оператор</w:t>
            </w:r>
          </w:p>
        </w:tc>
        <w:tc>
          <w:tcPr>
            <w:tcW w:type="dxa" w:w="3324"/>
          </w:tcPr>
          <w:p>
            <w:pPr>
              <w:spacing w:after="0" w:line="240" w:lineRule="auto"/>
              <w:ind w:firstLine="0"/>
              <w:jc w:val="center"/>
            </w:pPr>
            <w:r>
              <w:rPr>
                <w:b w:val="0"/>
                <w:i w:val="0"/>
                <w:sz w:val="20"/>
              </w:rPr>
              <w:t>не определён</w:t>
            </w:r>
          </w:p>
        </w:tc>
        <w:tc>
          <w:tcPr>
            <w:tcW w:type="dxa" w:w="3324"/>
          </w:tcPr>
          <w:p>
            <w:pPr>
              <w:spacing w:after="0" w:line="240" w:lineRule="auto"/>
              <w:ind w:firstLine="0"/>
              <w:jc w:val="center"/>
            </w:pPr>
            <w:r>
              <w:rPr>
                <w:b w:val="0"/>
                <w:i w:val="0"/>
                <w:sz w:val="20"/>
              </w:rPr>
              <w:t>ГК «Росатом»</w:t>
            </w:r>
          </w:p>
        </w:tc>
      </w:tr>
      <w:tr>
        <w:tc>
          <w:tcPr>
            <w:tcW w:type="dxa" w:w="3324"/>
          </w:tcPr>
          <w:p>
            <w:pPr>
              <w:spacing w:after="0" w:line="240" w:lineRule="auto"/>
              <w:ind w:firstLine="0"/>
              <w:jc w:val="left"/>
            </w:pPr>
            <w:r>
              <w:rPr>
                <w:b w:val="0"/>
                <w:i w:val="0"/>
                <w:sz w:val="20"/>
              </w:rPr>
              <w:t>Фокус</w:t>
            </w:r>
          </w:p>
        </w:tc>
        <w:tc>
          <w:tcPr>
            <w:tcW w:type="dxa" w:w="3324"/>
          </w:tcPr>
          <w:p>
            <w:pPr>
              <w:spacing w:after="0" w:line="240" w:lineRule="auto"/>
              <w:ind w:firstLine="0"/>
              <w:jc w:val="center"/>
            </w:pPr>
            <w:r>
              <w:rPr>
                <w:b w:val="0"/>
                <w:i w:val="0"/>
                <w:sz w:val="20"/>
              </w:rPr>
              <w:t>сырьё и разделение</w:t>
            </w:r>
          </w:p>
        </w:tc>
        <w:tc>
          <w:tcPr>
            <w:tcW w:type="dxa" w:w="3324"/>
          </w:tcPr>
          <w:p>
            <w:pPr>
              <w:spacing w:after="0" w:line="240" w:lineRule="auto"/>
              <w:ind w:firstLine="0"/>
              <w:jc w:val="center"/>
            </w:pPr>
            <w:r>
              <w:rPr>
                <w:b w:val="0"/>
                <w:i w:val="0"/>
                <w:sz w:val="20"/>
              </w:rPr>
              <w:t>полная цепочка до магнитов</w:t>
            </w:r>
          </w:p>
        </w:tc>
      </w:tr>
      <w:tr>
        <w:tc>
          <w:tcPr>
            <w:tcW w:type="dxa" w:w="3324"/>
          </w:tcPr>
          <w:p>
            <w:pPr>
              <w:spacing w:after="0" w:line="240" w:lineRule="auto"/>
              <w:ind w:firstLine="0"/>
              <w:jc w:val="left"/>
            </w:pPr>
            <w:r>
              <w:rPr>
                <w:b w:val="0"/>
                <w:i w:val="0"/>
                <w:sz w:val="20"/>
              </w:rPr>
              <w:t>Механизм финансирования</w:t>
            </w:r>
          </w:p>
        </w:tc>
        <w:tc>
          <w:tcPr>
            <w:tcW w:type="dxa" w:w="3324"/>
          </w:tcPr>
          <w:p>
            <w:pPr>
              <w:spacing w:after="0" w:line="240" w:lineRule="auto"/>
              <w:ind w:firstLine="0"/>
              <w:jc w:val="center"/>
            </w:pPr>
            <w:r>
              <w:rPr>
                <w:b w:val="0"/>
                <w:i w:val="0"/>
                <w:sz w:val="20"/>
              </w:rPr>
              <w:t>субсидии на НИОКР</w:t>
            </w:r>
          </w:p>
        </w:tc>
        <w:tc>
          <w:tcPr>
            <w:tcW w:type="dxa" w:w="3324"/>
          </w:tcPr>
          <w:p>
            <w:pPr>
              <w:spacing w:after="0" w:line="240" w:lineRule="auto"/>
              <w:ind w:firstLine="0"/>
              <w:jc w:val="center"/>
            </w:pPr>
            <w:r>
              <w:rPr>
                <w:b w:val="0"/>
                <w:i w:val="0"/>
                <w:sz w:val="20"/>
              </w:rPr>
              <w:t>инвестиции интегратора + господдержка</w:t>
            </w:r>
          </w:p>
        </w:tc>
      </w:tr>
      <w:tr>
        <w:tc>
          <w:tcPr>
            <w:tcW w:type="dxa" w:w="3324"/>
          </w:tcPr>
          <w:p>
            <w:pPr>
              <w:spacing w:after="0" w:line="240" w:lineRule="auto"/>
              <w:ind w:firstLine="0"/>
              <w:jc w:val="left"/>
            </w:pPr>
            <w:r>
              <w:rPr>
                <w:b w:val="0"/>
                <w:i w:val="0"/>
                <w:sz w:val="20"/>
              </w:rPr>
              <w:t>Гарантия спроса</w:t>
            </w:r>
          </w:p>
        </w:tc>
        <w:tc>
          <w:tcPr>
            <w:tcW w:type="dxa" w:w="3324"/>
          </w:tcPr>
          <w:p>
            <w:pPr>
              <w:spacing w:after="0" w:line="240" w:lineRule="auto"/>
              <w:ind w:firstLine="0"/>
              <w:jc w:val="center"/>
            </w:pPr>
            <w:r>
              <w:rPr>
                <w:b w:val="0"/>
                <w:i w:val="0"/>
                <w:sz w:val="20"/>
              </w:rPr>
              <w:t>отсутствовала</w:t>
            </w:r>
          </w:p>
        </w:tc>
        <w:tc>
          <w:tcPr>
            <w:tcW w:type="dxa" w:w="3324"/>
          </w:tcPr>
          <w:p>
            <w:pPr>
              <w:spacing w:after="0" w:line="240" w:lineRule="auto"/>
              <w:ind w:firstLine="0"/>
              <w:jc w:val="center"/>
            </w:pPr>
            <w:r>
              <w:rPr>
                <w:b w:val="0"/>
                <w:i w:val="0"/>
                <w:sz w:val="20"/>
              </w:rPr>
              <w:t>госзаказ, локализация</w:t>
            </w:r>
          </w:p>
        </w:tc>
      </w:tr>
      <w:tr>
        <w:tc>
          <w:tcPr>
            <w:tcW w:type="dxa" w:w="3324"/>
          </w:tcPr>
          <w:p>
            <w:pPr>
              <w:spacing w:after="0" w:line="240" w:lineRule="auto"/>
              <w:ind w:firstLine="0"/>
              <w:jc w:val="left"/>
            </w:pPr>
            <w:r>
              <w:rPr>
                <w:b w:val="0"/>
                <w:i w:val="0"/>
                <w:sz w:val="20"/>
              </w:rPr>
              <w:t>Консолидация активов</w:t>
            </w:r>
          </w:p>
        </w:tc>
        <w:tc>
          <w:tcPr>
            <w:tcW w:type="dxa" w:w="3324"/>
          </w:tcPr>
          <w:p>
            <w:pPr>
              <w:spacing w:after="0" w:line="240" w:lineRule="auto"/>
              <w:ind w:firstLine="0"/>
              <w:jc w:val="center"/>
            </w:pPr>
            <w:r>
              <w:rPr>
                <w:b w:val="0"/>
                <w:i w:val="0"/>
                <w:sz w:val="20"/>
              </w:rPr>
              <w:t>нет</w:t>
            </w:r>
          </w:p>
        </w:tc>
        <w:tc>
          <w:tcPr>
            <w:tcW w:type="dxa" w:w="3324"/>
          </w:tcPr>
          <w:p>
            <w:pPr>
              <w:spacing w:after="0" w:line="240" w:lineRule="auto"/>
              <w:ind w:firstLine="0"/>
              <w:jc w:val="center"/>
            </w:pPr>
            <w:r>
              <w:rPr>
                <w:b w:val="0"/>
                <w:i w:val="0"/>
                <w:sz w:val="20"/>
              </w:rPr>
              <w:t>да (Ловозеро, СМЗ)</w:t>
            </w:r>
          </w:p>
        </w:tc>
      </w:tr>
      <w:tr>
        <w:tc>
          <w:tcPr>
            <w:tcW w:type="dxa" w:w="3324"/>
          </w:tcPr>
          <w:p>
            <w:pPr>
              <w:spacing w:after="0" w:line="240" w:lineRule="auto"/>
              <w:ind w:firstLine="0"/>
              <w:jc w:val="left"/>
            </w:pPr>
            <w:r>
              <w:rPr>
                <w:b w:val="0"/>
                <w:i w:val="0"/>
                <w:sz w:val="20"/>
              </w:rPr>
              <w:t>Целевой показатель</w:t>
            </w:r>
          </w:p>
        </w:tc>
        <w:tc>
          <w:tcPr>
            <w:tcW w:type="dxa" w:w="3324"/>
          </w:tcPr>
          <w:p>
            <w:pPr>
              <w:spacing w:after="0" w:line="240" w:lineRule="auto"/>
              <w:ind w:firstLine="0"/>
              <w:jc w:val="center"/>
            </w:pPr>
            <w:r>
              <w:rPr>
                <w:b w:val="0"/>
                <w:i w:val="0"/>
                <w:sz w:val="20"/>
              </w:rPr>
              <w:t>20 тыс. т к 2020 г.</w:t>
            </w:r>
          </w:p>
        </w:tc>
        <w:tc>
          <w:tcPr>
            <w:tcW w:type="dxa" w:w="3324"/>
          </w:tcPr>
          <w:p>
            <w:pPr>
              <w:spacing w:after="0" w:line="240" w:lineRule="auto"/>
              <w:ind w:firstLine="0"/>
              <w:jc w:val="center"/>
            </w:pPr>
            <w:r>
              <w:rPr>
                <w:b w:val="0"/>
                <w:i w:val="0"/>
                <w:sz w:val="20"/>
              </w:rPr>
              <w:t>20 тыс. т к 2030 г.</w:t>
            </w:r>
          </w:p>
        </w:tc>
      </w:tr>
      <w:tr>
        <w:tc>
          <w:tcPr>
            <w:tcW w:type="dxa" w:w="3324"/>
          </w:tcPr>
          <w:p>
            <w:pPr>
              <w:spacing w:after="0" w:line="240" w:lineRule="auto"/>
              <w:ind w:firstLine="0"/>
              <w:jc w:val="left"/>
            </w:pPr>
            <w:r>
              <w:rPr>
                <w:b w:val="0"/>
                <w:i w:val="0"/>
                <w:sz w:val="20"/>
              </w:rPr>
              <w:t>Фактический результат</w:t>
            </w:r>
          </w:p>
        </w:tc>
        <w:tc>
          <w:tcPr>
            <w:tcW w:type="dxa" w:w="3324"/>
          </w:tcPr>
          <w:p>
            <w:pPr>
              <w:spacing w:after="0" w:line="240" w:lineRule="auto"/>
              <w:ind w:firstLine="0"/>
              <w:jc w:val="center"/>
            </w:pPr>
            <w:r>
              <w:rPr>
                <w:b w:val="0"/>
                <w:i w:val="0"/>
                <w:sz w:val="20"/>
              </w:rPr>
              <w:t>не достигнут</w:t>
            </w:r>
          </w:p>
        </w:tc>
        <w:tc>
          <w:tcPr>
            <w:tcW w:type="dxa" w:w="3324"/>
          </w:tcPr>
          <w:p>
            <w:pPr>
              <w:spacing w:after="0" w:line="240" w:lineRule="auto"/>
              <w:ind w:firstLine="0"/>
              <w:jc w:val="center"/>
            </w:pPr>
            <w:r>
              <w:rPr>
                <w:b w:val="0"/>
                <w:i w:val="0"/>
                <w:sz w:val="20"/>
              </w:rPr>
              <w:t>в процессе реализации</w:t>
            </w:r>
          </w:p>
        </w:tc>
      </w:tr>
    </w:tbl>
    <w:p>
      <w:pPr>
        <w:spacing w:after="180"/>
        <w:ind w:firstLine="0"/>
      </w:pPr>
      <w:r>
        <w:rPr>
          <w:i/>
          <w:sz w:val="20"/>
        </w:rPr>
        <w:t>Источник: аналитический центр</w:t>
      </w:r>
    </w:p>
    <w:p>
      <w:pPr>
        <w:pStyle w:val="Heading2"/>
      </w:pPr>
      <w:r>
        <w:rPr>
          <w:b w:val="0"/>
          <w:i w:val="0"/>
        </w:rPr>
        <w:t>15.3. Меры государственной поддержки</w:t>
      </w:r>
    </w:p>
    <w:p>
      <w:pPr>
        <w:keepNext/>
        <w:spacing w:before="160" w:after="60"/>
        <w:ind w:firstLine="0"/>
        <w:jc w:val="left"/>
      </w:pPr>
      <w:r>
        <w:rPr>
          <w:b/>
          <w:sz w:val="22"/>
        </w:rPr>
        <w:t>Таблица 107. Механизмы государственной поддержки редкоземельных проектов в Российской Федерации</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Механизм</w:t>
            </w:r>
          </w:p>
        </w:tc>
        <w:tc>
          <w:tcPr>
            <w:tcW w:type="dxa" w:w="2493"/>
            <w:shd w:val="clear" w:fill="DCE6F1"/>
          </w:tcPr>
          <w:p>
            <w:pPr>
              <w:spacing w:after="0" w:line="240" w:lineRule="auto"/>
              <w:ind w:firstLine="0"/>
              <w:jc w:val="center"/>
            </w:pPr>
            <w:r>
              <w:rPr>
                <w:b/>
                <w:i w:val="0"/>
                <w:sz w:val="20"/>
              </w:rPr>
              <w:t>Форма</w:t>
            </w:r>
          </w:p>
        </w:tc>
        <w:tc>
          <w:tcPr>
            <w:tcW w:type="dxa" w:w="2493"/>
            <w:shd w:val="clear" w:fill="DCE6F1"/>
          </w:tcPr>
          <w:p>
            <w:pPr>
              <w:spacing w:after="0" w:line="240" w:lineRule="auto"/>
              <w:ind w:firstLine="0"/>
              <w:jc w:val="center"/>
            </w:pPr>
            <w:r>
              <w:rPr>
                <w:b/>
                <w:i w:val="0"/>
                <w:sz w:val="20"/>
              </w:rPr>
              <w:t>Ориентир. объём</w:t>
            </w:r>
          </w:p>
        </w:tc>
        <w:tc>
          <w:tcPr>
            <w:tcW w:type="dxa" w:w="2493"/>
            <w:shd w:val="clear" w:fill="DCE6F1"/>
          </w:tcPr>
          <w:p>
            <w:pPr>
              <w:spacing w:after="0" w:line="240" w:lineRule="auto"/>
              <w:ind w:firstLine="0"/>
              <w:jc w:val="center"/>
            </w:pPr>
            <w:r>
              <w:rPr>
                <w:b/>
                <w:i w:val="0"/>
                <w:sz w:val="20"/>
              </w:rPr>
              <w:t>Применимость</w:t>
            </w:r>
          </w:p>
        </w:tc>
      </w:tr>
      <w:tr>
        <w:tc>
          <w:tcPr>
            <w:tcW w:type="dxa" w:w="2493"/>
          </w:tcPr>
          <w:p>
            <w:pPr>
              <w:spacing w:after="0" w:line="240" w:lineRule="auto"/>
              <w:ind w:firstLine="0"/>
              <w:jc w:val="left"/>
            </w:pPr>
            <w:r>
              <w:rPr>
                <w:b w:val="0"/>
                <w:i w:val="0"/>
                <w:sz w:val="20"/>
              </w:rPr>
              <w:t>Обнуление НДПИ</w:t>
            </w:r>
          </w:p>
        </w:tc>
        <w:tc>
          <w:tcPr>
            <w:tcW w:type="dxa" w:w="2493"/>
          </w:tcPr>
          <w:p>
            <w:pPr>
              <w:spacing w:after="0" w:line="240" w:lineRule="auto"/>
              <w:ind w:firstLine="0"/>
              <w:jc w:val="center"/>
            </w:pPr>
            <w:r>
              <w:rPr>
                <w:b w:val="0"/>
                <w:i w:val="0"/>
                <w:sz w:val="20"/>
              </w:rPr>
              <w:t>налоговая льгота</w:t>
            </w:r>
          </w:p>
        </w:tc>
        <w:tc>
          <w:tcPr>
            <w:tcW w:type="dxa" w:w="2493"/>
          </w:tcPr>
          <w:p>
            <w:pPr>
              <w:spacing w:after="0" w:line="240" w:lineRule="auto"/>
              <w:ind w:firstLine="0"/>
              <w:jc w:val="center"/>
            </w:pPr>
            <w:r>
              <w:rPr>
                <w:b w:val="0"/>
                <w:i w:val="0"/>
                <w:sz w:val="20"/>
              </w:rPr>
              <w:t>до окупаемости</w:t>
            </w:r>
          </w:p>
        </w:tc>
        <w:tc>
          <w:tcPr>
            <w:tcW w:type="dxa" w:w="2493"/>
          </w:tcPr>
          <w:p>
            <w:pPr>
              <w:spacing w:after="0" w:line="240" w:lineRule="auto"/>
              <w:ind w:firstLine="0"/>
              <w:jc w:val="center"/>
            </w:pPr>
            <w:r>
              <w:rPr>
                <w:b w:val="0"/>
                <w:i w:val="0"/>
                <w:sz w:val="20"/>
              </w:rPr>
              <w:t>новые редкометалльные проекты</w:t>
            </w:r>
          </w:p>
        </w:tc>
      </w:tr>
      <w:tr>
        <w:tc>
          <w:tcPr>
            <w:tcW w:type="dxa" w:w="2493"/>
          </w:tcPr>
          <w:p>
            <w:pPr>
              <w:spacing w:after="0" w:line="240" w:lineRule="auto"/>
              <w:ind w:firstLine="0"/>
              <w:jc w:val="left"/>
            </w:pPr>
            <w:r>
              <w:rPr>
                <w:b w:val="0"/>
                <w:i w:val="0"/>
                <w:sz w:val="20"/>
              </w:rPr>
              <w:t>Понижающий коэффициент НДПИ</w:t>
            </w:r>
          </w:p>
        </w:tc>
        <w:tc>
          <w:tcPr>
            <w:tcW w:type="dxa" w:w="2493"/>
          </w:tcPr>
          <w:p>
            <w:pPr>
              <w:spacing w:after="0" w:line="240" w:lineRule="auto"/>
              <w:ind w:firstLine="0"/>
              <w:jc w:val="center"/>
            </w:pPr>
            <w:r>
              <w:rPr>
                <w:b w:val="0"/>
                <w:i w:val="0"/>
                <w:sz w:val="20"/>
              </w:rPr>
              <w:t>налоговая льгота</w:t>
            </w:r>
          </w:p>
        </w:tc>
        <w:tc>
          <w:tcPr>
            <w:tcW w:type="dxa" w:w="2493"/>
          </w:tcPr>
          <w:p>
            <w:pPr>
              <w:spacing w:after="0" w:line="240" w:lineRule="auto"/>
              <w:ind w:firstLine="0"/>
              <w:jc w:val="center"/>
            </w:pPr>
            <w:r>
              <w:rPr>
                <w:b w:val="0"/>
                <w:i w:val="0"/>
                <w:sz w:val="20"/>
              </w:rPr>
              <w:t>коэфф. 0,1</w:t>
            </w:r>
          </w:p>
        </w:tc>
        <w:tc>
          <w:tcPr>
            <w:tcW w:type="dxa" w:w="2493"/>
          </w:tcPr>
          <w:p>
            <w:pPr>
              <w:spacing w:after="0" w:line="240" w:lineRule="auto"/>
              <w:ind w:firstLine="0"/>
              <w:jc w:val="center"/>
            </w:pPr>
            <w:r>
              <w:rPr>
                <w:b w:val="0"/>
                <w:i w:val="0"/>
                <w:sz w:val="20"/>
              </w:rPr>
              <w:t>отдельные виды сырья</w:t>
            </w:r>
          </w:p>
        </w:tc>
      </w:tr>
      <w:tr>
        <w:tc>
          <w:tcPr>
            <w:tcW w:type="dxa" w:w="2493"/>
          </w:tcPr>
          <w:p>
            <w:pPr>
              <w:spacing w:after="0" w:line="240" w:lineRule="auto"/>
              <w:ind w:firstLine="0"/>
              <w:jc w:val="left"/>
            </w:pPr>
            <w:r>
              <w:rPr>
                <w:b w:val="0"/>
                <w:i w:val="0"/>
                <w:sz w:val="20"/>
              </w:rPr>
              <w:t>Субсидии на НИОКР</w:t>
            </w:r>
          </w:p>
        </w:tc>
        <w:tc>
          <w:tcPr>
            <w:tcW w:type="dxa" w:w="2493"/>
          </w:tcPr>
          <w:p>
            <w:pPr>
              <w:spacing w:after="0" w:line="240" w:lineRule="auto"/>
              <w:ind w:firstLine="0"/>
              <w:jc w:val="center"/>
            </w:pPr>
            <w:r>
              <w:rPr>
                <w:b w:val="0"/>
                <w:i w:val="0"/>
                <w:sz w:val="20"/>
              </w:rPr>
              <w:t>грант</w:t>
            </w:r>
          </w:p>
        </w:tc>
        <w:tc>
          <w:tcPr>
            <w:tcW w:type="dxa" w:w="2493"/>
          </w:tcPr>
          <w:p>
            <w:pPr>
              <w:spacing w:after="0" w:line="240" w:lineRule="auto"/>
              <w:ind w:firstLine="0"/>
              <w:jc w:val="center"/>
            </w:pPr>
            <w:r>
              <w:rPr>
                <w:b w:val="0"/>
                <w:i w:val="0"/>
                <w:sz w:val="20"/>
              </w:rPr>
              <w:t>до 500 млн руб.</w:t>
            </w:r>
          </w:p>
        </w:tc>
        <w:tc>
          <w:tcPr>
            <w:tcW w:type="dxa" w:w="2493"/>
          </w:tcPr>
          <w:p>
            <w:pPr>
              <w:spacing w:after="0" w:line="240" w:lineRule="auto"/>
              <w:ind w:firstLine="0"/>
              <w:jc w:val="center"/>
            </w:pPr>
            <w:r>
              <w:rPr>
                <w:b w:val="0"/>
                <w:i w:val="0"/>
                <w:sz w:val="20"/>
              </w:rPr>
              <w:t>технологические проекты</w:t>
            </w:r>
          </w:p>
        </w:tc>
      </w:tr>
      <w:tr>
        <w:tc>
          <w:tcPr>
            <w:tcW w:type="dxa" w:w="2493"/>
          </w:tcPr>
          <w:p>
            <w:pPr>
              <w:spacing w:after="0" w:line="240" w:lineRule="auto"/>
              <w:ind w:firstLine="0"/>
              <w:jc w:val="left"/>
            </w:pPr>
            <w:r>
              <w:rPr>
                <w:b w:val="0"/>
                <w:i w:val="0"/>
                <w:sz w:val="20"/>
              </w:rPr>
              <w:t>Займы Фонда развития промышленности</w:t>
            </w:r>
          </w:p>
        </w:tc>
        <w:tc>
          <w:tcPr>
            <w:tcW w:type="dxa" w:w="2493"/>
          </w:tcPr>
          <w:p>
            <w:pPr>
              <w:spacing w:after="0" w:line="240" w:lineRule="auto"/>
              <w:ind w:firstLine="0"/>
              <w:jc w:val="center"/>
            </w:pPr>
            <w:r>
              <w:rPr>
                <w:b w:val="0"/>
                <w:i w:val="0"/>
                <w:sz w:val="20"/>
              </w:rPr>
              <w:t>льготный кредит</w:t>
            </w:r>
          </w:p>
        </w:tc>
        <w:tc>
          <w:tcPr>
            <w:tcW w:type="dxa" w:w="2493"/>
          </w:tcPr>
          <w:p>
            <w:pPr>
              <w:spacing w:after="0" w:line="240" w:lineRule="auto"/>
              <w:ind w:firstLine="0"/>
              <w:jc w:val="center"/>
            </w:pPr>
            <w:r>
              <w:rPr>
                <w:b w:val="0"/>
                <w:i w:val="0"/>
                <w:sz w:val="20"/>
              </w:rPr>
              <w:t>до 5 млрд руб.</w:t>
            </w:r>
          </w:p>
        </w:tc>
        <w:tc>
          <w:tcPr>
            <w:tcW w:type="dxa" w:w="2493"/>
          </w:tcPr>
          <w:p>
            <w:pPr>
              <w:spacing w:after="0" w:line="240" w:lineRule="auto"/>
              <w:ind w:firstLine="0"/>
              <w:jc w:val="center"/>
            </w:pPr>
            <w:r>
              <w:rPr>
                <w:b w:val="0"/>
                <w:i w:val="0"/>
                <w:sz w:val="20"/>
              </w:rPr>
              <w:t>производственные проекты</w:t>
            </w:r>
          </w:p>
        </w:tc>
      </w:tr>
      <w:tr>
        <w:tc>
          <w:tcPr>
            <w:tcW w:type="dxa" w:w="2493"/>
          </w:tcPr>
          <w:p>
            <w:pPr>
              <w:spacing w:after="0" w:line="240" w:lineRule="auto"/>
              <w:ind w:firstLine="0"/>
              <w:jc w:val="left"/>
            </w:pPr>
            <w:r>
              <w:rPr>
                <w:b w:val="0"/>
                <w:i w:val="0"/>
                <w:sz w:val="20"/>
              </w:rPr>
              <w:t>СЗПК</w:t>
            </w:r>
          </w:p>
        </w:tc>
        <w:tc>
          <w:tcPr>
            <w:tcW w:type="dxa" w:w="2493"/>
          </w:tcPr>
          <w:p>
            <w:pPr>
              <w:spacing w:after="0" w:line="240" w:lineRule="auto"/>
              <w:ind w:firstLine="0"/>
              <w:jc w:val="center"/>
            </w:pPr>
            <w:r>
              <w:rPr>
                <w:b w:val="0"/>
                <w:i w:val="0"/>
                <w:sz w:val="20"/>
              </w:rPr>
              <w:t>стабилизационная оговорка</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проекты свыше 1,5 млрд руб.</w:t>
            </w:r>
          </w:p>
        </w:tc>
      </w:tr>
      <w:tr>
        <w:tc>
          <w:tcPr>
            <w:tcW w:type="dxa" w:w="2493"/>
          </w:tcPr>
          <w:p>
            <w:pPr>
              <w:spacing w:after="0" w:line="240" w:lineRule="auto"/>
              <w:ind w:firstLine="0"/>
              <w:jc w:val="left"/>
            </w:pPr>
            <w:r>
              <w:rPr>
                <w:b w:val="0"/>
                <w:i w:val="0"/>
                <w:sz w:val="20"/>
              </w:rPr>
              <w:t>СПИК 2.0</w:t>
            </w:r>
          </w:p>
        </w:tc>
        <w:tc>
          <w:tcPr>
            <w:tcW w:type="dxa" w:w="2493"/>
          </w:tcPr>
          <w:p>
            <w:pPr>
              <w:spacing w:after="0" w:line="240" w:lineRule="auto"/>
              <w:ind w:firstLine="0"/>
              <w:jc w:val="center"/>
            </w:pPr>
            <w:r>
              <w:rPr>
                <w:b w:val="0"/>
                <w:i w:val="0"/>
                <w:sz w:val="20"/>
              </w:rPr>
              <w:t>контракт</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внедрение технологий</w:t>
            </w:r>
          </w:p>
        </w:tc>
      </w:tr>
      <w:tr>
        <w:tc>
          <w:tcPr>
            <w:tcW w:type="dxa" w:w="2493"/>
          </w:tcPr>
          <w:p>
            <w:pPr>
              <w:spacing w:after="0" w:line="240" w:lineRule="auto"/>
              <w:ind w:firstLine="0"/>
              <w:jc w:val="left"/>
            </w:pPr>
            <w:r>
              <w:rPr>
                <w:b w:val="0"/>
                <w:i w:val="0"/>
                <w:sz w:val="20"/>
              </w:rPr>
              <w:t>Дальневосточная и Арктическая зоны</w:t>
            </w:r>
          </w:p>
        </w:tc>
        <w:tc>
          <w:tcPr>
            <w:tcW w:type="dxa" w:w="2493"/>
          </w:tcPr>
          <w:p>
            <w:pPr>
              <w:spacing w:after="0" w:line="240" w:lineRule="auto"/>
              <w:ind w:firstLine="0"/>
              <w:jc w:val="center"/>
            </w:pPr>
            <w:r>
              <w:rPr>
                <w:b w:val="0"/>
                <w:i w:val="0"/>
                <w:sz w:val="20"/>
              </w:rPr>
              <w:t>налоговые преференции</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Томтор, Ловозеро</w:t>
            </w:r>
          </w:p>
        </w:tc>
      </w:tr>
      <w:tr>
        <w:tc>
          <w:tcPr>
            <w:tcW w:type="dxa" w:w="2493"/>
          </w:tcPr>
          <w:p>
            <w:pPr>
              <w:spacing w:after="0" w:line="240" w:lineRule="auto"/>
              <w:ind w:firstLine="0"/>
              <w:jc w:val="left"/>
            </w:pPr>
            <w:r>
              <w:rPr>
                <w:b w:val="0"/>
                <w:i w:val="0"/>
                <w:sz w:val="20"/>
              </w:rPr>
              <w:t>Механизм КППК</w:t>
            </w:r>
          </w:p>
        </w:tc>
        <w:tc>
          <w:tcPr>
            <w:tcW w:type="dxa" w:w="2493"/>
          </w:tcPr>
          <w:p>
            <w:pPr>
              <w:spacing w:after="0" w:line="240" w:lineRule="auto"/>
              <w:ind w:firstLine="0"/>
              <w:jc w:val="center"/>
            </w:pPr>
            <w:r>
              <w:rPr>
                <w:b w:val="0"/>
                <w:i w:val="0"/>
                <w:sz w:val="20"/>
              </w:rPr>
              <w:t>инфраструктурная поддержка</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транспортные решения</w:t>
            </w:r>
          </w:p>
        </w:tc>
      </w:tr>
      <w:tr>
        <w:tc>
          <w:tcPr>
            <w:tcW w:type="dxa" w:w="2493"/>
          </w:tcPr>
          <w:p>
            <w:pPr>
              <w:spacing w:after="0" w:line="240" w:lineRule="auto"/>
              <w:ind w:firstLine="0"/>
              <w:jc w:val="left"/>
            </w:pPr>
            <w:r>
              <w:rPr>
                <w:b w:val="0"/>
                <w:i w:val="0"/>
                <w:sz w:val="20"/>
              </w:rPr>
              <w:t>Государственные гарантии</w:t>
            </w:r>
          </w:p>
        </w:tc>
        <w:tc>
          <w:tcPr>
            <w:tcW w:type="dxa" w:w="2493"/>
          </w:tcPr>
          <w:p>
            <w:pPr>
              <w:spacing w:after="0" w:line="240" w:lineRule="auto"/>
              <w:ind w:firstLine="0"/>
              <w:jc w:val="center"/>
            </w:pPr>
            <w:r>
              <w:rPr>
                <w:b w:val="0"/>
                <w:i w:val="0"/>
                <w:sz w:val="20"/>
              </w:rPr>
              <w:t>гарантия</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крупные проекты</w:t>
            </w:r>
          </w:p>
        </w:tc>
      </w:tr>
      <w:tr>
        <w:tc>
          <w:tcPr>
            <w:tcW w:type="dxa" w:w="2493"/>
          </w:tcPr>
          <w:p>
            <w:pPr>
              <w:spacing w:after="0" w:line="240" w:lineRule="auto"/>
              <w:ind w:firstLine="0"/>
              <w:jc w:val="left"/>
            </w:pPr>
            <w:r>
              <w:rPr>
                <w:b w:val="0"/>
                <w:i w:val="0"/>
                <w:sz w:val="20"/>
              </w:rPr>
              <w:t>Инвестиции ГК «Росатом»</w:t>
            </w:r>
          </w:p>
        </w:tc>
        <w:tc>
          <w:tcPr>
            <w:tcW w:type="dxa" w:w="2493"/>
          </w:tcPr>
          <w:p>
            <w:pPr>
              <w:spacing w:after="0" w:line="240" w:lineRule="auto"/>
              <w:ind w:firstLine="0"/>
              <w:jc w:val="center"/>
            </w:pPr>
            <w:r>
              <w:rPr>
                <w:b w:val="0"/>
                <w:i w:val="0"/>
                <w:sz w:val="20"/>
              </w:rPr>
              <w:t>прямые инвестиции</w:t>
            </w:r>
          </w:p>
        </w:tc>
        <w:tc>
          <w:tcPr>
            <w:tcW w:type="dxa" w:w="2493"/>
          </w:tcPr>
          <w:p>
            <w:pPr>
              <w:spacing w:after="0" w:line="240" w:lineRule="auto"/>
              <w:ind w:firstLine="0"/>
              <w:jc w:val="center"/>
            </w:pPr>
            <w:r>
              <w:rPr>
                <w:b w:val="0"/>
                <w:i w:val="0"/>
                <w:sz w:val="20"/>
              </w:rPr>
              <w:t>десятки млрд руб.</w:t>
            </w:r>
          </w:p>
        </w:tc>
        <w:tc>
          <w:tcPr>
            <w:tcW w:type="dxa" w:w="2493"/>
          </w:tcPr>
          <w:p>
            <w:pPr>
              <w:spacing w:after="0" w:line="240" w:lineRule="auto"/>
              <w:ind w:firstLine="0"/>
              <w:jc w:val="center"/>
            </w:pPr>
            <w:r>
              <w:rPr>
                <w:b w:val="0"/>
                <w:i w:val="0"/>
                <w:sz w:val="20"/>
              </w:rPr>
              <w:t>проекты в контуре</w:t>
            </w:r>
          </w:p>
        </w:tc>
      </w:tr>
    </w:tbl>
    <w:p>
      <w:pPr>
        <w:spacing w:after="180"/>
        <w:ind w:firstLine="0"/>
      </w:pPr>
      <w:r>
        <w:rPr>
          <w:i/>
          <w:sz w:val="20"/>
        </w:rPr>
        <w:t>Источник: аналитический центр по данным нормативных актов и сообщений профильных ведомств</w:t>
      </w:r>
    </w:p>
    <w:p>
      <w:r>
        <w:rPr>
          <w:b/>
          <w:i w:val="0"/>
        </w:rPr>
        <w:t>Оценка достаточности мер.</w:t>
      </w:r>
      <w:r>
        <w:rPr>
          <w:b w:val="0"/>
          <w:i w:val="0"/>
        </w:rPr>
        <w:t xml:space="preserve"> Сопоставление российского набора инструментов с зарубежными (раздел 7.2) выявляет существенное различие. Российские меры сосредоточены на снижении капитальных и налоговых издержек производителя, тогда как ключевой инструмент, применяемый в США, — устранение ценового риска через гарантированный ценовой пол — в российской практике не применяется.</w:t>
      </w:r>
    </w:p>
    <w:p>
      <w:r>
        <w:rPr>
          <w:b w:val="0"/>
          <w:i w:val="0"/>
        </w:rPr>
        <w:t>Между тем анализ, приведённый в разделе 6.6, показывает, что именно ценовой риск, а не капитальные затраты, является главным препятствием для редкоземельных проектов. Проект с капитальными затратами 100 млрд руб. и себестоимостью 40 долл./кг NdPr при цене 90 долл./кг обеспечивает приемлемую доходность; тот же проект при цене 55 долл./кг убыточен независимо от объёма полученных субсидий. Введение механизма, аналогичного американскому ценовому полу, применительно к продукции российских редкоземельных проектов представляется наиболее действенной из потенциально доступных мер поддержки.</w:t>
      </w:r>
    </w:p>
    <w:p>
      <w:r>
        <w:rPr>
          <w:b w:val="0"/>
          <w:i w:val="0"/>
        </w:rPr>
        <w:t>Вторым отсутствующим элементом является механизм гарантированного спроса на конечную продукцию. Требования локализации в государственных закупках электротехнического оборудования, аналогичные американским требованиям к оборонным поставкам, могли бы сформировать базовый рынок для отечественного магнитного производства.</w:t>
      </w:r>
    </w:p>
    <w:p>
      <w:pPr>
        <w:pStyle w:val="Heading2"/>
      </w:pPr>
      <w:r>
        <w:rPr>
          <w:b w:val="0"/>
          <w:i w:val="0"/>
        </w:rPr>
        <w:t>15.4. Налоговый режим</w:t>
      </w:r>
    </w:p>
    <w:p>
      <w:pPr>
        <w:keepNext/>
        <w:spacing w:before="160" w:after="60"/>
        <w:ind w:firstLine="0"/>
        <w:jc w:val="left"/>
      </w:pPr>
      <w:r>
        <w:rPr>
          <w:b/>
          <w:sz w:val="22"/>
        </w:rPr>
        <w:t>Таблица 108. Налоговая нагрузка на редкоземельные проекты в Российской Федерации</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Налог / платёж</w:t>
            </w:r>
          </w:p>
        </w:tc>
        <w:tc>
          <w:tcPr>
            <w:tcW w:type="dxa" w:w="2493"/>
            <w:shd w:val="clear" w:fill="DCE6F1"/>
          </w:tcPr>
          <w:p>
            <w:pPr>
              <w:spacing w:after="0" w:line="240" w:lineRule="auto"/>
              <w:ind w:firstLine="0"/>
              <w:jc w:val="center"/>
            </w:pPr>
            <w:r>
              <w:rPr>
                <w:b/>
                <w:i w:val="0"/>
                <w:sz w:val="20"/>
              </w:rPr>
              <w:t>Базовая ставка</w:t>
            </w:r>
          </w:p>
        </w:tc>
        <w:tc>
          <w:tcPr>
            <w:tcW w:type="dxa" w:w="2493"/>
            <w:shd w:val="clear" w:fill="DCE6F1"/>
          </w:tcPr>
          <w:p>
            <w:pPr>
              <w:spacing w:after="0" w:line="240" w:lineRule="auto"/>
              <w:ind w:firstLine="0"/>
              <w:jc w:val="center"/>
            </w:pPr>
            <w:r>
              <w:rPr>
                <w:b/>
                <w:i w:val="0"/>
                <w:sz w:val="20"/>
              </w:rPr>
              <w:t>Льготный режим</w:t>
            </w:r>
          </w:p>
        </w:tc>
        <w:tc>
          <w:tcPr>
            <w:tcW w:type="dxa" w:w="2493"/>
            <w:shd w:val="clear" w:fill="DCE6F1"/>
          </w:tcPr>
          <w:p>
            <w:pPr>
              <w:spacing w:after="0" w:line="240" w:lineRule="auto"/>
              <w:ind w:firstLine="0"/>
              <w:jc w:val="center"/>
            </w:pPr>
            <w:r>
              <w:rPr>
                <w:b/>
                <w:i w:val="0"/>
                <w:sz w:val="20"/>
              </w:rPr>
              <w:t>Примечание</w:t>
            </w:r>
          </w:p>
        </w:tc>
      </w:tr>
      <w:tr>
        <w:tc>
          <w:tcPr>
            <w:tcW w:type="dxa" w:w="2493"/>
          </w:tcPr>
          <w:p>
            <w:pPr>
              <w:spacing w:after="0" w:line="240" w:lineRule="auto"/>
              <w:ind w:firstLine="0"/>
              <w:jc w:val="left"/>
            </w:pPr>
            <w:r>
              <w:rPr>
                <w:b w:val="0"/>
                <w:i w:val="0"/>
                <w:sz w:val="20"/>
              </w:rPr>
              <w:t>НДПИ (редкие металлы)</w:t>
            </w:r>
          </w:p>
        </w:tc>
        <w:tc>
          <w:tcPr>
            <w:tcW w:type="dxa" w:w="2493"/>
          </w:tcPr>
          <w:p>
            <w:pPr>
              <w:spacing w:after="0" w:line="240" w:lineRule="auto"/>
              <w:ind w:firstLine="0"/>
              <w:jc w:val="center"/>
            </w:pPr>
            <w:r>
              <w:rPr>
                <w:b w:val="0"/>
                <w:i w:val="0"/>
                <w:sz w:val="20"/>
              </w:rPr>
              <w:t>8,0%</w:t>
            </w:r>
          </w:p>
        </w:tc>
        <w:tc>
          <w:tcPr>
            <w:tcW w:type="dxa" w:w="2493"/>
          </w:tcPr>
          <w:p>
            <w:pPr>
              <w:spacing w:after="0" w:line="240" w:lineRule="auto"/>
              <w:ind w:firstLine="0"/>
              <w:jc w:val="center"/>
            </w:pPr>
            <w:r>
              <w:rPr>
                <w:b w:val="0"/>
                <w:i w:val="0"/>
                <w:sz w:val="20"/>
              </w:rPr>
              <w:t>0% на период окупаемости</w:t>
            </w:r>
          </w:p>
        </w:tc>
        <w:tc>
          <w:tcPr>
            <w:tcW w:type="dxa" w:w="2493"/>
          </w:tcPr>
          <w:p>
            <w:pPr>
              <w:spacing w:after="0" w:line="240" w:lineRule="auto"/>
              <w:ind w:firstLine="0"/>
              <w:jc w:val="center"/>
            </w:pPr>
            <w:r>
              <w:rPr>
                <w:b w:val="0"/>
                <w:i w:val="0"/>
                <w:sz w:val="20"/>
              </w:rPr>
              <w:t>для новых проектов</w:t>
            </w:r>
          </w:p>
        </w:tc>
      </w:tr>
      <w:tr>
        <w:tc>
          <w:tcPr>
            <w:tcW w:type="dxa" w:w="2493"/>
          </w:tcPr>
          <w:p>
            <w:pPr>
              <w:spacing w:after="0" w:line="240" w:lineRule="auto"/>
              <w:ind w:firstLine="0"/>
              <w:jc w:val="left"/>
            </w:pPr>
            <w:r>
              <w:rPr>
                <w:b w:val="0"/>
                <w:i w:val="0"/>
                <w:sz w:val="20"/>
              </w:rPr>
              <w:t>Налог на прибыль</w:t>
            </w:r>
          </w:p>
        </w:tc>
        <w:tc>
          <w:tcPr>
            <w:tcW w:type="dxa" w:w="2493"/>
          </w:tcPr>
          <w:p>
            <w:pPr>
              <w:spacing w:after="0" w:line="240" w:lineRule="auto"/>
              <w:ind w:firstLine="0"/>
              <w:jc w:val="center"/>
            </w:pPr>
            <w:r>
              <w:rPr>
                <w:b w:val="0"/>
                <w:i w:val="0"/>
                <w:sz w:val="20"/>
              </w:rPr>
              <w:t>25%</w:t>
            </w:r>
          </w:p>
        </w:tc>
        <w:tc>
          <w:tcPr>
            <w:tcW w:type="dxa" w:w="2493"/>
          </w:tcPr>
          <w:p>
            <w:pPr>
              <w:spacing w:after="0" w:line="240" w:lineRule="auto"/>
              <w:ind w:firstLine="0"/>
              <w:jc w:val="center"/>
            </w:pPr>
            <w:r>
              <w:rPr>
                <w:b w:val="0"/>
                <w:i w:val="0"/>
                <w:sz w:val="20"/>
              </w:rPr>
              <w:t>0–5% в АЗРФ/ТОР</w:t>
            </w:r>
          </w:p>
        </w:tc>
        <w:tc>
          <w:tcPr>
            <w:tcW w:type="dxa" w:w="2493"/>
          </w:tcPr>
          <w:p>
            <w:pPr>
              <w:spacing w:after="0" w:line="240" w:lineRule="auto"/>
              <w:ind w:firstLine="0"/>
              <w:jc w:val="center"/>
            </w:pPr>
            <w:r>
              <w:rPr>
                <w:b w:val="0"/>
                <w:i w:val="0"/>
                <w:sz w:val="20"/>
              </w:rPr>
              <w:t>региональные преференции</w:t>
            </w:r>
          </w:p>
        </w:tc>
      </w:tr>
      <w:tr>
        <w:tc>
          <w:tcPr>
            <w:tcW w:type="dxa" w:w="2493"/>
          </w:tcPr>
          <w:p>
            <w:pPr>
              <w:spacing w:after="0" w:line="240" w:lineRule="auto"/>
              <w:ind w:firstLine="0"/>
              <w:jc w:val="left"/>
            </w:pPr>
            <w:r>
              <w:rPr>
                <w:b w:val="0"/>
                <w:i w:val="0"/>
                <w:sz w:val="20"/>
              </w:rPr>
              <w:t>Налог на имущество</w:t>
            </w:r>
          </w:p>
        </w:tc>
        <w:tc>
          <w:tcPr>
            <w:tcW w:type="dxa" w:w="2493"/>
          </w:tcPr>
          <w:p>
            <w:pPr>
              <w:spacing w:after="0" w:line="240" w:lineRule="auto"/>
              <w:ind w:firstLine="0"/>
              <w:jc w:val="center"/>
            </w:pPr>
            <w:r>
              <w:rPr>
                <w:b w:val="0"/>
                <w:i w:val="0"/>
                <w:sz w:val="20"/>
              </w:rPr>
              <w:t>до 2,2%</w:t>
            </w:r>
          </w:p>
        </w:tc>
        <w:tc>
          <w:tcPr>
            <w:tcW w:type="dxa" w:w="2493"/>
          </w:tcPr>
          <w:p>
            <w:pPr>
              <w:spacing w:after="0" w:line="240" w:lineRule="auto"/>
              <w:ind w:firstLine="0"/>
              <w:jc w:val="center"/>
            </w:pPr>
            <w:r>
              <w:rPr>
                <w:b w:val="0"/>
                <w:i w:val="0"/>
                <w:sz w:val="20"/>
              </w:rPr>
              <w:t>0% в АЗРФ</w:t>
            </w:r>
          </w:p>
        </w:tc>
        <w:tc>
          <w:tcPr>
            <w:tcW w:type="dxa" w:w="2493"/>
          </w:tcPr>
          <w:p>
            <w:pPr>
              <w:spacing w:after="0" w:line="240" w:lineRule="auto"/>
              <w:ind w:firstLine="0"/>
              <w:jc w:val="center"/>
            </w:pPr>
            <w:r>
              <w:rPr>
                <w:b w:val="0"/>
                <w:i w:val="0"/>
                <w:sz w:val="20"/>
              </w:rPr>
              <w:t>для нового имущества</w:t>
            </w:r>
          </w:p>
        </w:tc>
      </w:tr>
      <w:tr>
        <w:tc>
          <w:tcPr>
            <w:tcW w:type="dxa" w:w="2493"/>
          </w:tcPr>
          <w:p>
            <w:pPr>
              <w:spacing w:after="0" w:line="240" w:lineRule="auto"/>
              <w:ind w:firstLine="0"/>
              <w:jc w:val="left"/>
            </w:pPr>
            <w:r>
              <w:rPr>
                <w:b w:val="0"/>
                <w:i w:val="0"/>
                <w:sz w:val="20"/>
              </w:rPr>
              <w:t>Страховые взносы</w:t>
            </w:r>
          </w:p>
        </w:tc>
        <w:tc>
          <w:tcPr>
            <w:tcW w:type="dxa" w:w="2493"/>
          </w:tcPr>
          <w:p>
            <w:pPr>
              <w:spacing w:after="0" w:line="240" w:lineRule="auto"/>
              <w:ind w:firstLine="0"/>
              <w:jc w:val="center"/>
            </w:pPr>
            <w:r>
              <w:rPr>
                <w:b w:val="0"/>
                <w:i w:val="0"/>
                <w:sz w:val="20"/>
              </w:rPr>
              <w:t>30%</w:t>
            </w:r>
          </w:p>
        </w:tc>
        <w:tc>
          <w:tcPr>
            <w:tcW w:type="dxa" w:w="2493"/>
          </w:tcPr>
          <w:p>
            <w:pPr>
              <w:spacing w:after="0" w:line="240" w:lineRule="auto"/>
              <w:ind w:firstLine="0"/>
              <w:jc w:val="center"/>
            </w:pPr>
            <w:r>
              <w:rPr>
                <w:b w:val="0"/>
                <w:i w:val="0"/>
                <w:sz w:val="20"/>
              </w:rPr>
              <w:t>7,6% для резидентов АЗРФ</w:t>
            </w:r>
          </w:p>
        </w:tc>
        <w:tc>
          <w:tcPr>
            <w:tcW w:type="dxa" w:w="2493"/>
          </w:tcPr>
          <w:p>
            <w:pPr>
              <w:spacing w:after="0" w:line="240" w:lineRule="auto"/>
              <w:ind w:firstLine="0"/>
              <w:jc w:val="center"/>
            </w:pPr>
            <w:r>
              <w:rPr>
                <w:b w:val="0"/>
                <w:i w:val="0"/>
                <w:sz w:val="20"/>
              </w:rPr>
              <w:t>ограничение по численности</w:t>
            </w:r>
          </w:p>
        </w:tc>
      </w:tr>
      <w:tr>
        <w:tc>
          <w:tcPr>
            <w:tcW w:type="dxa" w:w="2493"/>
          </w:tcPr>
          <w:p>
            <w:pPr>
              <w:spacing w:after="0" w:line="240" w:lineRule="auto"/>
              <w:ind w:firstLine="0"/>
              <w:jc w:val="left"/>
            </w:pPr>
            <w:r>
              <w:rPr>
                <w:b w:val="0"/>
                <w:i w:val="0"/>
                <w:sz w:val="20"/>
              </w:rPr>
              <w:t>НДС</w:t>
            </w:r>
          </w:p>
        </w:tc>
        <w:tc>
          <w:tcPr>
            <w:tcW w:type="dxa" w:w="2493"/>
          </w:tcPr>
          <w:p>
            <w:pPr>
              <w:spacing w:after="0" w:line="240" w:lineRule="auto"/>
              <w:ind w:firstLine="0"/>
              <w:jc w:val="center"/>
            </w:pPr>
            <w:r>
              <w:rPr>
                <w:b w:val="0"/>
                <w:i w:val="0"/>
                <w:sz w:val="20"/>
              </w:rPr>
              <w:t>20%</w:t>
            </w:r>
          </w:p>
        </w:tc>
        <w:tc>
          <w:tcPr>
            <w:tcW w:type="dxa" w:w="2493"/>
          </w:tcPr>
          <w:p>
            <w:pPr>
              <w:spacing w:after="0" w:line="240" w:lineRule="auto"/>
              <w:ind w:firstLine="0"/>
              <w:jc w:val="center"/>
            </w:pPr>
            <w:r>
              <w:rPr>
                <w:b w:val="0"/>
                <w:i w:val="0"/>
                <w:sz w:val="20"/>
              </w:rPr>
              <w:t>0% при экспорте</w:t>
            </w:r>
          </w:p>
        </w:tc>
        <w:tc>
          <w:tcPr>
            <w:tcW w:type="dxa" w:w="2493"/>
          </w:tcPr>
          <w:p>
            <w:pPr>
              <w:spacing w:after="0" w:line="240" w:lineRule="auto"/>
              <w:ind w:firstLine="0"/>
              <w:jc w:val="center"/>
            </w:pPr>
            <w:r>
              <w:rPr>
                <w:b w:val="0"/>
                <w:i w:val="0"/>
                <w:sz w:val="20"/>
              </w:rPr>
              <w:t>возмещение</w:t>
            </w:r>
          </w:p>
        </w:tc>
      </w:tr>
      <w:tr>
        <w:tc>
          <w:tcPr>
            <w:tcW w:type="dxa" w:w="2493"/>
          </w:tcPr>
          <w:p>
            <w:pPr>
              <w:spacing w:after="0" w:line="240" w:lineRule="auto"/>
              <w:ind w:firstLine="0"/>
              <w:jc w:val="left"/>
            </w:pPr>
            <w:r>
              <w:rPr>
                <w:b w:val="0"/>
                <w:i w:val="0"/>
                <w:sz w:val="20"/>
              </w:rPr>
              <w:t>Плата за негативное воздействие</w:t>
            </w:r>
          </w:p>
        </w:tc>
        <w:tc>
          <w:tcPr>
            <w:tcW w:type="dxa" w:w="2493"/>
          </w:tcPr>
          <w:p>
            <w:pPr>
              <w:spacing w:after="0" w:line="240" w:lineRule="auto"/>
              <w:ind w:firstLine="0"/>
              <w:jc w:val="center"/>
            </w:pPr>
            <w:r>
              <w:rPr>
                <w:b w:val="0"/>
                <w:i w:val="0"/>
                <w:sz w:val="20"/>
              </w:rPr>
              <w:t>по нормативам</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значима для гидрометаллургии</w:t>
            </w:r>
          </w:p>
        </w:tc>
      </w:tr>
      <w:tr>
        <w:tc>
          <w:tcPr>
            <w:tcW w:type="dxa" w:w="2493"/>
          </w:tcPr>
          <w:p>
            <w:pPr>
              <w:spacing w:after="0" w:line="240" w:lineRule="auto"/>
              <w:ind w:firstLine="0"/>
              <w:jc w:val="left"/>
            </w:pPr>
            <w:r>
              <w:rPr>
                <w:b w:val="0"/>
                <w:i w:val="0"/>
                <w:sz w:val="20"/>
              </w:rPr>
              <w:t>Регулярные платежи за пользование недрами</w:t>
            </w:r>
          </w:p>
        </w:tc>
        <w:tc>
          <w:tcPr>
            <w:tcW w:type="dxa" w:w="2493"/>
          </w:tcPr>
          <w:p>
            <w:pPr>
              <w:spacing w:after="0" w:line="240" w:lineRule="auto"/>
              <w:ind w:firstLine="0"/>
              <w:jc w:val="center"/>
            </w:pPr>
            <w:r>
              <w:rPr>
                <w:b w:val="0"/>
                <w:i w:val="0"/>
                <w:sz w:val="20"/>
              </w:rPr>
              <w:t>по ставкам</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на стадии разведки</w:t>
            </w:r>
          </w:p>
        </w:tc>
      </w:tr>
    </w:tbl>
    <w:p>
      <w:pPr>
        <w:spacing w:after="180"/>
        <w:ind w:firstLine="0"/>
      </w:pPr>
      <w:r>
        <w:rPr>
          <w:i/>
          <w:sz w:val="20"/>
        </w:rPr>
        <w:t>Источник: аналитический центр по данным Налогового кодекса РФ</w:t>
      </w:r>
    </w:p>
    <w:p>
      <w:r>
        <w:rPr>
          <w:b w:val="0"/>
          <w:i w:val="0"/>
        </w:rPr>
        <w:t>Совокупная налоговая нагрузка на редкоземельный проект при применении всех доступных льгот оценивается в 18–24% выручки против 32–38% при базовом режиме. Это существенное, но недостаточное для компенсации разрыва в себестоимости с китайскими производителями преимущество: разрыв составляет, по расчётам главы 6, порядка 20–25 долл./кг NdPr, или 35–45% выручки.</w:t>
      </w:r>
    </w:p>
    <w:p>
      <w:pPr>
        <w:pStyle w:val="Heading2"/>
      </w:pPr>
      <w:r>
        <w:rPr>
          <w:b w:val="0"/>
          <w:i w:val="0"/>
        </w:rPr>
        <w:t>15.5. Техническое регулирование и стандартизация</w:t>
      </w:r>
    </w:p>
    <w:p>
      <w:r>
        <w:rPr>
          <w:b w:val="0"/>
          <w:i w:val="0"/>
        </w:rPr>
        <w:t>Действующая система стандартов на редкоземельную продукцию в значительной мере сформирована в советский период и требует актуализации. Ключевые группы стандартов:</w:t>
      </w:r>
    </w:p>
    <w:p>
      <w:pPr>
        <w:pStyle w:val="ListBullet"/>
        <w:spacing w:after="20"/>
        <w:ind w:firstLine="0"/>
      </w:pPr>
      <w:r>
        <w:rPr>
          <w:b w:val="0"/>
          <w:i w:val="0"/>
        </w:rPr>
        <w:t>ГОСТ на металлы редкоземельные и их соединения (ряд стандартов 1970–1980-х гг.);</w:t>
      </w:r>
    </w:p>
    <w:p>
      <w:pPr>
        <w:pStyle w:val="ListBullet"/>
        <w:spacing w:after="20"/>
        <w:ind w:firstLine="0"/>
      </w:pPr>
      <w:r>
        <w:rPr>
          <w:b w:val="0"/>
          <w:i w:val="0"/>
        </w:rPr>
        <w:t>ГОСТ и ТУ на лигатуры и сплавы;</w:t>
      </w:r>
    </w:p>
    <w:p>
      <w:pPr>
        <w:pStyle w:val="ListBullet"/>
        <w:spacing w:after="20"/>
        <w:ind w:firstLine="0"/>
      </w:pPr>
      <w:r>
        <w:rPr>
          <w:b w:val="0"/>
          <w:i w:val="0"/>
        </w:rPr>
        <w:t>ГОСТ на магнитотвёрдые материалы;</w:t>
      </w:r>
    </w:p>
    <w:p>
      <w:pPr>
        <w:pStyle w:val="ListBullet"/>
        <w:spacing w:after="20"/>
        <w:ind w:firstLine="0"/>
      </w:pPr>
      <w:r>
        <w:rPr>
          <w:b w:val="0"/>
          <w:i w:val="0"/>
        </w:rPr>
        <w:t>отраслевые ТУ предприятий.</w:t>
      </w:r>
    </w:p>
    <w:p>
      <w:r>
        <w:rPr>
          <w:b w:val="0"/>
          <w:i w:val="0"/>
        </w:rPr>
        <w:t>Проблемы системы: несоответствие номенклатуры стандартов современной продукции (отсутствуют стандарты на оксиды чистотой выше 99,9%, на сплавы strip cast, на современные классы магнитов); несопоставимость с международными стандартами (китайские GB/T, японские JIS), что затрудняет внешнеторговые операции; отсутствие стандартизированных методик анализа для примесей на уровне ppm.</w:t>
      </w:r>
    </w:p>
    <w:p>
      <w:r>
        <w:rPr>
          <w:b w:val="0"/>
          <w:i w:val="0"/>
        </w:rPr>
        <w:t>Актуализация системы технического регулирования является необходимым условием как для внутреннего оборота продукции, так и для экспорта.</w:t>
      </w:r>
    </w:p>
    <w:p>
      <w:pPr>
        <w:keepNext/>
        <w:spacing w:before="160" w:after="60"/>
        <w:ind w:firstLine="0"/>
        <w:jc w:val="left"/>
      </w:pPr>
      <w:r>
        <w:rPr>
          <w:b/>
          <w:sz w:val="22"/>
        </w:rPr>
        <w:t>Таблица 109. Состояние технического регулирования редкоземельной продукции в РФ</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Группа продукции</w:t>
            </w:r>
          </w:p>
        </w:tc>
        <w:tc>
          <w:tcPr>
            <w:tcW w:type="dxa" w:w="2493"/>
            <w:shd w:val="clear" w:fill="DCE6F1"/>
          </w:tcPr>
          <w:p>
            <w:pPr>
              <w:spacing w:after="0" w:line="240" w:lineRule="auto"/>
              <w:ind w:firstLine="0"/>
              <w:jc w:val="center"/>
            </w:pPr>
            <w:r>
              <w:rPr>
                <w:b/>
                <w:i w:val="0"/>
                <w:sz w:val="20"/>
              </w:rPr>
              <w:t>Наличие стандартов</w:t>
            </w:r>
          </w:p>
        </w:tc>
        <w:tc>
          <w:tcPr>
            <w:tcW w:type="dxa" w:w="2493"/>
            <w:shd w:val="clear" w:fill="DCE6F1"/>
          </w:tcPr>
          <w:p>
            <w:pPr>
              <w:spacing w:after="0" w:line="240" w:lineRule="auto"/>
              <w:ind w:firstLine="0"/>
              <w:jc w:val="center"/>
            </w:pPr>
            <w:r>
              <w:rPr>
                <w:b/>
                <w:i w:val="0"/>
                <w:sz w:val="20"/>
              </w:rPr>
              <w:t>Актуальность</w:t>
            </w:r>
          </w:p>
        </w:tc>
        <w:tc>
          <w:tcPr>
            <w:tcW w:type="dxa" w:w="2493"/>
            <w:shd w:val="clear" w:fill="DCE6F1"/>
          </w:tcPr>
          <w:p>
            <w:pPr>
              <w:spacing w:after="0" w:line="240" w:lineRule="auto"/>
              <w:ind w:firstLine="0"/>
              <w:jc w:val="center"/>
            </w:pPr>
            <w:r>
              <w:rPr>
                <w:b/>
                <w:i w:val="0"/>
                <w:sz w:val="20"/>
              </w:rPr>
              <w:t>Потребность</w:t>
            </w:r>
          </w:p>
        </w:tc>
      </w:tr>
      <w:tr>
        <w:tc>
          <w:tcPr>
            <w:tcW w:type="dxa" w:w="2493"/>
          </w:tcPr>
          <w:p>
            <w:pPr>
              <w:spacing w:after="0" w:line="240" w:lineRule="auto"/>
              <w:ind w:firstLine="0"/>
              <w:jc w:val="left"/>
            </w:pPr>
            <w:r>
              <w:rPr>
                <w:b w:val="0"/>
                <w:i w:val="0"/>
                <w:sz w:val="20"/>
              </w:rPr>
              <w:t>Концентраты РЗМ</w:t>
            </w:r>
          </w:p>
        </w:tc>
        <w:tc>
          <w:tcPr>
            <w:tcW w:type="dxa" w:w="2493"/>
          </w:tcPr>
          <w:p>
            <w:pPr>
              <w:spacing w:after="0" w:line="240" w:lineRule="auto"/>
              <w:ind w:firstLine="0"/>
              <w:jc w:val="center"/>
            </w:pPr>
            <w:r>
              <w:rPr>
                <w:b w:val="0"/>
                <w:i w:val="0"/>
                <w:sz w:val="20"/>
              </w:rPr>
              <w:t>ТУ предприятий</w:t>
            </w:r>
          </w:p>
        </w:tc>
        <w:tc>
          <w:tcPr>
            <w:tcW w:type="dxa" w:w="2493"/>
          </w:tcPr>
          <w:p>
            <w:pPr>
              <w:spacing w:after="0" w:line="240" w:lineRule="auto"/>
              <w:ind w:firstLine="0"/>
              <w:jc w:val="center"/>
            </w:pPr>
            <w:r>
              <w:rPr>
                <w:b w:val="0"/>
                <w:i w:val="0"/>
                <w:sz w:val="20"/>
              </w:rPr>
              <w:t>низкая</w:t>
            </w:r>
          </w:p>
        </w:tc>
        <w:tc>
          <w:tcPr>
            <w:tcW w:type="dxa" w:w="2493"/>
          </w:tcPr>
          <w:p>
            <w:pPr>
              <w:spacing w:after="0" w:line="240" w:lineRule="auto"/>
              <w:ind w:firstLine="0"/>
              <w:jc w:val="center"/>
            </w:pPr>
            <w:r>
              <w:rPr>
                <w:b w:val="0"/>
                <w:i w:val="0"/>
                <w:sz w:val="20"/>
              </w:rPr>
              <w:t>разработка ГОСТ</w:t>
            </w:r>
          </w:p>
        </w:tc>
      </w:tr>
      <w:tr>
        <w:tc>
          <w:tcPr>
            <w:tcW w:type="dxa" w:w="2493"/>
          </w:tcPr>
          <w:p>
            <w:pPr>
              <w:spacing w:after="0" w:line="240" w:lineRule="auto"/>
              <w:ind w:firstLine="0"/>
              <w:jc w:val="left"/>
            </w:pPr>
            <w:r>
              <w:rPr>
                <w:b w:val="0"/>
                <w:i w:val="0"/>
                <w:sz w:val="20"/>
              </w:rPr>
              <w:t>Карбонаты, хлориды</w:t>
            </w:r>
          </w:p>
        </w:tc>
        <w:tc>
          <w:tcPr>
            <w:tcW w:type="dxa" w:w="2493"/>
          </w:tcPr>
          <w:p>
            <w:pPr>
              <w:spacing w:after="0" w:line="240" w:lineRule="auto"/>
              <w:ind w:firstLine="0"/>
              <w:jc w:val="center"/>
            </w:pPr>
            <w:r>
              <w:rPr>
                <w:b w:val="0"/>
                <w:i w:val="0"/>
                <w:sz w:val="20"/>
              </w:rPr>
              <w:t>ТУ предприятий</w:t>
            </w:r>
          </w:p>
        </w:tc>
        <w:tc>
          <w:tcPr>
            <w:tcW w:type="dxa" w:w="2493"/>
          </w:tcPr>
          <w:p>
            <w:pPr>
              <w:spacing w:after="0" w:line="240" w:lineRule="auto"/>
              <w:ind w:firstLine="0"/>
              <w:jc w:val="center"/>
            </w:pPr>
            <w:r>
              <w:rPr>
                <w:b w:val="0"/>
                <w:i w:val="0"/>
                <w:sz w:val="20"/>
              </w:rPr>
              <w:t>низкая</w:t>
            </w:r>
          </w:p>
        </w:tc>
        <w:tc>
          <w:tcPr>
            <w:tcW w:type="dxa" w:w="2493"/>
          </w:tcPr>
          <w:p>
            <w:pPr>
              <w:spacing w:after="0" w:line="240" w:lineRule="auto"/>
              <w:ind w:firstLine="0"/>
              <w:jc w:val="center"/>
            </w:pPr>
            <w:r>
              <w:rPr>
                <w:b w:val="0"/>
                <w:i w:val="0"/>
                <w:sz w:val="20"/>
              </w:rPr>
              <w:t>разработка ГОСТ</w:t>
            </w:r>
          </w:p>
        </w:tc>
      </w:tr>
      <w:tr>
        <w:tc>
          <w:tcPr>
            <w:tcW w:type="dxa" w:w="2493"/>
          </w:tcPr>
          <w:p>
            <w:pPr>
              <w:spacing w:after="0" w:line="240" w:lineRule="auto"/>
              <w:ind w:firstLine="0"/>
              <w:jc w:val="left"/>
            </w:pPr>
            <w:r>
              <w:rPr>
                <w:b w:val="0"/>
                <w:i w:val="0"/>
                <w:sz w:val="20"/>
              </w:rPr>
              <w:t>Оксиды 99–99,9%</w:t>
            </w:r>
          </w:p>
        </w:tc>
        <w:tc>
          <w:tcPr>
            <w:tcW w:type="dxa" w:w="2493"/>
          </w:tcPr>
          <w:p>
            <w:pPr>
              <w:spacing w:after="0" w:line="240" w:lineRule="auto"/>
              <w:ind w:firstLine="0"/>
              <w:jc w:val="center"/>
            </w:pPr>
            <w:r>
              <w:rPr>
                <w:b w:val="0"/>
                <w:i w:val="0"/>
                <w:sz w:val="20"/>
              </w:rPr>
              <w:t>ГОСТ (советские)</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актуализация</w:t>
            </w:r>
          </w:p>
        </w:tc>
      </w:tr>
      <w:tr>
        <w:tc>
          <w:tcPr>
            <w:tcW w:type="dxa" w:w="2493"/>
          </w:tcPr>
          <w:p>
            <w:pPr>
              <w:spacing w:after="0" w:line="240" w:lineRule="auto"/>
              <w:ind w:firstLine="0"/>
              <w:jc w:val="left"/>
            </w:pPr>
            <w:r>
              <w:rPr>
                <w:b w:val="0"/>
                <w:i w:val="0"/>
                <w:sz w:val="20"/>
              </w:rPr>
              <w:t>Оксиды 99,99%+</w:t>
            </w:r>
          </w:p>
        </w:tc>
        <w:tc>
          <w:tcPr>
            <w:tcW w:type="dxa" w:w="2493"/>
          </w:tcPr>
          <w:p>
            <w:pPr>
              <w:spacing w:after="0" w:line="240" w:lineRule="auto"/>
              <w:ind w:firstLine="0"/>
              <w:jc w:val="center"/>
            </w:pPr>
            <w:r>
              <w:rPr>
                <w:b w:val="0"/>
                <w:i w:val="0"/>
                <w:sz w:val="20"/>
              </w:rPr>
              <w:t>отсутствуют</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разработка</w:t>
            </w:r>
          </w:p>
        </w:tc>
      </w:tr>
      <w:tr>
        <w:tc>
          <w:tcPr>
            <w:tcW w:type="dxa" w:w="2493"/>
          </w:tcPr>
          <w:p>
            <w:pPr>
              <w:spacing w:after="0" w:line="240" w:lineRule="auto"/>
              <w:ind w:firstLine="0"/>
              <w:jc w:val="left"/>
            </w:pPr>
            <w:r>
              <w:rPr>
                <w:b w:val="0"/>
                <w:i w:val="0"/>
                <w:sz w:val="20"/>
              </w:rPr>
              <w:t>Металлы РЗМ</w:t>
            </w:r>
          </w:p>
        </w:tc>
        <w:tc>
          <w:tcPr>
            <w:tcW w:type="dxa" w:w="2493"/>
          </w:tcPr>
          <w:p>
            <w:pPr>
              <w:spacing w:after="0" w:line="240" w:lineRule="auto"/>
              <w:ind w:firstLine="0"/>
              <w:jc w:val="center"/>
            </w:pPr>
            <w:r>
              <w:rPr>
                <w:b w:val="0"/>
                <w:i w:val="0"/>
                <w:sz w:val="20"/>
              </w:rPr>
              <w:t>ГОСТ (советские)</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актуализация</w:t>
            </w:r>
          </w:p>
        </w:tc>
      </w:tr>
      <w:tr>
        <w:tc>
          <w:tcPr>
            <w:tcW w:type="dxa" w:w="2493"/>
          </w:tcPr>
          <w:p>
            <w:pPr>
              <w:spacing w:after="0" w:line="240" w:lineRule="auto"/>
              <w:ind w:firstLine="0"/>
              <w:jc w:val="left"/>
            </w:pPr>
            <w:r>
              <w:rPr>
                <w:b w:val="0"/>
                <w:i w:val="0"/>
                <w:sz w:val="20"/>
              </w:rPr>
              <w:t>Лигатуры и сплавы</w:t>
            </w:r>
          </w:p>
        </w:tc>
        <w:tc>
          <w:tcPr>
            <w:tcW w:type="dxa" w:w="2493"/>
          </w:tcPr>
          <w:p>
            <w:pPr>
              <w:spacing w:after="0" w:line="240" w:lineRule="auto"/>
              <w:ind w:firstLine="0"/>
              <w:jc w:val="center"/>
            </w:pPr>
            <w:r>
              <w:rPr>
                <w:b w:val="0"/>
                <w:i w:val="0"/>
                <w:sz w:val="20"/>
              </w:rPr>
              <w:t>ГОСТ, ТУ</w:t>
            </w:r>
          </w:p>
        </w:tc>
        <w:tc>
          <w:tcPr>
            <w:tcW w:type="dxa" w:w="2493"/>
          </w:tcPr>
          <w:p>
            <w:pPr>
              <w:spacing w:after="0" w:line="240" w:lineRule="auto"/>
              <w:ind w:firstLine="0"/>
              <w:jc w:val="center"/>
            </w:pPr>
            <w:r>
              <w:rPr>
                <w:b w:val="0"/>
                <w:i w:val="0"/>
                <w:sz w:val="20"/>
              </w:rPr>
              <w:t>средняя</w:t>
            </w:r>
          </w:p>
        </w:tc>
        <w:tc>
          <w:tcPr>
            <w:tcW w:type="dxa" w:w="2493"/>
          </w:tcPr>
          <w:p>
            <w:pPr>
              <w:spacing w:after="0" w:line="240" w:lineRule="auto"/>
              <w:ind w:firstLine="0"/>
              <w:jc w:val="center"/>
            </w:pPr>
            <w:r>
              <w:rPr>
                <w:b w:val="0"/>
                <w:i w:val="0"/>
                <w:sz w:val="20"/>
              </w:rPr>
              <w:t>актуализация</w:t>
            </w:r>
          </w:p>
        </w:tc>
      </w:tr>
      <w:tr>
        <w:tc>
          <w:tcPr>
            <w:tcW w:type="dxa" w:w="2493"/>
          </w:tcPr>
          <w:p>
            <w:pPr>
              <w:spacing w:after="0" w:line="240" w:lineRule="auto"/>
              <w:ind w:firstLine="0"/>
              <w:jc w:val="left"/>
            </w:pPr>
            <w:r>
              <w:rPr>
                <w:b w:val="0"/>
                <w:i w:val="0"/>
                <w:sz w:val="20"/>
              </w:rPr>
              <w:t>Сплав NdFeB</w:t>
            </w:r>
          </w:p>
        </w:tc>
        <w:tc>
          <w:tcPr>
            <w:tcW w:type="dxa" w:w="2493"/>
          </w:tcPr>
          <w:p>
            <w:pPr>
              <w:spacing w:after="0" w:line="240" w:lineRule="auto"/>
              <w:ind w:firstLine="0"/>
              <w:jc w:val="center"/>
            </w:pPr>
            <w:r>
              <w:rPr>
                <w:b w:val="0"/>
                <w:i w:val="0"/>
                <w:sz w:val="20"/>
              </w:rPr>
              <w:t>отсутствуют</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разработка</w:t>
            </w:r>
          </w:p>
        </w:tc>
      </w:tr>
      <w:tr>
        <w:tc>
          <w:tcPr>
            <w:tcW w:type="dxa" w:w="2493"/>
          </w:tcPr>
          <w:p>
            <w:pPr>
              <w:spacing w:after="0" w:line="240" w:lineRule="auto"/>
              <w:ind w:firstLine="0"/>
              <w:jc w:val="left"/>
            </w:pPr>
            <w:r>
              <w:rPr>
                <w:b w:val="0"/>
                <w:i w:val="0"/>
                <w:sz w:val="20"/>
              </w:rPr>
              <w:t>Магниты спечённые</w:t>
            </w:r>
          </w:p>
        </w:tc>
        <w:tc>
          <w:tcPr>
            <w:tcW w:type="dxa" w:w="2493"/>
          </w:tcPr>
          <w:p>
            <w:pPr>
              <w:spacing w:after="0" w:line="240" w:lineRule="auto"/>
              <w:ind w:firstLine="0"/>
              <w:jc w:val="center"/>
            </w:pPr>
            <w:r>
              <w:rPr>
                <w:b w:val="0"/>
                <w:i w:val="0"/>
                <w:sz w:val="20"/>
              </w:rPr>
              <w:t>ГОСТ (частично)</w:t>
            </w:r>
          </w:p>
        </w:tc>
        <w:tc>
          <w:tcPr>
            <w:tcW w:type="dxa" w:w="2493"/>
          </w:tcPr>
          <w:p>
            <w:pPr>
              <w:spacing w:after="0" w:line="240" w:lineRule="auto"/>
              <w:ind w:firstLine="0"/>
              <w:jc w:val="center"/>
            </w:pPr>
            <w:r>
              <w:rPr>
                <w:b w:val="0"/>
                <w:i w:val="0"/>
                <w:sz w:val="20"/>
              </w:rPr>
              <w:t>низкая</w:t>
            </w:r>
          </w:p>
        </w:tc>
        <w:tc>
          <w:tcPr>
            <w:tcW w:type="dxa" w:w="2493"/>
          </w:tcPr>
          <w:p>
            <w:pPr>
              <w:spacing w:after="0" w:line="240" w:lineRule="auto"/>
              <w:ind w:firstLine="0"/>
              <w:jc w:val="center"/>
            </w:pPr>
            <w:r>
              <w:rPr>
                <w:b w:val="0"/>
                <w:i w:val="0"/>
                <w:sz w:val="20"/>
              </w:rPr>
              <w:t>разработка</w:t>
            </w:r>
          </w:p>
        </w:tc>
      </w:tr>
      <w:tr>
        <w:tc>
          <w:tcPr>
            <w:tcW w:type="dxa" w:w="2493"/>
          </w:tcPr>
          <w:p>
            <w:pPr>
              <w:spacing w:after="0" w:line="240" w:lineRule="auto"/>
              <w:ind w:firstLine="0"/>
              <w:jc w:val="left"/>
            </w:pPr>
            <w:r>
              <w:rPr>
                <w:b w:val="0"/>
                <w:i w:val="0"/>
                <w:sz w:val="20"/>
              </w:rPr>
              <w:t>Методики анализа</w:t>
            </w:r>
          </w:p>
        </w:tc>
        <w:tc>
          <w:tcPr>
            <w:tcW w:type="dxa" w:w="2493"/>
          </w:tcPr>
          <w:p>
            <w:pPr>
              <w:spacing w:after="0" w:line="240" w:lineRule="auto"/>
              <w:ind w:firstLine="0"/>
              <w:jc w:val="center"/>
            </w:pPr>
            <w:r>
              <w:rPr>
                <w:b w:val="0"/>
                <w:i w:val="0"/>
                <w:sz w:val="20"/>
              </w:rPr>
              <w:t>частично</w:t>
            </w:r>
          </w:p>
        </w:tc>
        <w:tc>
          <w:tcPr>
            <w:tcW w:type="dxa" w:w="2493"/>
          </w:tcPr>
          <w:p>
            <w:pPr>
              <w:spacing w:after="0" w:line="240" w:lineRule="auto"/>
              <w:ind w:firstLine="0"/>
              <w:jc w:val="center"/>
            </w:pPr>
            <w:r>
              <w:rPr>
                <w:b w:val="0"/>
                <w:i w:val="0"/>
                <w:sz w:val="20"/>
              </w:rPr>
              <w:t>низкая</w:t>
            </w:r>
          </w:p>
        </w:tc>
        <w:tc>
          <w:tcPr>
            <w:tcW w:type="dxa" w:w="2493"/>
          </w:tcPr>
          <w:p>
            <w:pPr>
              <w:spacing w:after="0" w:line="240" w:lineRule="auto"/>
              <w:ind w:firstLine="0"/>
              <w:jc w:val="center"/>
            </w:pPr>
            <w:r>
              <w:rPr>
                <w:b w:val="0"/>
                <w:i w:val="0"/>
                <w:sz w:val="20"/>
              </w:rPr>
              <w:t>разработка</w:t>
            </w:r>
          </w:p>
        </w:tc>
      </w:tr>
    </w:tbl>
    <w:p>
      <w:pPr>
        <w:spacing w:after="180"/>
        <w:ind w:firstLine="0"/>
      </w:pPr>
      <w:r>
        <w:rPr>
          <w:i/>
          <w:sz w:val="20"/>
        </w:rPr>
        <w:t>Источник: аналитический центр</w:t>
      </w:r>
    </w:p>
    <w:p>
      <w:pPr>
        <w:pStyle w:val="Heading2"/>
      </w:pPr>
      <w:r>
        <w:rPr>
          <w:b w:val="0"/>
          <w:i w:val="0"/>
        </w:rPr>
        <w:t>15.6. Международное сотрудничество</w:t>
      </w:r>
    </w:p>
    <w:p>
      <w:r>
        <w:rPr>
          <w:b w:val="0"/>
          <w:i w:val="0"/>
        </w:rPr>
        <w:t>Возможности международного сотрудничества России в редкоземельной сфере после 2022 г. существенно сузились, однако не исчерпаны.</w:t>
      </w:r>
    </w:p>
    <w:p>
      <w:r>
        <w:rPr>
          <w:b/>
          <w:i w:val="0"/>
        </w:rPr>
        <w:t>Китайская Народная Республика.</w:t>
      </w:r>
      <w:r>
        <w:rPr>
          <w:b w:val="0"/>
          <w:i w:val="0"/>
        </w:rPr>
        <w:t xml:space="preserve"> Основной торговый партнёр (покупатель сырья, поставщик продукции высоких переделов). Потенциал сотрудничества в сфере технологий ограничен китайским запретом на экспорт технологий разделения и производства магнитов (декабрь 2023 г.), который распространяется на всех контрагентов без исключения. Возможные форматы: совместные предприятия на территории России с китайским участием (при условии готовности китайской стороны, что в текущих условиях маловероятно применительно к ключевым технологиям), поставки оборудования, привлечение специалистов.</w:t>
      </w:r>
    </w:p>
    <w:p>
      <w:r>
        <w:rPr>
          <w:b/>
          <w:i w:val="0"/>
        </w:rPr>
        <w:t>Индия.</w:t>
      </w:r>
      <w:r>
        <w:rPr>
          <w:b w:val="0"/>
          <w:i w:val="0"/>
        </w:rPr>
        <w:t xml:space="preserve"> Перспективное направление: страна располагает сырьевой базой и растущим спросом, но испытывает дефицит технологий разделения и, как и Россия, стремится снизить зависимость от КНР. Возможные форматы: обмен технологиями, совместные проекты.</w:t>
      </w:r>
    </w:p>
    <w:p>
      <w:r>
        <w:rPr>
          <w:b/>
          <w:i w:val="0"/>
        </w:rPr>
        <w:t>Страны ЕАЭС.</w:t>
      </w:r>
      <w:r>
        <w:rPr>
          <w:b w:val="0"/>
          <w:i w:val="0"/>
        </w:rPr>
        <w:t xml:space="preserve"> Наиболее реалистичное направление интеграции. Казахстан располагает попутными источниками и площадками; Киргизия — сырьевой базой Кутессая II. Формирование единой редкометалльной цепочки в рамках ЕАЭС имело бы смысл при координации сырьевых и перерабатывающих звеньев.</w:t>
      </w:r>
    </w:p>
    <w:p>
      <w:r>
        <w:rPr>
          <w:b/>
          <w:i w:val="0"/>
        </w:rPr>
        <w:t>БРИКС.</w:t>
      </w:r>
      <w:r>
        <w:rPr>
          <w:b w:val="0"/>
          <w:i w:val="0"/>
        </w:rPr>
        <w:t xml:space="preserve"> Бразилия (крупнейшие запасы после КНР) и ЮАР представляют интерес как партнёры по сырьевым и технологическим проектам.</w:t>
      </w:r>
    </w:p>
    <w:p>
      <w:r>
        <w:rPr>
          <w:b/>
          <w:i w:val="0"/>
        </w:rPr>
        <w:t>Страны Африки, Ближнего Востока, Юго-Восточной Азии.</w:t>
      </w:r>
      <w:r>
        <w:rPr>
          <w:b w:val="0"/>
          <w:i w:val="0"/>
        </w:rPr>
        <w:t xml:space="preserve"> Потенциал участия российских организаций в геологоразведочных и добычных проектах, а также поставок технологий переработки.</w:t>
      </w:r>
    </w:p>
    <w:p>
      <w:pPr>
        <w:keepNext/>
        <w:spacing w:before="160" w:after="60"/>
        <w:ind w:firstLine="0"/>
        <w:jc w:val="left"/>
      </w:pPr>
      <w:r>
        <w:rPr>
          <w:b/>
          <w:sz w:val="22"/>
        </w:rPr>
        <w:t>Таблица 110. Направления международного сотрудничества России в редкоземельной сфере</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Партнёр</w:t>
            </w:r>
          </w:p>
        </w:tc>
        <w:tc>
          <w:tcPr>
            <w:tcW w:type="dxa" w:w="2493"/>
            <w:shd w:val="clear" w:fill="DCE6F1"/>
          </w:tcPr>
          <w:p>
            <w:pPr>
              <w:spacing w:after="0" w:line="240" w:lineRule="auto"/>
              <w:ind w:firstLine="0"/>
              <w:jc w:val="center"/>
            </w:pPr>
            <w:r>
              <w:rPr>
                <w:b/>
                <w:i w:val="0"/>
                <w:sz w:val="20"/>
              </w:rPr>
              <w:t>Направление</w:t>
            </w:r>
          </w:p>
        </w:tc>
        <w:tc>
          <w:tcPr>
            <w:tcW w:type="dxa" w:w="2493"/>
            <w:shd w:val="clear" w:fill="DCE6F1"/>
          </w:tcPr>
          <w:p>
            <w:pPr>
              <w:spacing w:after="0" w:line="240" w:lineRule="auto"/>
              <w:ind w:firstLine="0"/>
              <w:jc w:val="center"/>
            </w:pPr>
            <w:r>
              <w:rPr>
                <w:b/>
                <w:i w:val="0"/>
                <w:sz w:val="20"/>
              </w:rPr>
              <w:t>Потенциал</w:t>
            </w:r>
          </w:p>
        </w:tc>
        <w:tc>
          <w:tcPr>
            <w:tcW w:type="dxa" w:w="2493"/>
            <w:shd w:val="clear" w:fill="DCE6F1"/>
          </w:tcPr>
          <w:p>
            <w:pPr>
              <w:spacing w:after="0" w:line="240" w:lineRule="auto"/>
              <w:ind w:firstLine="0"/>
              <w:jc w:val="center"/>
            </w:pPr>
            <w:r>
              <w:rPr>
                <w:b/>
                <w:i w:val="0"/>
                <w:sz w:val="20"/>
              </w:rPr>
              <w:t>Ограничения</w:t>
            </w:r>
          </w:p>
        </w:tc>
      </w:tr>
      <w:tr>
        <w:tc>
          <w:tcPr>
            <w:tcW w:type="dxa" w:w="2493"/>
          </w:tcPr>
          <w:p>
            <w:pPr>
              <w:spacing w:after="0" w:line="240" w:lineRule="auto"/>
              <w:ind w:firstLine="0"/>
              <w:jc w:val="left"/>
            </w:pPr>
            <w:r>
              <w:rPr>
                <w:b w:val="0"/>
                <w:i w:val="0"/>
                <w:sz w:val="20"/>
              </w:rPr>
              <w:t>КНР</w:t>
            </w:r>
          </w:p>
        </w:tc>
        <w:tc>
          <w:tcPr>
            <w:tcW w:type="dxa" w:w="2493"/>
          </w:tcPr>
          <w:p>
            <w:pPr>
              <w:spacing w:after="0" w:line="240" w:lineRule="auto"/>
              <w:ind w:firstLine="0"/>
              <w:jc w:val="center"/>
            </w:pPr>
            <w:r>
              <w:rPr>
                <w:b w:val="0"/>
                <w:i w:val="0"/>
                <w:sz w:val="20"/>
              </w:rPr>
              <w:t>торговля, оборудование</w:t>
            </w:r>
          </w:p>
        </w:tc>
        <w:tc>
          <w:tcPr>
            <w:tcW w:type="dxa" w:w="2493"/>
          </w:tcPr>
          <w:p>
            <w:pPr>
              <w:spacing w:after="0" w:line="240" w:lineRule="auto"/>
              <w:ind w:firstLine="0"/>
              <w:jc w:val="center"/>
            </w:pPr>
            <w:r>
              <w:rPr>
                <w:b w:val="0"/>
                <w:i w:val="0"/>
                <w:sz w:val="20"/>
              </w:rPr>
              <w:t>высокий</w:t>
            </w:r>
          </w:p>
        </w:tc>
        <w:tc>
          <w:tcPr>
            <w:tcW w:type="dxa" w:w="2493"/>
          </w:tcPr>
          <w:p>
            <w:pPr>
              <w:spacing w:after="0" w:line="240" w:lineRule="auto"/>
              <w:ind w:firstLine="0"/>
              <w:jc w:val="center"/>
            </w:pPr>
            <w:r>
              <w:rPr>
                <w:b w:val="0"/>
                <w:i w:val="0"/>
                <w:sz w:val="20"/>
              </w:rPr>
              <w:t>запрет экспорта технологий</w:t>
            </w:r>
          </w:p>
        </w:tc>
      </w:tr>
      <w:tr>
        <w:tc>
          <w:tcPr>
            <w:tcW w:type="dxa" w:w="2493"/>
          </w:tcPr>
          <w:p>
            <w:pPr>
              <w:spacing w:after="0" w:line="240" w:lineRule="auto"/>
              <w:ind w:firstLine="0"/>
              <w:jc w:val="left"/>
            </w:pPr>
            <w:r>
              <w:rPr>
                <w:b w:val="0"/>
                <w:i w:val="0"/>
                <w:sz w:val="20"/>
              </w:rPr>
              <w:t>Индия</w:t>
            </w:r>
          </w:p>
        </w:tc>
        <w:tc>
          <w:tcPr>
            <w:tcW w:type="dxa" w:w="2493"/>
          </w:tcPr>
          <w:p>
            <w:pPr>
              <w:spacing w:after="0" w:line="240" w:lineRule="auto"/>
              <w:ind w:firstLine="0"/>
              <w:jc w:val="center"/>
            </w:pPr>
            <w:r>
              <w:rPr>
                <w:b w:val="0"/>
                <w:i w:val="0"/>
                <w:sz w:val="20"/>
              </w:rPr>
              <w:t>технологии, совм. проекты</w:t>
            </w:r>
          </w:p>
        </w:tc>
        <w:tc>
          <w:tcPr>
            <w:tcW w:type="dxa" w:w="2493"/>
          </w:tcPr>
          <w:p>
            <w:pPr>
              <w:spacing w:after="0" w:line="240" w:lineRule="auto"/>
              <w:ind w:firstLine="0"/>
              <w:jc w:val="center"/>
            </w:pPr>
            <w:r>
              <w:rPr>
                <w:b w:val="0"/>
                <w:i w:val="0"/>
                <w:sz w:val="20"/>
              </w:rPr>
              <w:t>средний</w:t>
            </w:r>
          </w:p>
        </w:tc>
        <w:tc>
          <w:tcPr>
            <w:tcW w:type="dxa" w:w="2493"/>
          </w:tcPr>
          <w:p>
            <w:pPr>
              <w:spacing w:after="0" w:line="240" w:lineRule="auto"/>
              <w:ind w:firstLine="0"/>
              <w:jc w:val="center"/>
            </w:pPr>
            <w:r>
              <w:rPr>
                <w:b w:val="0"/>
                <w:i w:val="0"/>
                <w:sz w:val="20"/>
              </w:rPr>
              <w:t>конкуренция за рынки</w:t>
            </w:r>
          </w:p>
        </w:tc>
      </w:tr>
      <w:tr>
        <w:tc>
          <w:tcPr>
            <w:tcW w:type="dxa" w:w="2493"/>
          </w:tcPr>
          <w:p>
            <w:pPr>
              <w:spacing w:after="0" w:line="240" w:lineRule="auto"/>
              <w:ind w:firstLine="0"/>
              <w:jc w:val="left"/>
            </w:pPr>
            <w:r>
              <w:rPr>
                <w:b w:val="0"/>
                <w:i w:val="0"/>
                <w:sz w:val="20"/>
              </w:rPr>
              <w:t>Казахстан</w:t>
            </w:r>
          </w:p>
        </w:tc>
        <w:tc>
          <w:tcPr>
            <w:tcW w:type="dxa" w:w="2493"/>
          </w:tcPr>
          <w:p>
            <w:pPr>
              <w:spacing w:after="0" w:line="240" w:lineRule="auto"/>
              <w:ind w:firstLine="0"/>
              <w:jc w:val="center"/>
            </w:pPr>
            <w:r>
              <w:rPr>
                <w:b w:val="0"/>
                <w:i w:val="0"/>
                <w:sz w:val="20"/>
              </w:rPr>
              <w:t>сырьё, переработка</w:t>
            </w:r>
          </w:p>
        </w:tc>
        <w:tc>
          <w:tcPr>
            <w:tcW w:type="dxa" w:w="2493"/>
          </w:tcPr>
          <w:p>
            <w:pPr>
              <w:spacing w:after="0" w:line="240" w:lineRule="auto"/>
              <w:ind w:firstLine="0"/>
              <w:jc w:val="center"/>
            </w:pPr>
            <w:r>
              <w:rPr>
                <w:b w:val="0"/>
                <w:i w:val="0"/>
                <w:sz w:val="20"/>
              </w:rPr>
              <w:t>средний</w:t>
            </w:r>
          </w:p>
        </w:tc>
        <w:tc>
          <w:tcPr>
            <w:tcW w:type="dxa" w:w="2493"/>
          </w:tcPr>
          <w:p>
            <w:pPr>
              <w:spacing w:after="0" w:line="240" w:lineRule="auto"/>
              <w:ind w:firstLine="0"/>
              <w:jc w:val="center"/>
            </w:pPr>
            <w:r>
              <w:rPr>
                <w:b w:val="0"/>
                <w:i w:val="0"/>
                <w:sz w:val="20"/>
              </w:rPr>
              <w:t>малый масштаб</w:t>
            </w:r>
          </w:p>
        </w:tc>
      </w:tr>
      <w:tr>
        <w:tc>
          <w:tcPr>
            <w:tcW w:type="dxa" w:w="2493"/>
          </w:tcPr>
          <w:p>
            <w:pPr>
              <w:spacing w:after="0" w:line="240" w:lineRule="auto"/>
              <w:ind w:firstLine="0"/>
              <w:jc w:val="left"/>
            </w:pPr>
            <w:r>
              <w:rPr>
                <w:b w:val="0"/>
                <w:i w:val="0"/>
                <w:sz w:val="20"/>
              </w:rPr>
              <w:t>Киргизия</w:t>
            </w:r>
          </w:p>
        </w:tc>
        <w:tc>
          <w:tcPr>
            <w:tcW w:type="dxa" w:w="2493"/>
          </w:tcPr>
          <w:p>
            <w:pPr>
              <w:spacing w:after="0" w:line="240" w:lineRule="auto"/>
              <w:ind w:firstLine="0"/>
              <w:jc w:val="center"/>
            </w:pPr>
            <w:r>
              <w:rPr>
                <w:b w:val="0"/>
                <w:i w:val="0"/>
                <w:sz w:val="20"/>
              </w:rPr>
              <w:t>сырьевая база</w:t>
            </w:r>
          </w:p>
        </w:tc>
        <w:tc>
          <w:tcPr>
            <w:tcW w:type="dxa" w:w="2493"/>
          </w:tcPr>
          <w:p>
            <w:pPr>
              <w:spacing w:after="0" w:line="240" w:lineRule="auto"/>
              <w:ind w:firstLine="0"/>
              <w:jc w:val="center"/>
            </w:pPr>
            <w:r>
              <w:rPr>
                <w:b w:val="0"/>
                <w:i w:val="0"/>
                <w:sz w:val="20"/>
              </w:rPr>
              <w:t>низкий</w:t>
            </w:r>
          </w:p>
        </w:tc>
        <w:tc>
          <w:tcPr>
            <w:tcW w:type="dxa" w:w="2493"/>
          </w:tcPr>
          <w:p>
            <w:pPr>
              <w:spacing w:after="0" w:line="240" w:lineRule="auto"/>
              <w:ind w:firstLine="0"/>
              <w:jc w:val="center"/>
            </w:pPr>
            <w:r>
              <w:rPr>
                <w:b w:val="0"/>
                <w:i w:val="0"/>
                <w:sz w:val="20"/>
              </w:rPr>
              <w:t>инфраструктура, правовые риски</w:t>
            </w:r>
          </w:p>
        </w:tc>
      </w:tr>
      <w:tr>
        <w:tc>
          <w:tcPr>
            <w:tcW w:type="dxa" w:w="2493"/>
          </w:tcPr>
          <w:p>
            <w:pPr>
              <w:spacing w:after="0" w:line="240" w:lineRule="auto"/>
              <w:ind w:firstLine="0"/>
              <w:jc w:val="left"/>
            </w:pPr>
            <w:r>
              <w:rPr>
                <w:b w:val="0"/>
                <w:i w:val="0"/>
                <w:sz w:val="20"/>
              </w:rPr>
              <w:t>Бразилия</w:t>
            </w:r>
          </w:p>
        </w:tc>
        <w:tc>
          <w:tcPr>
            <w:tcW w:type="dxa" w:w="2493"/>
          </w:tcPr>
          <w:p>
            <w:pPr>
              <w:spacing w:after="0" w:line="240" w:lineRule="auto"/>
              <w:ind w:firstLine="0"/>
              <w:jc w:val="center"/>
            </w:pPr>
            <w:r>
              <w:rPr>
                <w:b w:val="0"/>
                <w:i w:val="0"/>
                <w:sz w:val="20"/>
              </w:rPr>
              <w:t>сырьевые проекты</w:t>
            </w:r>
          </w:p>
        </w:tc>
        <w:tc>
          <w:tcPr>
            <w:tcW w:type="dxa" w:w="2493"/>
          </w:tcPr>
          <w:p>
            <w:pPr>
              <w:spacing w:after="0" w:line="240" w:lineRule="auto"/>
              <w:ind w:firstLine="0"/>
              <w:jc w:val="center"/>
            </w:pPr>
            <w:r>
              <w:rPr>
                <w:b w:val="0"/>
                <w:i w:val="0"/>
                <w:sz w:val="20"/>
              </w:rPr>
              <w:t>средний</w:t>
            </w:r>
          </w:p>
        </w:tc>
        <w:tc>
          <w:tcPr>
            <w:tcW w:type="dxa" w:w="2493"/>
          </w:tcPr>
          <w:p>
            <w:pPr>
              <w:spacing w:after="0" w:line="240" w:lineRule="auto"/>
              <w:ind w:firstLine="0"/>
              <w:jc w:val="center"/>
            </w:pPr>
            <w:r>
              <w:rPr>
                <w:b w:val="0"/>
                <w:i w:val="0"/>
                <w:sz w:val="20"/>
              </w:rPr>
              <w:t>удалённость, конкуренция</w:t>
            </w:r>
          </w:p>
        </w:tc>
      </w:tr>
      <w:tr>
        <w:tc>
          <w:tcPr>
            <w:tcW w:type="dxa" w:w="2493"/>
          </w:tcPr>
          <w:p>
            <w:pPr>
              <w:spacing w:after="0" w:line="240" w:lineRule="auto"/>
              <w:ind w:firstLine="0"/>
              <w:jc w:val="left"/>
            </w:pPr>
            <w:r>
              <w:rPr>
                <w:b w:val="0"/>
                <w:i w:val="0"/>
                <w:sz w:val="20"/>
              </w:rPr>
              <w:t>ЮАР</w:t>
            </w:r>
          </w:p>
        </w:tc>
        <w:tc>
          <w:tcPr>
            <w:tcW w:type="dxa" w:w="2493"/>
          </w:tcPr>
          <w:p>
            <w:pPr>
              <w:spacing w:after="0" w:line="240" w:lineRule="auto"/>
              <w:ind w:firstLine="0"/>
              <w:jc w:val="center"/>
            </w:pPr>
            <w:r>
              <w:rPr>
                <w:b w:val="0"/>
                <w:i w:val="0"/>
                <w:sz w:val="20"/>
              </w:rPr>
              <w:t>сырьё, технологии</w:t>
            </w:r>
          </w:p>
        </w:tc>
        <w:tc>
          <w:tcPr>
            <w:tcW w:type="dxa" w:w="2493"/>
          </w:tcPr>
          <w:p>
            <w:pPr>
              <w:spacing w:after="0" w:line="240" w:lineRule="auto"/>
              <w:ind w:firstLine="0"/>
              <w:jc w:val="center"/>
            </w:pPr>
            <w:r>
              <w:rPr>
                <w:b w:val="0"/>
                <w:i w:val="0"/>
                <w:sz w:val="20"/>
              </w:rPr>
              <w:t>низкий</w:t>
            </w:r>
          </w:p>
        </w:tc>
        <w:tc>
          <w:tcPr>
            <w:tcW w:type="dxa" w:w="2493"/>
          </w:tcPr>
          <w:p>
            <w:pPr>
              <w:spacing w:after="0" w:line="240" w:lineRule="auto"/>
              <w:ind w:firstLine="0"/>
              <w:jc w:val="center"/>
            </w:pPr>
            <w:r>
              <w:rPr>
                <w:b w:val="0"/>
                <w:i w:val="0"/>
                <w:sz w:val="20"/>
              </w:rPr>
              <w:t>ограниченный масштаб</w:t>
            </w:r>
          </w:p>
        </w:tc>
      </w:tr>
      <w:tr>
        <w:tc>
          <w:tcPr>
            <w:tcW w:type="dxa" w:w="2493"/>
          </w:tcPr>
          <w:p>
            <w:pPr>
              <w:spacing w:after="0" w:line="240" w:lineRule="auto"/>
              <w:ind w:firstLine="0"/>
              <w:jc w:val="left"/>
            </w:pPr>
            <w:r>
              <w:rPr>
                <w:b w:val="0"/>
                <w:i w:val="0"/>
                <w:sz w:val="20"/>
              </w:rPr>
              <w:t>Иран, Турция</w:t>
            </w:r>
          </w:p>
        </w:tc>
        <w:tc>
          <w:tcPr>
            <w:tcW w:type="dxa" w:w="2493"/>
          </w:tcPr>
          <w:p>
            <w:pPr>
              <w:spacing w:after="0" w:line="240" w:lineRule="auto"/>
              <w:ind w:firstLine="0"/>
              <w:jc w:val="center"/>
            </w:pPr>
            <w:r>
              <w:rPr>
                <w:b w:val="0"/>
                <w:i w:val="0"/>
                <w:sz w:val="20"/>
              </w:rPr>
              <w:t>торговля</w:t>
            </w:r>
          </w:p>
        </w:tc>
        <w:tc>
          <w:tcPr>
            <w:tcW w:type="dxa" w:w="2493"/>
          </w:tcPr>
          <w:p>
            <w:pPr>
              <w:spacing w:after="0" w:line="240" w:lineRule="auto"/>
              <w:ind w:firstLine="0"/>
              <w:jc w:val="center"/>
            </w:pPr>
            <w:r>
              <w:rPr>
                <w:b w:val="0"/>
                <w:i w:val="0"/>
                <w:sz w:val="20"/>
              </w:rPr>
              <w:t>низкий</w:t>
            </w:r>
          </w:p>
        </w:tc>
        <w:tc>
          <w:tcPr>
            <w:tcW w:type="dxa" w:w="2493"/>
          </w:tcPr>
          <w:p>
            <w:pPr>
              <w:spacing w:after="0" w:line="240" w:lineRule="auto"/>
              <w:ind w:firstLine="0"/>
              <w:jc w:val="center"/>
            </w:pPr>
            <w:r>
              <w:rPr>
                <w:b w:val="0"/>
                <w:i w:val="0"/>
                <w:sz w:val="20"/>
              </w:rPr>
              <w:t>отсутствие спроса</w:t>
            </w:r>
          </w:p>
        </w:tc>
      </w:tr>
      <w:tr>
        <w:tc>
          <w:tcPr>
            <w:tcW w:type="dxa" w:w="2493"/>
          </w:tcPr>
          <w:p>
            <w:pPr>
              <w:spacing w:after="0" w:line="240" w:lineRule="auto"/>
              <w:ind w:firstLine="0"/>
              <w:jc w:val="left"/>
            </w:pPr>
            <w:r>
              <w:rPr>
                <w:b w:val="0"/>
                <w:i w:val="0"/>
                <w:sz w:val="20"/>
              </w:rPr>
              <w:t>Страны Африки</w:t>
            </w:r>
          </w:p>
        </w:tc>
        <w:tc>
          <w:tcPr>
            <w:tcW w:type="dxa" w:w="2493"/>
          </w:tcPr>
          <w:p>
            <w:pPr>
              <w:spacing w:after="0" w:line="240" w:lineRule="auto"/>
              <w:ind w:firstLine="0"/>
              <w:jc w:val="center"/>
            </w:pPr>
            <w:r>
              <w:rPr>
                <w:b w:val="0"/>
                <w:i w:val="0"/>
                <w:sz w:val="20"/>
              </w:rPr>
              <w:t>геологоразведка</w:t>
            </w:r>
          </w:p>
        </w:tc>
        <w:tc>
          <w:tcPr>
            <w:tcW w:type="dxa" w:w="2493"/>
          </w:tcPr>
          <w:p>
            <w:pPr>
              <w:spacing w:after="0" w:line="240" w:lineRule="auto"/>
              <w:ind w:firstLine="0"/>
              <w:jc w:val="center"/>
            </w:pPr>
            <w:r>
              <w:rPr>
                <w:b w:val="0"/>
                <w:i w:val="0"/>
                <w:sz w:val="20"/>
              </w:rPr>
              <w:t>средний</w:t>
            </w:r>
          </w:p>
        </w:tc>
        <w:tc>
          <w:tcPr>
            <w:tcW w:type="dxa" w:w="2493"/>
          </w:tcPr>
          <w:p>
            <w:pPr>
              <w:spacing w:after="0" w:line="240" w:lineRule="auto"/>
              <w:ind w:firstLine="0"/>
              <w:jc w:val="center"/>
            </w:pPr>
            <w:r>
              <w:rPr>
                <w:b w:val="0"/>
                <w:i w:val="0"/>
                <w:sz w:val="20"/>
              </w:rPr>
              <w:t>политические риски</w:t>
            </w:r>
          </w:p>
        </w:tc>
      </w:tr>
      <w:tr>
        <w:tc>
          <w:tcPr>
            <w:tcW w:type="dxa" w:w="2493"/>
          </w:tcPr>
          <w:p>
            <w:pPr>
              <w:spacing w:after="0" w:line="240" w:lineRule="auto"/>
              <w:ind w:firstLine="0"/>
              <w:jc w:val="left"/>
            </w:pPr>
            <w:r>
              <w:rPr>
                <w:b w:val="0"/>
                <w:i w:val="0"/>
                <w:sz w:val="20"/>
              </w:rPr>
              <w:t>Беларусь</w:t>
            </w:r>
          </w:p>
        </w:tc>
        <w:tc>
          <w:tcPr>
            <w:tcW w:type="dxa" w:w="2493"/>
          </w:tcPr>
          <w:p>
            <w:pPr>
              <w:spacing w:after="0" w:line="240" w:lineRule="auto"/>
              <w:ind w:firstLine="0"/>
              <w:jc w:val="center"/>
            </w:pPr>
            <w:r>
              <w:rPr>
                <w:b w:val="0"/>
                <w:i w:val="0"/>
                <w:sz w:val="20"/>
              </w:rPr>
              <w:t>потребление, кооперация</w:t>
            </w:r>
          </w:p>
        </w:tc>
        <w:tc>
          <w:tcPr>
            <w:tcW w:type="dxa" w:w="2493"/>
          </w:tcPr>
          <w:p>
            <w:pPr>
              <w:spacing w:after="0" w:line="240" w:lineRule="auto"/>
              <w:ind w:firstLine="0"/>
              <w:jc w:val="center"/>
            </w:pPr>
            <w:r>
              <w:rPr>
                <w:b w:val="0"/>
                <w:i w:val="0"/>
                <w:sz w:val="20"/>
              </w:rPr>
              <w:t>низкий</w:t>
            </w:r>
          </w:p>
        </w:tc>
        <w:tc>
          <w:tcPr>
            <w:tcW w:type="dxa" w:w="2493"/>
          </w:tcPr>
          <w:p>
            <w:pPr>
              <w:spacing w:after="0" w:line="240" w:lineRule="auto"/>
              <w:ind w:firstLine="0"/>
              <w:jc w:val="center"/>
            </w:pPr>
            <w:r>
              <w:rPr>
                <w:b w:val="0"/>
                <w:i w:val="0"/>
                <w:sz w:val="20"/>
              </w:rPr>
              <w:t>отсутствие спроса</w:t>
            </w:r>
          </w:p>
        </w:tc>
      </w:tr>
    </w:tbl>
    <w:p>
      <w:pPr>
        <w:spacing w:after="180"/>
        <w:ind w:firstLine="0"/>
      </w:pPr>
      <w:r>
        <w:rPr>
          <w:i/>
          <w:sz w:val="20"/>
        </w:rPr>
        <w:t>Источник: оценка аналитического центра</w:t>
      </w:r>
    </w:p>
    <w:p>
      <w:pPr>
        <w:pStyle w:val="Heading2"/>
      </w:pPr>
      <w:r>
        <w:rPr>
          <w:b w:val="0"/>
          <w:i w:val="0"/>
        </w:rPr>
        <w:t>15.7. Оценка институциональной среды</w:t>
      </w:r>
    </w:p>
    <w:p>
      <w:r>
        <w:rPr>
          <w:b w:val="0"/>
          <w:i w:val="0"/>
        </w:rPr>
        <w:t>Совокупная оценка институциональных условий развития отрасли позволяет выделить сильные и слабые стороны сложившейся конфигурации.</w:t>
      </w:r>
    </w:p>
    <w:p>
      <w:r>
        <w:rPr>
          <w:b/>
          <w:i w:val="0"/>
        </w:rPr>
        <w:t>Сильные стороны:</w:t>
      </w:r>
    </w:p>
    <w:p>
      <w:pPr>
        <w:pStyle w:val="ListBullet"/>
        <w:spacing w:after="20"/>
        <w:ind w:firstLine="0"/>
      </w:pPr>
      <w:r>
        <w:rPr>
          <w:b w:val="0"/>
          <w:i w:val="0"/>
        </w:rPr>
        <w:t>наличие единого ответственного оператора с инвестиционным ресурсом и компетенциями;</w:t>
      </w:r>
    </w:p>
    <w:p>
      <w:pPr>
        <w:pStyle w:val="ListBullet"/>
        <w:spacing w:after="20"/>
        <w:ind w:firstLine="0"/>
      </w:pPr>
      <w:r>
        <w:rPr>
          <w:b w:val="0"/>
          <w:i w:val="0"/>
        </w:rPr>
        <w:t>консолидация ключевых активов в едином контуре;</w:t>
      </w:r>
    </w:p>
    <w:p>
      <w:pPr>
        <w:pStyle w:val="ListBullet"/>
        <w:spacing w:after="20"/>
        <w:ind w:firstLine="0"/>
      </w:pPr>
      <w:r>
        <w:rPr>
          <w:b w:val="0"/>
          <w:i w:val="0"/>
        </w:rPr>
        <w:t>политическая приоритетность направления, обеспечивающая доступ к мерам поддержки;</w:t>
      </w:r>
    </w:p>
    <w:p>
      <w:pPr>
        <w:pStyle w:val="ListBullet"/>
        <w:spacing w:after="20"/>
        <w:ind w:firstLine="0"/>
      </w:pPr>
      <w:r>
        <w:rPr>
          <w:b w:val="0"/>
          <w:i w:val="0"/>
        </w:rPr>
        <w:t>наличие сырьевой базы, не требующей приобретения зарубежных активов;</w:t>
      </w:r>
    </w:p>
    <w:p>
      <w:pPr>
        <w:pStyle w:val="ListBullet"/>
        <w:spacing w:after="20"/>
        <w:ind w:firstLine="0"/>
      </w:pPr>
      <w:r>
        <w:rPr>
          <w:b w:val="0"/>
          <w:i w:val="0"/>
        </w:rPr>
        <w:t>отсутствие внутренних экологических ограничений, сопоставимых по жёсткости с американскими и европейскими;</w:t>
      </w:r>
    </w:p>
    <w:p>
      <w:pPr>
        <w:pStyle w:val="ListBullet"/>
        <w:spacing w:after="20"/>
        <w:ind w:firstLine="0"/>
      </w:pPr>
      <w:r>
        <w:rPr>
          <w:b w:val="0"/>
          <w:i w:val="0"/>
        </w:rPr>
        <w:t>наличие компетенций в области радиохимии, критичных при работе с торийсодержащим сырьём.</w:t>
      </w:r>
    </w:p>
    <w:p>
      <w:r>
        <w:rPr>
          <w:b/>
          <w:i w:val="0"/>
        </w:rPr>
        <w:t>Слабые стороны:</w:t>
      </w:r>
    </w:p>
    <w:p>
      <w:pPr>
        <w:pStyle w:val="ListBullet"/>
        <w:spacing w:after="20"/>
        <w:ind w:firstLine="0"/>
      </w:pPr>
      <w:r>
        <w:rPr>
          <w:b w:val="0"/>
          <w:i w:val="0"/>
        </w:rPr>
        <w:t>отсутствие механизма нейтрализации ценового риска;</w:t>
      </w:r>
    </w:p>
    <w:p>
      <w:pPr>
        <w:pStyle w:val="ListBullet"/>
        <w:spacing w:after="20"/>
        <w:ind w:firstLine="0"/>
      </w:pPr>
      <w:r>
        <w:rPr>
          <w:b w:val="0"/>
          <w:i w:val="0"/>
        </w:rPr>
        <w:t>отсутствие внутреннего рынка достаточной ёмкости;</w:t>
      </w:r>
    </w:p>
    <w:p>
      <w:pPr>
        <w:pStyle w:val="ListBullet"/>
        <w:spacing w:after="20"/>
        <w:ind w:firstLine="0"/>
      </w:pPr>
      <w:r>
        <w:rPr>
          <w:b w:val="0"/>
          <w:i w:val="0"/>
        </w:rPr>
        <w:t>монопольная структура, ослабляющая стимулы к эффективности;</w:t>
      </w:r>
    </w:p>
    <w:p>
      <w:pPr>
        <w:pStyle w:val="ListBullet"/>
        <w:spacing w:after="20"/>
        <w:ind w:firstLine="0"/>
      </w:pPr>
      <w:r>
        <w:rPr>
          <w:b w:val="0"/>
          <w:i w:val="0"/>
        </w:rPr>
        <w:t>ограниченный доступ к технологиям и оборудованию конечных переделов;</w:t>
      </w:r>
    </w:p>
    <w:p>
      <w:pPr>
        <w:pStyle w:val="ListBullet"/>
        <w:spacing w:after="20"/>
        <w:ind w:firstLine="0"/>
      </w:pPr>
      <w:r>
        <w:rPr>
          <w:b w:val="0"/>
          <w:i w:val="0"/>
        </w:rPr>
        <w:t>кадровый дефицит по критическим специальностям;</w:t>
      </w:r>
    </w:p>
    <w:p>
      <w:pPr>
        <w:pStyle w:val="ListBullet"/>
        <w:spacing w:after="20"/>
        <w:ind w:firstLine="0"/>
      </w:pPr>
      <w:r>
        <w:rPr>
          <w:b w:val="0"/>
          <w:i w:val="0"/>
        </w:rPr>
        <w:t>несоответствие целевых показателей срокам технологической готовности.</w:t>
      </w:r>
    </w:p>
    <w:p>
      <w:pPr>
        <w:keepNext/>
        <w:spacing w:before="160" w:after="60"/>
        <w:ind w:firstLine="0"/>
        <w:jc w:val="left"/>
      </w:pPr>
      <w:r>
        <w:rPr>
          <w:b/>
          <w:sz w:val="22"/>
        </w:rPr>
        <w:t>Таблица 111. Оценка институциональных условий развития редкоземельной отрасли РФ в сопоставлении с зарубежными юрисдикциями (шкала 1–5)</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Фактор</w:t>
            </w:r>
          </w:p>
        </w:tc>
        <w:tc>
          <w:tcPr>
            <w:tcW w:type="dxa" w:w="1662"/>
            <w:shd w:val="clear" w:fill="DCE6F1"/>
          </w:tcPr>
          <w:p>
            <w:pPr>
              <w:spacing w:after="0" w:line="240" w:lineRule="auto"/>
              <w:ind w:firstLine="0"/>
              <w:jc w:val="center"/>
            </w:pPr>
            <w:r>
              <w:rPr>
                <w:b/>
                <w:i w:val="0"/>
                <w:sz w:val="20"/>
              </w:rPr>
              <w:t>Россия</w:t>
            </w:r>
          </w:p>
        </w:tc>
        <w:tc>
          <w:tcPr>
            <w:tcW w:type="dxa" w:w="1662"/>
            <w:shd w:val="clear" w:fill="DCE6F1"/>
          </w:tcPr>
          <w:p>
            <w:pPr>
              <w:spacing w:after="0" w:line="240" w:lineRule="auto"/>
              <w:ind w:firstLine="0"/>
              <w:jc w:val="center"/>
            </w:pPr>
            <w:r>
              <w:rPr>
                <w:b/>
                <w:i w:val="0"/>
                <w:sz w:val="20"/>
              </w:rPr>
              <w:t>КНР</w:t>
            </w:r>
          </w:p>
        </w:tc>
        <w:tc>
          <w:tcPr>
            <w:tcW w:type="dxa" w:w="1662"/>
            <w:shd w:val="clear" w:fill="DCE6F1"/>
          </w:tcPr>
          <w:p>
            <w:pPr>
              <w:spacing w:after="0" w:line="240" w:lineRule="auto"/>
              <w:ind w:firstLine="0"/>
              <w:jc w:val="center"/>
            </w:pPr>
            <w:r>
              <w:rPr>
                <w:b/>
                <w:i w:val="0"/>
                <w:sz w:val="20"/>
              </w:rPr>
              <w:t>США</w:t>
            </w:r>
          </w:p>
        </w:tc>
        <w:tc>
          <w:tcPr>
            <w:tcW w:type="dxa" w:w="1662"/>
            <w:shd w:val="clear" w:fill="DCE6F1"/>
          </w:tcPr>
          <w:p>
            <w:pPr>
              <w:spacing w:after="0" w:line="240" w:lineRule="auto"/>
              <w:ind w:firstLine="0"/>
              <w:jc w:val="center"/>
            </w:pPr>
            <w:r>
              <w:rPr>
                <w:b/>
                <w:i w:val="0"/>
                <w:sz w:val="20"/>
              </w:rPr>
              <w:t>ЕС</w:t>
            </w:r>
          </w:p>
        </w:tc>
        <w:tc>
          <w:tcPr>
            <w:tcW w:type="dxa" w:w="1662"/>
            <w:shd w:val="clear" w:fill="DCE6F1"/>
          </w:tcPr>
          <w:p>
            <w:pPr>
              <w:spacing w:after="0" w:line="240" w:lineRule="auto"/>
              <w:ind w:firstLine="0"/>
              <w:jc w:val="center"/>
            </w:pPr>
            <w:r>
              <w:rPr>
                <w:b/>
                <w:i w:val="0"/>
                <w:sz w:val="20"/>
              </w:rPr>
              <w:t>Австралия</w:t>
            </w:r>
          </w:p>
        </w:tc>
      </w:tr>
      <w:tr>
        <w:tc>
          <w:tcPr>
            <w:tcW w:type="dxa" w:w="1662"/>
          </w:tcPr>
          <w:p>
            <w:pPr>
              <w:spacing w:after="0" w:line="240" w:lineRule="auto"/>
              <w:ind w:firstLine="0"/>
              <w:jc w:val="left"/>
            </w:pPr>
            <w:r>
              <w:rPr>
                <w:b w:val="0"/>
                <w:i w:val="0"/>
                <w:sz w:val="20"/>
              </w:rPr>
              <w:t>Сырьевая база</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2</w:t>
            </w:r>
          </w:p>
        </w:tc>
        <w:tc>
          <w:tcPr>
            <w:tcW w:type="dxa" w:w="1662"/>
          </w:tcPr>
          <w:p>
            <w:pPr>
              <w:spacing w:after="0" w:line="240" w:lineRule="auto"/>
              <w:ind w:firstLine="0"/>
              <w:jc w:val="center"/>
            </w:pPr>
            <w:r>
              <w:rPr>
                <w:b w:val="0"/>
                <w:i w:val="0"/>
                <w:sz w:val="20"/>
              </w:rPr>
              <w:t>4</w:t>
            </w:r>
          </w:p>
        </w:tc>
      </w:tr>
      <w:tr>
        <w:tc>
          <w:tcPr>
            <w:tcW w:type="dxa" w:w="1662"/>
          </w:tcPr>
          <w:p>
            <w:pPr>
              <w:spacing w:after="0" w:line="240" w:lineRule="auto"/>
              <w:ind w:firstLine="0"/>
              <w:jc w:val="left"/>
            </w:pPr>
            <w:r>
              <w:rPr>
                <w:b w:val="0"/>
                <w:i w:val="0"/>
                <w:sz w:val="20"/>
              </w:rPr>
              <w:t>Технологии переработки</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3</w:t>
            </w:r>
          </w:p>
        </w:tc>
      </w:tr>
      <w:tr>
        <w:tc>
          <w:tcPr>
            <w:tcW w:type="dxa" w:w="1662"/>
          </w:tcPr>
          <w:p>
            <w:pPr>
              <w:spacing w:after="0" w:line="240" w:lineRule="auto"/>
              <w:ind w:firstLine="0"/>
              <w:jc w:val="left"/>
            </w:pPr>
            <w:r>
              <w:rPr>
                <w:b w:val="0"/>
                <w:i w:val="0"/>
                <w:sz w:val="20"/>
              </w:rPr>
              <w:t>Технологии магнитов</w:t>
            </w:r>
          </w:p>
        </w:tc>
        <w:tc>
          <w:tcPr>
            <w:tcW w:type="dxa" w:w="1662"/>
          </w:tcPr>
          <w:p>
            <w:pPr>
              <w:spacing w:after="0" w:line="240" w:lineRule="auto"/>
              <w:ind w:firstLine="0"/>
              <w:jc w:val="center"/>
            </w:pPr>
            <w:r>
              <w:rPr>
                <w:b w:val="0"/>
                <w:i w:val="0"/>
                <w:sz w:val="20"/>
              </w:rPr>
              <w:t>1</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2</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1</w:t>
            </w:r>
          </w:p>
        </w:tc>
      </w:tr>
      <w:tr>
        <w:tc>
          <w:tcPr>
            <w:tcW w:type="dxa" w:w="1662"/>
          </w:tcPr>
          <w:p>
            <w:pPr>
              <w:spacing w:after="0" w:line="240" w:lineRule="auto"/>
              <w:ind w:firstLine="0"/>
              <w:jc w:val="left"/>
            </w:pPr>
            <w:r>
              <w:rPr>
                <w:b w:val="0"/>
                <w:i w:val="0"/>
                <w:sz w:val="20"/>
              </w:rPr>
              <w:t>Доступ к капиталу</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4</w:t>
            </w:r>
          </w:p>
        </w:tc>
        <w:tc>
          <w:tcPr>
            <w:tcW w:type="dxa" w:w="1662"/>
          </w:tcPr>
          <w:p>
            <w:pPr>
              <w:spacing w:after="0" w:line="240" w:lineRule="auto"/>
              <w:ind w:firstLine="0"/>
              <w:jc w:val="center"/>
            </w:pPr>
            <w:r>
              <w:rPr>
                <w:b w:val="0"/>
                <w:i w:val="0"/>
                <w:sz w:val="20"/>
              </w:rPr>
              <w:t>4</w:t>
            </w:r>
          </w:p>
        </w:tc>
      </w:tr>
      <w:tr>
        <w:tc>
          <w:tcPr>
            <w:tcW w:type="dxa" w:w="1662"/>
          </w:tcPr>
          <w:p>
            <w:pPr>
              <w:spacing w:after="0" w:line="240" w:lineRule="auto"/>
              <w:ind w:firstLine="0"/>
              <w:jc w:val="left"/>
            </w:pPr>
            <w:r>
              <w:rPr>
                <w:b w:val="0"/>
                <w:i w:val="0"/>
                <w:sz w:val="20"/>
              </w:rPr>
              <w:t>Внутренний рынок</w:t>
            </w:r>
          </w:p>
        </w:tc>
        <w:tc>
          <w:tcPr>
            <w:tcW w:type="dxa" w:w="1662"/>
          </w:tcPr>
          <w:p>
            <w:pPr>
              <w:spacing w:after="0" w:line="240" w:lineRule="auto"/>
              <w:ind w:firstLine="0"/>
              <w:jc w:val="center"/>
            </w:pPr>
            <w:r>
              <w:rPr>
                <w:b w:val="0"/>
                <w:i w:val="0"/>
                <w:sz w:val="20"/>
              </w:rPr>
              <w:t>1</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4</w:t>
            </w:r>
          </w:p>
        </w:tc>
        <w:tc>
          <w:tcPr>
            <w:tcW w:type="dxa" w:w="1662"/>
          </w:tcPr>
          <w:p>
            <w:pPr>
              <w:spacing w:after="0" w:line="240" w:lineRule="auto"/>
              <w:ind w:firstLine="0"/>
              <w:jc w:val="center"/>
            </w:pPr>
            <w:r>
              <w:rPr>
                <w:b w:val="0"/>
                <w:i w:val="0"/>
                <w:sz w:val="20"/>
              </w:rPr>
              <w:t>4</w:t>
            </w:r>
          </w:p>
        </w:tc>
        <w:tc>
          <w:tcPr>
            <w:tcW w:type="dxa" w:w="1662"/>
          </w:tcPr>
          <w:p>
            <w:pPr>
              <w:spacing w:after="0" w:line="240" w:lineRule="auto"/>
              <w:ind w:firstLine="0"/>
              <w:jc w:val="center"/>
            </w:pPr>
            <w:r>
              <w:rPr>
                <w:b w:val="0"/>
                <w:i w:val="0"/>
                <w:sz w:val="20"/>
              </w:rPr>
              <w:t>1</w:t>
            </w:r>
          </w:p>
        </w:tc>
      </w:tr>
      <w:tr>
        <w:tc>
          <w:tcPr>
            <w:tcW w:type="dxa" w:w="1662"/>
          </w:tcPr>
          <w:p>
            <w:pPr>
              <w:spacing w:after="0" w:line="240" w:lineRule="auto"/>
              <w:ind w:firstLine="0"/>
              <w:jc w:val="left"/>
            </w:pPr>
            <w:r>
              <w:rPr>
                <w:b w:val="0"/>
                <w:i w:val="0"/>
                <w:sz w:val="20"/>
              </w:rPr>
              <w:t>Механизмы поддержки</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4</w:t>
            </w:r>
          </w:p>
        </w:tc>
      </w:tr>
      <w:tr>
        <w:tc>
          <w:tcPr>
            <w:tcW w:type="dxa" w:w="1662"/>
          </w:tcPr>
          <w:p>
            <w:pPr>
              <w:spacing w:after="0" w:line="240" w:lineRule="auto"/>
              <w:ind w:firstLine="0"/>
              <w:jc w:val="left"/>
            </w:pPr>
            <w:r>
              <w:rPr>
                <w:b w:val="0"/>
                <w:i w:val="0"/>
                <w:sz w:val="20"/>
              </w:rPr>
              <w:t>Ценовая защита</w:t>
            </w:r>
          </w:p>
        </w:tc>
        <w:tc>
          <w:tcPr>
            <w:tcW w:type="dxa" w:w="1662"/>
          </w:tcPr>
          <w:p>
            <w:pPr>
              <w:spacing w:after="0" w:line="240" w:lineRule="auto"/>
              <w:ind w:firstLine="0"/>
              <w:jc w:val="center"/>
            </w:pPr>
            <w:r>
              <w:rPr>
                <w:b w:val="0"/>
                <w:i w:val="0"/>
                <w:sz w:val="20"/>
              </w:rPr>
              <w:t>1</w:t>
            </w:r>
          </w:p>
        </w:tc>
        <w:tc>
          <w:tcPr>
            <w:tcW w:type="dxa" w:w="1662"/>
          </w:tcPr>
          <w:p>
            <w:pPr>
              <w:spacing w:after="0" w:line="240" w:lineRule="auto"/>
              <w:ind w:firstLine="0"/>
              <w:jc w:val="center"/>
            </w:pPr>
            <w:r>
              <w:rPr>
                <w:b w:val="0"/>
                <w:i w:val="0"/>
                <w:sz w:val="20"/>
              </w:rPr>
              <w:t>4</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2</w:t>
            </w:r>
          </w:p>
        </w:tc>
        <w:tc>
          <w:tcPr>
            <w:tcW w:type="dxa" w:w="1662"/>
          </w:tcPr>
          <w:p>
            <w:pPr>
              <w:spacing w:after="0" w:line="240" w:lineRule="auto"/>
              <w:ind w:firstLine="0"/>
              <w:jc w:val="center"/>
            </w:pPr>
            <w:r>
              <w:rPr>
                <w:b w:val="0"/>
                <w:i w:val="0"/>
                <w:sz w:val="20"/>
              </w:rPr>
              <w:t>2</w:t>
            </w:r>
          </w:p>
        </w:tc>
      </w:tr>
      <w:tr>
        <w:tc>
          <w:tcPr>
            <w:tcW w:type="dxa" w:w="1662"/>
          </w:tcPr>
          <w:p>
            <w:pPr>
              <w:spacing w:after="0" w:line="240" w:lineRule="auto"/>
              <w:ind w:firstLine="0"/>
              <w:jc w:val="left"/>
            </w:pPr>
            <w:r>
              <w:rPr>
                <w:b w:val="0"/>
                <w:i w:val="0"/>
                <w:sz w:val="20"/>
              </w:rPr>
              <w:t>Кадры</w:t>
            </w:r>
          </w:p>
        </w:tc>
        <w:tc>
          <w:tcPr>
            <w:tcW w:type="dxa" w:w="1662"/>
          </w:tcPr>
          <w:p>
            <w:pPr>
              <w:spacing w:after="0" w:line="240" w:lineRule="auto"/>
              <w:ind w:firstLine="0"/>
              <w:jc w:val="center"/>
            </w:pPr>
            <w:r>
              <w:rPr>
                <w:b w:val="0"/>
                <w:i w:val="0"/>
                <w:sz w:val="20"/>
              </w:rPr>
              <w:t>2</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3</w:t>
            </w:r>
          </w:p>
        </w:tc>
      </w:tr>
      <w:tr>
        <w:tc>
          <w:tcPr>
            <w:tcW w:type="dxa" w:w="1662"/>
          </w:tcPr>
          <w:p>
            <w:pPr>
              <w:spacing w:after="0" w:line="240" w:lineRule="auto"/>
              <w:ind w:firstLine="0"/>
              <w:jc w:val="left"/>
            </w:pPr>
            <w:r>
              <w:rPr>
                <w:b w:val="0"/>
                <w:i w:val="0"/>
                <w:sz w:val="20"/>
              </w:rPr>
              <w:t>Экологические условия</w:t>
            </w:r>
          </w:p>
        </w:tc>
        <w:tc>
          <w:tcPr>
            <w:tcW w:type="dxa" w:w="1662"/>
          </w:tcPr>
          <w:p>
            <w:pPr>
              <w:spacing w:after="0" w:line="240" w:lineRule="auto"/>
              <w:ind w:firstLine="0"/>
              <w:jc w:val="center"/>
            </w:pPr>
            <w:r>
              <w:rPr>
                <w:b w:val="0"/>
                <w:i w:val="0"/>
                <w:sz w:val="20"/>
              </w:rPr>
              <w:t>4</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2</w:t>
            </w:r>
          </w:p>
        </w:tc>
        <w:tc>
          <w:tcPr>
            <w:tcW w:type="dxa" w:w="1662"/>
          </w:tcPr>
          <w:p>
            <w:pPr>
              <w:spacing w:after="0" w:line="240" w:lineRule="auto"/>
              <w:ind w:firstLine="0"/>
              <w:jc w:val="center"/>
            </w:pPr>
            <w:r>
              <w:rPr>
                <w:b w:val="0"/>
                <w:i w:val="0"/>
                <w:sz w:val="20"/>
              </w:rPr>
              <w:t>2</w:t>
            </w:r>
          </w:p>
        </w:tc>
        <w:tc>
          <w:tcPr>
            <w:tcW w:type="dxa" w:w="1662"/>
          </w:tcPr>
          <w:p>
            <w:pPr>
              <w:spacing w:after="0" w:line="240" w:lineRule="auto"/>
              <w:ind w:firstLine="0"/>
              <w:jc w:val="center"/>
            </w:pPr>
            <w:r>
              <w:rPr>
                <w:b w:val="0"/>
                <w:i w:val="0"/>
                <w:sz w:val="20"/>
              </w:rPr>
              <w:t>3</w:t>
            </w:r>
          </w:p>
        </w:tc>
      </w:tr>
      <w:tr>
        <w:tc>
          <w:tcPr>
            <w:tcW w:type="dxa" w:w="1662"/>
          </w:tcPr>
          <w:p>
            <w:pPr>
              <w:spacing w:after="0" w:line="240" w:lineRule="auto"/>
              <w:ind w:firstLine="0"/>
              <w:jc w:val="left"/>
            </w:pPr>
            <w:r>
              <w:rPr>
                <w:b w:val="0"/>
                <w:i w:val="0"/>
                <w:sz w:val="20"/>
              </w:rPr>
              <w:t>Доступ к оборудованию</w:t>
            </w:r>
          </w:p>
        </w:tc>
        <w:tc>
          <w:tcPr>
            <w:tcW w:type="dxa" w:w="1662"/>
          </w:tcPr>
          <w:p>
            <w:pPr>
              <w:spacing w:after="0" w:line="240" w:lineRule="auto"/>
              <w:ind w:firstLine="0"/>
              <w:jc w:val="center"/>
            </w:pPr>
            <w:r>
              <w:rPr>
                <w:b w:val="0"/>
                <w:i w:val="0"/>
                <w:sz w:val="20"/>
              </w:rPr>
              <w:t>2</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4</w:t>
            </w:r>
          </w:p>
        </w:tc>
        <w:tc>
          <w:tcPr>
            <w:tcW w:type="dxa" w:w="1662"/>
          </w:tcPr>
          <w:p>
            <w:pPr>
              <w:spacing w:after="0" w:line="240" w:lineRule="auto"/>
              <w:ind w:firstLine="0"/>
              <w:jc w:val="center"/>
            </w:pPr>
            <w:r>
              <w:rPr>
                <w:b w:val="0"/>
                <w:i w:val="0"/>
                <w:sz w:val="20"/>
              </w:rPr>
              <w:t>4</w:t>
            </w:r>
          </w:p>
        </w:tc>
        <w:tc>
          <w:tcPr>
            <w:tcW w:type="dxa" w:w="1662"/>
          </w:tcPr>
          <w:p>
            <w:pPr>
              <w:spacing w:after="0" w:line="240" w:lineRule="auto"/>
              <w:ind w:firstLine="0"/>
              <w:jc w:val="center"/>
            </w:pPr>
            <w:r>
              <w:rPr>
                <w:b w:val="0"/>
                <w:i w:val="0"/>
                <w:sz w:val="20"/>
              </w:rPr>
              <w:t>4</w:t>
            </w:r>
          </w:p>
        </w:tc>
      </w:tr>
      <w:tr>
        <w:tc>
          <w:tcPr>
            <w:tcW w:type="dxa" w:w="1662"/>
          </w:tcPr>
          <w:p>
            <w:pPr>
              <w:spacing w:after="0" w:line="240" w:lineRule="auto"/>
              <w:ind w:firstLine="0"/>
              <w:jc w:val="left"/>
            </w:pPr>
            <w:r>
              <w:rPr>
                <w:b/>
                <w:i w:val="0"/>
                <w:sz w:val="20"/>
              </w:rPr>
              <w:t>Итого (из 50)</w:t>
            </w:r>
          </w:p>
        </w:tc>
        <w:tc>
          <w:tcPr>
            <w:tcW w:type="dxa" w:w="1662"/>
          </w:tcPr>
          <w:p>
            <w:pPr>
              <w:spacing w:after="0" w:line="240" w:lineRule="auto"/>
              <w:ind w:firstLine="0"/>
              <w:jc w:val="center"/>
            </w:pPr>
            <w:r>
              <w:rPr>
                <w:b/>
                <w:i w:val="0"/>
                <w:sz w:val="20"/>
              </w:rPr>
              <w:t>25</w:t>
            </w:r>
          </w:p>
        </w:tc>
        <w:tc>
          <w:tcPr>
            <w:tcW w:type="dxa" w:w="1662"/>
          </w:tcPr>
          <w:p>
            <w:pPr>
              <w:spacing w:after="0" w:line="240" w:lineRule="auto"/>
              <w:ind w:firstLine="0"/>
              <w:jc w:val="center"/>
            </w:pPr>
            <w:r>
              <w:rPr>
                <w:b/>
                <w:i w:val="0"/>
                <w:sz w:val="20"/>
              </w:rPr>
              <w:t>49</w:t>
            </w:r>
          </w:p>
        </w:tc>
        <w:tc>
          <w:tcPr>
            <w:tcW w:type="dxa" w:w="1662"/>
          </w:tcPr>
          <w:p>
            <w:pPr>
              <w:spacing w:after="0" w:line="240" w:lineRule="auto"/>
              <w:ind w:firstLine="0"/>
              <w:jc w:val="center"/>
            </w:pPr>
            <w:r>
              <w:rPr>
                <w:b/>
                <w:i w:val="0"/>
                <w:sz w:val="20"/>
              </w:rPr>
              <w:t>36</w:t>
            </w:r>
          </w:p>
        </w:tc>
        <w:tc>
          <w:tcPr>
            <w:tcW w:type="dxa" w:w="1662"/>
          </w:tcPr>
          <w:p>
            <w:pPr>
              <w:spacing w:after="0" w:line="240" w:lineRule="auto"/>
              <w:ind w:firstLine="0"/>
              <w:jc w:val="center"/>
            </w:pPr>
            <w:r>
              <w:rPr>
                <w:b/>
                <w:i w:val="0"/>
                <w:sz w:val="20"/>
              </w:rPr>
              <w:t>30</w:t>
            </w:r>
          </w:p>
        </w:tc>
        <w:tc>
          <w:tcPr>
            <w:tcW w:type="dxa" w:w="1662"/>
          </w:tcPr>
          <w:p>
            <w:pPr>
              <w:spacing w:after="0" w:line="240" w:lineRule="auto"/>
              <w:ind w:firstLine="0"/>
              <w:jc w:val="center"/>
            </w:pPr>
            <w:r>
              <w:rPr>
                <w:b/>
                <w:i w:val="0"/>
                <w:sz w:val="20"/>
              </w:rPr>
              <w:t>29</w:t>
            </w:r>
          </w:p>
        </w:tc>
      </w:tr>
    </w:tbl>
    <w:p>
      <w:pPr>
        <w:spacing w:after="180"/>
        <w:ind w:firstLine="0"/>
      </w:pPr>
      <w:r>
        <w:rPr>
          <w:i/>
          <w:sz w:val="20"/>
        </w:rPr>
        <w:t>Источник: оценка аналитического центра</w:t>
      </w:r>
    </w:p>
    <w:p>
      <w:pPr>
        <w:keepNext/>
        <w:spacing w:before="160" w:after="60"/>
        <w:ind w:firstLine="0"/>
        <w:jc w:val="left"/>
      </w:pPr>
      <w:r>
        <w:rPr>
          <w:b/>
          <w:sz w:val="22"/>
        </w:rPr>
        <w:t>Рисунок 79. Сопоставительная оценка институциональных условий развития редкоземельной отрасли, баллы</w:t>
      </w:r>
    </w:p>
    <w:p>
      <w:pPr>
        <w:ind w:firstLine="0"/>
        <w:jc w:val="center"/>
      </w:pPr>
      <w:r>
        <w:drawing>
          <wp:inline xmlns:a="http://schemas.openxmlformats.org/drawingml/2006/main" xmlns:pic="http://schemas.openxmlformats.org/drawingml/2006/picture">
            <wp:extent cx="5580000" cy="2749565"/>
            <wp:docPr id="79" name="Picture 79"/>
            <wp:cNvGraphicFramePr>
              <a:graphicFrameLocks noChangeAspect="1"/>
            </wp:cNvGraphicFramePr>
            <a:graphic>
              <a:graphicData uri="http://schemas.openxmlformats.org/drawingml/2006/picture">
                <pic:pic>
                  <pic:nvPicPr>
                    <pic:cNvPr id="0" name="fig79.png"/>
                    <pic:cNvPicPr/>
                  </pic:nvPicPr>
                  <pic:blipFill>
                    <a:blip r:embed="rId89"/>
                    <a:stretch>
                      <a:fillRect/>
                    </a:stretch>
                  </pic:blipFill>
                  <pic:spPr>
                    <a:xfrm>
                      <a:off x="0" y="0"/>
                      <a:ext cx="5580000" cy="2749565"/>
                    </a:xfrm>
                    <a:prstGeom prst="rect"/>
                  </pic:spPr>
                </pic:pic>
              </a:graphicData>
            </a:graphic>
          </wp:inline>
        </w:drawing>
      </w:r>
    </w:p>
    <w:p>
      <w:pPr>
        <w:spacing w:after="180"/>
        <w:ind w:firstLine="0"/>
      </w:pPr>
      <w:r>
        <w:rPr>
          <w:i/>
          <w:sz w:val="20"/>
        </w:rPr>
        <w:t>Источник: аналитический центр (табл. 111)</w:t>
      </w:r>
    </w:p>
    <w:p>
      <w:pPr>
        <w:keepNext/>
        <w:spacing w:before="160" w:after="60"/>
        <w:ind w:firstLine="0"/>
        <w:jc w:val="left"/>
      </w:pPr>
      <w:r>
        <w:rPr>
          <w:b/>
          <w:sz w:val="22"/>
        </w:rPr>
        <w:t>Рисунок 80. Профиль сильных и слабых сторон российской редкоземельной отрасли по факторам, баллы из 5</w:t>
      </w:r>
    </w:p>
    <w:p>
      <w:pPr>
        <w:ind w:firstLine="0"/>
        <w:jc w:val="center"/>
      </w:pPr>
      <w:r>
        <w:drawing>
          <wp:inline xmlns:a="http://schemas.openxmlformats.org/drawingml/2006/main" xmlns:pic="http://schemas.openxmlformats.org/drawingml/2006/picture">
            <wp:extent cx="5580000" cy="2444032"/>
            <wp:docPr id="80" name="Picture 80"/>
            <wp:cNvGraphicFramePr>
              <a:graphicFrameLocks noChangeAspect="1"/>
            </wp:cNvGraphicFramePr>
            <a:graphic>
              <a:graphicData uri="http://schemas.openxmlformats.org/drawingml/2006/picture">
                <pic:pic>
                  <pic:nvPicPr>
                    <pic:cNvPr id="0" name="fig80.png"/>
                    <pic:cNvPicPr/>
                  </pic:nvPicPr>
                  <pic:blipFill>
                    <a:blip r:embed="rId90"/>
                    <a:stretch>
                      <a:fillRect/>
                    </a:stretch>
                  </pic:blipFill>
                  <pic:spPr>
                    <a:xfrm>
                      <a:off x="0" y="0"/>
                      <a:ext cx="5580000" cy="2444032"/>
                    </a:xfrm>
                    <a:prstGeom prst="rect"/>
                  </pic:spPr>
                </pic:pic>
              </a:graphicData>
            </a:graphic>
          </wp:inline>
        </w:drawing>
      </w:r>
    </w:p>
    <w:p>
      <w:pPr>
        <w:spacing w:after="180"/>
        <w:ind w:firstLine="0"/>
      </w:pPr>
      <w:r>
        <w:rPr>
          <w:i/>
          <w:sz w:val="20"/>
        </w:rPr>
        <w:t>Источник: аналитический центр (табл. 111)</w:t>
      </w:r>
    </w:p>
    <w:p>
      <w:r>
        <w:br w:type="page"/>
      </w:r>
    </w:p>
    <w:p>
      <w:pPr>
        <w:pStyle w:val="Heading1"/>
      </w:pPr>
      <w:r>
        <w:rPr>
          <w:b w:val="0"/>
          <w:i w:val="0"/>
        </w:rPr>
        <w:t>16. Прогноз производства и потребления редкоземельной продукции в Российской Федерации до 2035 года</w:t>
      </w:r>
    </w:p>
    <w:p>
      <w:pPr>
        <w:pStyle w:val="Heading2"/>
      </w:pPr>
      <w:r>
        <w:rPr>
          <w:b w:val="0"/>
          <w:i w:val="0"/>
        </w:rPr>
        <w:t>16.1. Методология и сценарные допущения</w:t>
      </w:r>
    </w:p>
    <w:p>
      <w:r>
        <w:rPr>
          <w:b w:val="0"/>
          <w:i w:val="0"/>
        </w:rPr>
        <w:t>Прогноз построен методом «снизу вверх» — путём суммирования оценок по каждому проекту с учётом вероятности его реализации и реалистичного графика выхода на мощность. Такой подход предпочтителен перед экстраполяцией целевых показателей, поскольку позволяет выявить, за счёт каких конкретных объектов может быть обеспечен заявленный рост, и оценить критические точки.</w:t>
      </w:r>
    </w:p>
    <w:p>
      <w:r>
        <w:rPr>
          <w:b w:val="0"/>
          <w:i w:val="0"/>
        </w:rPr>
        <w:t>Для каждого проекта оценивались: техническая готовность (уровень TRL, наличие проектной документации, результаты испытаний), финансовая обеспеченность, инфраструктурная готовность, наличие рынка сбыта и организационный статус (принято ли инвестиционное решение).</w:t>
      </w:r>
    </w:p>
    <w:p>
      <w:pPr>
        <w:keepNext/>
        <w:spacing w:before="160" w:after="60"/>
        <w:ind w:firstLine="0"/>
        <w:jc w:val="left"/>
      </w:pPr>
      <w:r>
        <w:rPr>
          <w:b/>
          <w:sz w:val="22"/>
        </w:rPr>
        <w:t>Таблица 112. Сценарные допущения прогноза развития редкоземельной отрасли РФ до 2035 г.</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Параметр</w:t>
            </w:r>
          </w:p>
        </w:tc>
        <w:tc>
          <w:tcPr>
            <w:tcW w:type="dxa" w:w="2493"/>
            <w:shd w:val="clear" w:fill="DCE6F1"/>
          </w:tcPr>
          <w:p>
            <w:pPr>
              <w:spacing w:after="0" w:line="240" w:lineRule="auto"/>
              <w:ind w:firstLine="0"/>
              <w:jc w:val="center"/>
            </w:pPr>
            <w:r>
              <w:rPr>
                <w:b/>
                <w:i w:val="0"/>
                <w:sz w:val="20"/>
              </w:rPr>
              <w:t>Консервативный</w:t>
            </w:r>
          </w:p>
        </w:tc>
        <w:tc>
          <w:tcPr>
            <w:tcW w:type="dxa" w:w="2493"/>
            <w:shd w:val="clear" w:fill="DCE6F1"/>
          </w:tcPr>
          <w:p>
            <w:pPr>
              <w:spacing w:after="0" w:line="240" w:lineRule="auto"/>
              <w:ind w:firstLine="0"/>
              <w:jc w:val="center"/>
            </w:pPr>
            <w:r>
              <w:rPr>
                <w:b/>
                <w:i w:val="0"/>
                <w:sz w:val="20"/>
              </w:rPr>
              <w:t>Базовый</w:t>
            </w:r>
          </w:p>
        </w:tc>
        <w:tc>
          <w:tcPr>
            <w:tcW w:type="dxa" w:w="2493"/>
            <w:shd w:val="clear" w:fill="DCE6F1"/>
          </w:tcPr>
          <w:p>
            <w:pPr>
              <w:spacing w:after="0" w:line="240" w:lineRule="auto"/>
              <w:ind w:firstLine="0"/>
              <w:jc w:val="center"/>
            </w:pPr>
            <w:r>
              <w:rPr>
                <w:b/>
                <w:i w:val="0"/>
                <w:sz w:val="20"/>
              </w:rPr>
              <w:t>Оптимистический</w:t>
            </w:r>
          </w:p>
        </w:tc>
      </w:tr>
      <w:tr>
        <w:tc>
          <w:tcPr>
            <w:tcW w:type="dxa" w:w="2493"/>
          </w:tcPr>
          <w:p>
            <w:pPr>
              <w:spacing w:after="0" w:line="240" w:lineRule="auto"/>
              <w:ind w:firstLine="0"/>
              <w:jc w:val="left"/>
            </w:pPr>
            <w:r>
              <w:rPr>
                <w:b w:val="0"/>
                <w:i w:val="0"/>
                <w:sz w:val="20"/>
              </w:rPr>
              <w:t>Реализация проекта «Томтор»</w:t>
            </w:r>
          </w:p>
        </w:tc>
        <w:tc>
          <w:tcPr>
            <w:tcW w:type="dxa" w:w="2493"/>
          </w:tcPr>
          <w:p>
            <w:pPr>
              <w:spacing w:after="0" w:line="240" w:lineRule="auto"/>
              <w:ind w:firstLine="0"/>
              <w:jc w:val="center"/>
            </w:pPr>
            <w:r>
              <w:rPr>
                <w:b w:val="0"/>
                <w:i w:val="0"/>
                <w:sz w:val="20"/>
              </w:rPr>
              <w:t>после 2035 г.</w:t>
            </w:r>
          </w:p>
        </w:tc>
        <w:tc>
          <w:tcPr>
            <w:tcW w:type="dxa" w:w="2493"/>
          </w:tcPr>
          <w:p>
            <w:pPr>
              <w:spacing w:after="0" w:line="240" w:lineRule="auto"/>
              <w:ind w:firstLine="0"/>
              <w:jc w:val="center"/>
            </w:pPr>
            <w:r>
              <w:rPr>
                <w:b w:val="0"/>
                <w:i w:val="0"/>
                <w:sz w:val="20"/>
              </w:rPr>
              <w:t>2031–2032 гг.</w:t>
            </w:r>
          </w:p>
        </w:tc>
        <w:tc>
          <w:tcPr>
            <w:tcW w:type="dxa" w:w="2493"/>
          </w:tcPr>
          <w:p>
            <w:pPr>
              <w:spacing w:after="0" w:line="240" w:lineRule="auto"/>
              <w:ind w:firstLine="0"/>
              <w:jc w:val="center"/>
            </w:pPr>
            <w:r>
              <w:rPr>
                <w:b w:val="0"/>
                <w:i w:val="0"/>
                <w:sz w:val="20"/>
              </w:rPr>
              <w:t>2029–2030 гг.</w:t>
            </w:r>
          </w:p>
        </w:tc>
      </w:tr>
      <w:tr>
        <w:tc>
          <w:tcPr>
            <w:tcW w:type="dxa" w:w="2493"/>
          </w:tcPr>
          <w:p>
            <w:pPr>
              <w:spacing w:after="0" w:line="240" w:lineRule="auto"/>
              <w:ind w:firstLine="0"/>
              <w:jc w:val="left"/>
            </w:pPr>
            <w:r>
              <w:rPr>
                <w:b w:val="0"/>
                <w:i w:val="0"/>
                <w:sz w:val="20"/>
              </w:rPr>
              <w:t>Расширение Ловозёрского ГОКа</w:t>
            </w:r>
          </w:p>
        </w:tc>
        <w:tc>
          <w:tcPr>
            <w:tcW w:type="dxa" w:w="2493"/>
          </w:tcPr>
          <w:p>
            <w:pPr>
              <w:spacing w:after="0" w:line="240" w:lineRule="auto"/>
              <w:ind w:firstLine="0"/>
              <w:jc w:val="center"/>
            </w:pPr>
            <w:r>
              <w:rPr>
                <w:b w:val="0"/>
                <w:i w:val="0"/>
                <w:sz w:val="20"/>
              </w:rPr>
              <w:t>до 3,5 тыс. т TREO</w:t>
            </w:r>
          </w:p>
        </w:tc>
        <w:tc>
          <w:tcPr>
            <w:tcW w:type="dxa" w:w="2493"/>
          </w:tcPr>
          <w:p>
            <w:pPr>
              <w:spacing w:after="0" w:line="240" w:lineRule="auto"/>
              <w:ind w:firstLine="0"/>
              <w:jc w:val="center"/>
            </w:pPr>
            <w:r>
              <w:rPr>
                <w:b w:val="0"/>
                <w:i w:val="0"/>
                <w:sz w:val="20"/>
              </w:rPr>
              <w:t>до 4,5 тыс. т TREO</w:t>
            </w:r>
          </w:p>
        </w:tc>
        <w:tc>
          <w:tcPr>
            <w:tcW w:type="dxa" w:w="2493"/>
          </w:tcPr>
          <w:p>
            <w:pPr>
              <w:spacing w:after="0" w:line="240" w:lineRule="auto"/>
              <w:ind w:firstLine="0"/>
              <w:jc w:val="center"/>
            </w:pPr>
            <w:r>
              <w:rPr>
                <w:b w:val="0"/>
                <w:i w:val="0"/>
                <w:sz w:val="20"/>
              </w:rPr>
              <w:t>до 6 тыс. т TREO</w:t>
            </w:r>
          </w:p>
        </w:tc>
      </w:tr>
      <w:tr>
        <w:tc>
          <w:tcPr>
            <w:tcW w:type="dxa" w:w="2493"/>
          </w:tcPr>
          <w:p>
            <w:pPr>
              <w:spacing w:after="0" w:line="240" w:lineRule="auto"/>
              <w:ind w:firstLine="0"/>
              <w:jc w:val="left"/>
            </w:pPr>
            <w:r>
              <w:rPr>
                <w:b w:val="0"/>
                <w:i w:val="0"/>
                <w:sz w:val="20"/>
              </w:rPr>
              <w:t>Освоение фосфогипса</w:t>
            </w:r>
          </w:p>
        </w:tc>
        <w:tc>
          <w:tcPr>
            <w:tcW w:type="dxa" w:w="2493"/>
          </w:tcPr>
          <w:p>
            <w:pPr>
              <w:spacing w:after="0" w:line="240" w:lineRule="auto"/>
              <w:ind w:firstLine="0"/>
              <w:jc w:val="center"/>
            </w:pPr>
            <w:r>
              <w:rPr>
                <w:b w:val="0"/>
                <w:i w:val="0"/>
                <w:sz w:val="20"/>
              </w:rPr>
              <w:t>1 тыс. т к 2032 г.</w:t>
            </w:r>
          </w:p>
        </w:tc>
        <w:tc>
          <w:tcPr>
            <w:tcW w:type="dxa" w:w="2493"/>
          </w:tcPr>
          <w:p>
            <w:pPr>
              <w:spacing w:after="0" w:line="240" w:lineRule="auto"/>
              <w:ind w:firstLine="0"/>
              <w:jc w:val="center"/>
            </w:pPr>
            <w:r>
              <w:rPr>
                <w:b w:val="0"/>
                <w:i w:val="0"/>
                <w:sz w:val="20"/>
              </w:rPr>
              <w:t>3 тыс. т к 2030 г.</w:t>
            </w:r>
          </w:p>
        </w:tc>
        <w:tc>
          <w:tcPr>
            <w:tcW w:type="dxa" w:w="2493"/>
          </w:tcPr>
          <w:p>
            <w:pPr>
              <w:spacing w:after="0" w:line="240" w:lineRule="auto"/>
              <w:ind w:firstLine="0"/>
              <w:jc w:val="center"/>
            </w:pPr>
            <w:r>
              <w:rPr>
                <w:b w:val="0"/>
                <w:i w:val="0"/>
                <w:sz w:val="20"/>
              </w:rPr>
              <w:t>6 тыс. т к 2030 г.</w:t>
            </w:r>
          </w:p>
        </w:tc>
      </w:tr>
      <w:tr>
        <w:tc>
          <w:tcPr>
            <w:tcW w:type="dxa" w:w="2493"/>
          </w:tcPr>
          <w:p>
            <w:pPr>
              <w:spacing w:after="0" w:line="240" w:lineRule="auto"/>
              <w:ind w:firstLine="0"/>
              <w:jc w:val="left"/>
            </w:pPr>
            <w:r>
              <w:rPr>
                <w:b w:val="0"/>
                <w:i w:val="0"/>
                <w:sz w:val="20"/>
              </w:rPr>
              <w:t>Магнитное производство</w:t>
            </w:r>
          </w:p>
        </w:tc>
        <w:tc>
          <w:tcPr>
            <w:tcW w:type="dxa" w:w="2493"/>
          </w:tcPr>
          <w:p>
            <w:pPr>
              <w:spacing w:after="0" w:line="240" w:lineRule="auto"/>
              <w:ind w:firstLine="0"/>
              <w:jc w:val="center"/>
            </w:pPr>
            <w:r>
              <w:rPr>
                <w:b w:val="0"/>
                <w:i w:val="0"/>
                <w:sz w:val="20"/>
              </w:rPr>
              <w:t>1 тыс. т к 2030 г.</w:t>
            </w:r>
          </w:p>
        </w:tc>
        <w:tc>
          <w:tcPr>
            <w:tcW w:type="dxa" w:w="2493"/>
          </w:tcPr>
          <w:p>
            <w:pPr>
              <w:spacing w:after="0" w:line="240" w:lineRule="auto"/>
              <w:ind w:firstLine="0"/>
              <w:jc w:val="center"/>
            </w:pPr>
            <w:r>
              <w:rPr>
                <w:b w:val="0"/>
                <w:i w:val="0"/>
                <w:sz w:val="20"/>
              </w:rPr>
              <w:t>3 тыс. т к 2030 г.</w:t>
            </w:r>
          </w:p>
        </w:tc>
        <w:tc>
          <w:tcPr>
            <w:tcW w:type="dxa" w:w="2493"/>
          </w:tcPr>
          <w:p>
            <w:pPr>
              <w:spacing w:after="0" w:line="240" w:lineRule="auto"/>
              <w:ind w:firstLine="0"/>
              <w:jc w:val="center"/>
            </w:pPr>
            <w:r>
              <w:rPr>
                <w:b w:val="0"/>
                <w:i w:val="0"/>
                <w:sz w:val="20"/>
              </w:rPr>
              <w:t>5 тыс. т к 2030 г.</w:t>
            </w:r>
          </w:p>
        </w:tc>
      </w:tr>
      <w:tr>
        <w:tc>
          <w:tcPr>
            <w:tcW w:type="dxa" w:w="2493"/>
          </w:tcPr>
          <w:p>
            <w:pPr>
              <w:spacing w:after="0" w:line="240" w:lineRule="auto"/>
              <w:ind w:firstLine="0"/>
              <w:jc w:val="left"/>
            </w:pPr>
            <w:r>
              <w:rPr>
                <w:b w:val="0"/>
                <w:i w:val="0"/>
                <w:sz w:val="20"/>
              </w:rPr>
              <w:t>Освоение технологии GBD</w:t>
            </w:r>
          </w:p>
        </w:tc>
        <w:tc>
          <w:tcPr>
            <w:tcW w:type="dxa" w:w="2493"/>
          </w:tcPr>
          <w:p>
            <w:pPr>
              <w:spacing w:after="0" w:line="240" w:lineRule="auto"/>
              <w:ind w:firstLine="0"/>
              <w:jc w:val="center"/>
            </w:pPr>
            <w:r>
              <w:rPr>
                <w:b w:val="0"/>
                <w:i w:val="0"/>
                <w:sz w:val="20"/>
              </w:rPr>
              <w:t>не освоена</w:t>
            </w:r>
          </w:p>
        </w:tc>
        <w:tc>
          <w:tcPr>
            <w:tcW w:type="dxa" w:w="2493"/>
          </w:tcPr>
          <w:p>
            <w:pPr>
              <w:spacing w:after="0" w:line="240" w:lineRule="auto"/>
              <w:ind w:firstLine="0"/>
              <w:jc w:val="center"/>
            </w:pPr>
            <w:r>
              <w:rPr>
                <w:b w:val="0"/>
                <w:i w:val="0"/>
                <w:sz w:val="20"/>
              </w:rPr>
              <w:t>2029 г.</w:t>
            </w:r>
          </w:p>
        </w:tc>
        <w:tc>
          <w:tcPr>
            <w:tcW w:type="dxa" w:w="2493"/>
          </w:tcPr>
          <w:p>
            <w:pPr>
              <w:spacing w:after="0" w:line="240" w:lineRule="auto"/>
              <w:ind w:firstLine="0"/>
              <w:jc w:val="center"/>
            </w:pPr>
            <w:r>
              <w:rPr>
                <w:b w:val="0"/>
                <w:i w:val="0"/>
                <w:sz w:val="20"/>
              </w:rPr>
              <w:t>2027 г.</w:t>
            </w:r>
          </w:p>
        </w:tc>
      </w:tr>
      <w:tr>
        <w:tc>
          <w:tcPr>
            <w:tcW w:type="dxa" w:w="2493"/>
          </w:tcPr>
          <w:p>
            <w:pPr>
              <w:spacing w:after="0" w:line="240" w:lineRule="auto"/>
              <w:ind w:firstLine="0"/>
              <w:jc w:val="left"/>
            </w:pPr>
            <w:r>
              <w:rPr>
                <w:b w:val="0"/>
                <w:i w:val="0"/>
                <w:sz w:val="20"/>
              </w:rPr>
              <w:t>Разделение тяжёлой группы</w:t>
            </w:r>
          </w:p>
        </w:tc>
        <w:tc>
          <w:tcPr>
            <w:tcW w:type="dxa" w:w="2493"/>
          </w:tcPr>
          <w:p>
            <w:pPr>
              <w:spacing w:after="0" w:line="240" w:lineRule="auto"/>
              <w:ind w:firstLine="0"/>
              <w:jc w:val="center"/>
            </w:pPr>
            <w:r>
              <w:rPr>
                <w:b w:val="0"/>
                <w:i w:val="0"/>
                <w:sz w:val="20"/>
              </w:rPr>
              <w:t>не освоено</w:t>
            </w:r>
          </w:p>
        </w:tc>
        <w:tc>
          <w:tcPr>
            <w:tcW w:type="dxa" w:w="2493"/>
          </w:tcPr>
          <w:p>
            <w:pPr>
              <w:spacing w:after="0" w:line="240" w:lineRule="auto"/>
              <w:ind w:firstLine="0"/>
              <w:jc w:val="center"/>
            </w:pPr>
            <w:r>
              <w:rPr>
                <w:b w:val="0"/>
                <w:i w:val="0"/>
                <w:sz w:val="20"/>
              </w:rPr>
              <w:t>2030 г.</w:t>
            </w:r>
          </w:p>
        </w:tc>
        <w:tc>
          <w:tcPr>
            <w:tcW w:type="dxa" w:w="2493"/>
          </w:tcPr>
          <w:p>
            <w:pPr>
              <w:spacing w:after="0" w:line="240" w:lineRule="auto"/>
              <w:ind w:firstLine="0"/>
              <w:jc w:val="center"/>
            </w:pPr>
            <w:r>
              <w:rPr>
                <w:b w:val="0"/>
                <w:i w:val="0"/>
                <w:sz w:val="20"/>
              </w:rPr>
              <w:t>2028 г.</w:t>
            </w:r>
          </w:p>
        </w:tc>
      </w:tr>
      <w:tr>
        <w:tc>
          <w:tcPr>
            <w:tcW w:type="dxa" w:w="2493"/>
          </w:tcPr>
          <w:p>
            <w:pPr>
              <w:spacing w:after="0" w:line="240" w:lineRule="auto"/>
              <w:ind w:firstLine="0"/>
              <w:jc w:val="left"/>
            </w:pPr>
            <w:r>
              <w:rPr>
                <w:b w:val="0"/>
                <w:i w:val="0"/>
                <w:sz w:val="20"/>
              </w:rPr>
              <w:t>Мировая цена NdPr, $/кг (2030)</w:t>
            </w:r>
          </w:p>
        </w:tc>
        <w:tc>
          <w:tcPr>
            <w:tcW w:type="dxa" w:w="2493"/>
          </w:tcPr>
          <w:p>
            <w:pPr>
              <w:spacing w:after="0" w:line="240" w:lineRule="auto"/>
              <w:ind w:firstLine="0"/>
              <w:jc w:val="center"/>
            </w:pPr>
            <w:r>
              <w:rPr>
                <w:b w:val="0"/>
                <w:i w:val="0"/>
                <w:sz w:val="20"/>
              </w:rPr>
              <w:t>56</w:t>
            </w:r>
          </w:p>
        </w:tc>
        <w:tc>
          <w:tcPr>
            <w:tcW w:type="dxa" w:w="2493"/>
          </w:tcPr>
          <w:p>
            <w:pPr>
              <w:spacing w:after="0" w:line="240" w:lineRule="auto"/>
              <w:ind w:firstLine="0"/>
              <w:jc w:val="center"/>
            </w:pPr>
            <w:r>
              <w:rPr>
                <w:b w:val="0"/>
                <w:i w:val="0"/>
                <w:sz w:val="20"/>
              </w:rPr>
              <w:t>88</w:t>
            </w:r>
          </w:p>
        </w:tc>
        <w:tc>
          <w:tcPr>
            <w:tcW w:type="dxa" w:w="2493"/>
          </w:tcPr>
          <w:p>
            <w:pPr>
              <w:spacing w:after="0" w:line="240" w:lineRule="auto"/>
              <w:ind w:firstLine="0"/>
              <w:jc w:val="center"/>
            </w:pPr>
            <w:r>
              <w:rPr>
                <w:b w:val="0"/>
                <w:i w:val="0"/>
                <w:sz w:val="20"/>
              </w:rPr>
              <w:t>122</w:t>
            </w:r>
          </w:p>
        </w:tc>
      </w:tr>
      <w:tr>
        <w:tc>
          <w:tcPr>
            <w:tcW w:type="dxa" w:w="2493"/>
          </w:tcPr>
          <w:p>
            <w:pPr>
              <w:spacing w:after="0" w:line="240" w:lineRule="auto"/>
              <w:ind w:firstLine="0"/>
              <w:jc w:val="left"/>
            </w:pPr>
            <w:r>
              <w:rPr>
                <w:b w:val="0"/>
                <w:i w:val="0"/>
                <w:sz w:val="20"/>
              </w:rPr>
              <w:t>Механизм ценовой поддержки</w:t>
            </w:r>
          </w:p>
        </w:tc>
        <w:tc>
          <w:tcPr>
            <w:tcW w:type="dxa" w:w="2493"/>
          </w:tcPr>
          <w:p>
            <w:pPr>
              <w:spacing w:after="0" w:line="240" w:lineRule="auto"/>
              <w:ind w:firstLine="0"/>
              <w:jc w:val="center"/>
            </w:pPr>
            <w:r>
              <w:rPr>
                <w:b w:val="0"/>
                <w:i w:val="0"/>
                <w:sz w:val="20"/>
              </w:rPr>
              <w:t>отсутствует</w:t>
            </w:r>
          </w:p>
        </w:tc>
        <w:tc>
          <w:tcPr>
            <w:tcW w:type="dxa" w:w="2493"/>
          </w:tcPr>
          <w:p>
            <w:pPr>
              <w:spacing w:after="0" w:line="240" w:lineRule="auto"/>
              <w:ind w:firstLine="0"/>
              <w:jc w:val="center"/>
            </w:pPr>
            <w:r>
              <w:rPr>
                <w:b w:val="0"/>
                <w:i w:val="0"/>
                <w:sz w:val="20"/>
              </w:rPr>
              <w:t>частичный</w:t>
            </w:r>
          </w:p>
        </w:tc>
        <w:tc>
          <w:tcPr>
            <w:tcW w:type="dxa" w:w="2493"/>
          </w:tcPr>
          <w:p>
            <w:pPr>
              <w:spacing w:after="0" w:line="240" w:lineRule="auto"/>
              <w:ind w:firstLine="0"/>
              <w:jc w:val="center"/>
            </w:pPr>
            <w:r>
              <w:rPr>
                <w:b w:val="0"/>
                <w:i w:val="0"/>
                <w:sz w:val="20"/>
              </w:rPr>
              <w:t>полноценный</w:t>
            </w:r>
          </w:p>
        </w:tc>
      </w:tr>
      <w:tr>
        <w:tc>
          <w:tcPr>
            <w:tcW w:type="dxa" w:w="2493"/>
          </w:tcPr>
          <w:p>
            <w:pPr>
              <w:spacing w:after="0" w:line="240" w:lineRule="auto"/>
              <w:ind w:firstLine="0"/>
              <w:jc w:val="left"/>
            </w:pPr>
            <w:r>
              <w:rPr>
                <w:b w:val="0"/>
                <w:i w:val="0"/>
                <w:sz w:val="20"/>
              </w:rPr>
              <w:t>Производство TREO, 2030 г., тыс. т</w:t>
            </w:r>
          </w:p>
        </w:tc>
        <w:tc>
          <w:tcPr>
            <w:tcW w:type="dxa" w:w="2493"/>
          </w:tcPr>
          <w:p>
            <w:pPr>
              <w:spacing w:after="0" w:line="240" w:lineRule="auto"/>
              <w:ind w:firstLine="0"/>
              <w:jc w:val="center"/>
            </w:pPr>
            <w:r>
              <w:rPr>
                <w:b w:val="0"/>
                <w:i w:val="0"/>
                <w:sz w:val="20"/>
              </w:rPr>
              <w:t>5,5</w:t>
            </w:r>
          </w:p>
        </w:tc>
        <w:tc>
          <w:tcPr>
            <w:tcW w:type="dxa" w:w="2493"/>
          </w:tcPr>
          <w:p>
            <w:pPr>
              <w:spacing w:after="0" w:line="240" w:lineRule="auto"/>
              <w:ind w:firstLine="0"/>
              <w:jc w:val="center"/>
            </w:pPr>
            <w:r>
              <w:rPr>
                <w:b w:val="0"/>
                <w:i w:val="0"/>
                <w:sz w:val="20"/>
              </w:rPr>
              <w:t>11,5</w:t>
            </w:r>
          </w:p>
        </w:tc>
        <w:tc>
          <w:tcPr>
            <w:tcW w:type="dxa" w:w="2493"/>
          </w:tcPr>
          <w:p>
            <w:pPr>
              <w:spacing w:after="0" w:line="240" w:lineRule="auto"/>
              <w:ind w:firstLine="0"/>
              <w:jc w:val="center"/>
            </w:pPr>
            <w:r>
              <w:rPr>
                <w:b w:val="0"/>
                <w:i w:val="0"/>
                <w:sz w:val="20"/>
              </w:rPr>
              <w:t>20,0</w:t>
            </w:r>
          </w:p>
        </w:tc>
      </w:tr>
      <w:tr>
        <w:tc>
          <w:tcPr>
            <w:tcW w:type="dxa" w:w="2493"/>
          </w:tcPr>
          <w:p>
            <w:pPr>
              <w:spacing w:after="0" w:line="240" w:lineRule="auto"/>
              <w:ind w:firstLine="0"/>
              <w:jc w:val="left"/>
            </w:pPr>
            <w:r>
              <w:rPr>
                <w:b w:val="0"/>
                <w:i w:val="0"/>
                <w:sz w:val="20"/>
              </w:rPr>
              <w:t>Производство TREO, 2035 г., тыс. т</w:t>
            </w:r>
          </w:p>
        </w:tc>
        <w:tc>
          <w:tcPr>
            <w:tcW w:type="dxa" w:w="2493"/>
          </w:tcPr>
          <w:p>
            <w:pPr>
              <w:spacing w:after="0" w:line="240" w:lineRule="auto"/>
              <w:ind w:firstLine="0"/>
              <w:jc w:val="center"/>
            </w:pPr>
            <w:r>
              <w:rPr>
                <w:b w:val="0"/>
                <w:i w:val="0"/>
                <w:sz w:val="20"/>
              </w:rPr>
              <w:t>9,0</w:t>
            </w:r>
          </w:p>
        </w:tc>
        <w:tc>
          <w:tcPr>
            <w:tcW w:type="dxa" w:w="2493"/>
          </w:tcPr>
          <w:p>
            <w:pPr>
              <w:spacing w:after="0" w:line="240" w:lineRule="auto"/>
              <w:ind w:firstLine="0"/>
              <w:jc w:val="center"/>
            </w:pPr>
            <w:r>
              <w:rPr>
                <w:b w:val="0"/>
                <w:i w:val="0"/>
                <w:sz w:val="20"/>
              </w:rPr>
              <w:t>27,0</w:t>
            </w:r>
          </w:p>
        </w:tc>
        <w:tc>
          <w:tcPr>
            <w:tcW w:type="dxa" w:w="2493"/>
          </w:tcPr>
          <w:p>
            <w:pPr>
              <w:spacing w:after="0" w:line="240" w:lineRule="auto"/>
              <w:ind w:firstLine="0"/>
              <w:jc w:val="center"/>
            </w:pPr>
            <w:r>
              <w:rPr>
                <w:b w:val="0"/>
                <w:i w:val="0"/>
                <w:sz w:val="20"/>
              </w:rPr>
              <w:t>48,0</w:t>
            </w:r>
          </w:p>
        </w:tc>
      </w:tr>
    </w:tbl>
    <w:p>
      <w:pPr>
        <w:spacing w:after="180"/>
        <w:ind w:firstLine="0"/>
      </w:pPr>
      <w:r>
        <w:rPr>
          <w:i/>
          <w:sz w:val="20"/>
        </w:rPr>
        <w:t>Источник: аналитический центр</w:t>
      </w:r>
    </w:p>
    <w:p>
      <w:pPr>
        <w:pStyle w:val="Heading2"/>
      </w:pPr>
      <w:r>
        <w:rPr>
          <w:b w:val="0"/>
          <w:i w:val="0"/>
        </w:rPr>
        <w:t>16.2. Прогноз производства по проектам</w:t>
      </w:r>
    </w:p>
    <w:p>
      <w:pPr>
        <w:keepNext/>
        <w:spacing w:before="160" w:after="60"/>
        <w:ind w:firstLine="0"/>
        <w:jc w:val="left"/>
      </w:pPr>
      <w:r>
        <w:rPr>
          <w:b/>
          <w:sz w:val="22"/>
        </w:rPr>
        <w:t>Таблица 113. Прогноз производства редкоземельного сырья в РФ по проектам, тыс. т TREO (базовый сценарий)</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Проект</w:t>
            </w:r>
          </w:p>
        </w:tc>
        <w:tc>
          <w:tcPr>
            <w:tcW w:type="dxa" w:w="1425"/>
            <w:shd w:val="clear" w:fill="DCE6F1"/>
          </w:tcPr>
          <w:p>
            <w:pPr>
              <w:spacing w:after="0" w:line="240" w:lineRule="auto"/>
              <w:ind w:firstLine="0"/>
              <w:jc w:val="center"/>
            </w:pPr>
            <w:r>
              <w:rPr>
                <w:b/>
                <w:i w:val="0"/>
                <w:sz w:val="20"/>
              </w:rPr>
              <w:t>2025</w:t>
            </w:r>
          </w:p>
        </w:tc>
        <w:tc>
          <w:tcPr>
            <w:tcW w:type="dxa" w:w="1425"/>
            <w:shd w:val="clear" w:fill="DCE6F1"/>
          </w:tcPr>
          <w:p>
            <w:pPr>
              <w:spacing w:after="0" w:line="240" w:lineRule="auto"/>
              <w:ind w:firstLine="0"/>
              <w:jc w:val="center"/>
            </w:pPr>
            <w:r>
              <w:rPr>
                <w:b/>
                <w:i w:val="0"/>
                <w:sz w:val="20"/>
              </w:rPr>
              <w:t>2027</w:t>
            </w:r>
          </w:p>
        </w:tc>
        <w:tc>
          <w:tcPr>
            <w:tcW w:type="dxa" w:w="1425"/>
            <w:shd w:val="clear" w:fill="DCE6F1"/>
          </w:tcPr>
          <w:p>
            <w:pPr>
              <w:spacing w:after="0" w:line="240" w:lineRule="auto"/>
              <w:ind w:firstLine="0"/>
              <w:jc w:val="center"/>
            </w:pPr>
            <w:r>
              <w:rPr>
                <w:b/>
                <w:i w:val="0"/>
                <w:sz w:val="20"/>
              </w:rPr>
              <w:t>2029</w:t>
            </w:r>
          </w:p>
        </w:tc>
        <w:tc>
          <w:tcPr>
            <w:tcW w:type="dxa" w:w="1425"/>
            <w:shd w:val="clear" w:fill="DCE6F1"/>
          </w:tcPr>
          <w:p>
            <w:pPr>
              <w:spacing w:after="0" w:line="240" w:lineRule="auto"/>
              <w:ind w:firstLine="0"/>
              <w:jc w:val="center"/>
            </w:pPr>
            <w:r>
              <w:rPr>
                <w:b/>
                <w:i w:val="0"/>
                <w:sz w:val="20"/>
              </w:rPr>
              <w:t>2030</w:t>
            </w:r>
          </w:p>
        </w:tc>
        <w:tc>
          <w:tcPr>
            <w:tcW w:type="dxa" w:w="1425"/>
            <w:shd w:val="clear" w:fill="DCE6F1"/>
          </w:tcPr>
          <w:p>
            <w:pPr>
              <w:spacing w:after="0" w:line="240" w:lineRule="auto"/>
              <w:ind w:firstLine="0"/>
              <w:jc w:val="center"/>
            </w:pPr>
            <w:r>
              <w:rPr>
                <w:b/>
                <w:i w:val="0"/>
                <w:sz w:val="20"/>
              </w:rPr>
              <w:t>2033</w:t>
            </w:r>
          </w:p>
        </w:tc>
        <w:tc>
          <w:tcPr>
            <w:tcW w:type="dxa" w:w="1425"/>
            <w:shd w:val="clear" w:fill="DCE6F1"/>
          </w:tcPr>
          <w:p>
            <w:pPr>
              <w:spacing w:after="0" w:line="240" w:lineRule="auto"/>
              <w:ind w:firstLine="0"/>
              <w:jc w:val="center"/>
            </w:pPr>
            <w:r>
              <w:rPr>
                <w:b/>
                <w:i w:val="0"/>
                <w:sz w:val="20"/>
              </w:rPr>
              <w:t>2035</w:t>
            </w:r>
          </w:p>
        </w:tc>
      </w:tr>
      <w:tr>
        <w:tc>
          <w:tcPr>
            <w:tcW w:type="dxa" w:w="1425"/>
          </w:tcPr>
          <w:p>
            <w:pPr>
              <w:spacing w:after="0" w:line="240" w:lineRule="auto"/>
              <w:ind w:firstLine="0"/>
              <w:jc w:val="left"/>
            </w:pPr>
            <w:r>
              <w:rPr>
                <w:b w:val="0"/>
                <w:i w:val="0"/>
                <w:sz w:val="20"/>
              </w:rPr>
              <w:t>Ловозёрский ГОК (лопарит)</w:t>
            </w:r>
          </w:p>
        </w:tc>
        <w:tc>
          <w:tcPr>
            <w:tcW w:type="dxa" w:w="1425"/>
          </w:tcPr>
          <w:p>
            <w:pPr>
              <w:spacing w:after="0" w:line="240" w:lineRule="auto"/>
              <w:ind w:firstLine="0"/>
              <w:jc w:val="center"/>
            </w:pPr>
            <w:r>
              <w:rPr>
                <w:b w:val="0"/>
                <w:i w:val="0"/>
                <w:sz w:val="20"/>
              </w:rPr>
              <w:t>2,50</w:t>
            </w:r>
          </w:p>
        </w:tc>
        <w:tc>
          <w:tcPr>
            <w:tcW w:type="dxa" w:w="1425"/>
          </w:tcPr>
          <w:p>
            <w:pPr>
              <w:spacing w:after="0" w:line="240" w:lineRule="auto"/>
              <w:ind w:firstLine="0"/>
              <w:jc w:val="center"/>
            </w:pPr>
            <w:r>
              <w:rPr>
                <w:b w:val="0"/>
                <w:i w:val="0"/>
                <w:sz w:val="20"/>
              </w:rPr>
              <w:t>3,20</w:t>
            </w:r>
          </w:p>
        </w:tc>
        <w:tc>
          <w:tcPr>
            <w:tcW w:type="dxa" w:w="1425"/>
          </w:tcPr>
          <w:p>
            <w:pPr>
              <w:spacing w:after="0" w:line="240" w:lineRule="auto"/>
              <w:ind w:firstLine="0"/>
              <w:jc w:val="center"/>
            </w:pPr>
            <w:r>
              <w:rPr>
                <w:b w:val="0"/>
                <w:i w:val="0"/>
                <w:sz w:val="20"/>
              </w:rPr>
              <w:t>4,00</w:t>
            </w:r>
          </w:p>
        </w:tc>
        <w:tc>
          <w:tcPr>
            <w:tcW w:type="dxa" w:w="1425"/>
          </w:tcPr>
          <w:p>
            <w:pPr>
              <w:spacing w:after="0" w:line="240" w:lineRule="auto"/>
              <w:ind w:firstLine="0"/>
              <w:jc w:val="center"/>
            </w:pPr>
            <w:r>
              <w:rPr>
                <w:b w:val="0"/>
                <w:i w:val="0"/>
                <w:sz w:val="20"/>
              </w:rPr>
              <w:t>4,50</w:t>
            </w:r>
          </w:p>
        </w:tc>
        <w:tc>
          <w:tcPr>
            <w:tcW w:type="dxa" w:w="1425"/>
          </w:tcPr>
          <w:p>
            <w:pPr>
              <w:spacing w:after="0" w:line="240" w:lineRule="auto"/>
              <w:ind w:firstLine="0"/>
              <w:jc w:val="center"/>
            </w:pPr>
            <w:r>
              <w:rPr>
                <w:b w:val="0"/>
                <w:i w:val="0"/>
                <w:sz w:val="20"/>
              </w:rPr>
              <w:t>4,50</w:t>
            </w:r>
          </w:p>
        </w:tc>
        <w:tc>
          <w:tcPr>
            <w:tcW w:type="dxa" w:w="1425"/>
          </w:tcPr>
          <w:p>
            <w:pPr>
              <w:spacing w:after="0" w:line="240" w:lineRule="auto"/>
              <w:ind w:firstLine="0"/>
              <w:jc w:val="center"/>
            </w:pPr>
            <w:r>
              <w:rPr>
                <w:b w:val="0"/>
                <w:i w:val="0"/>
                <w:sz w:val="20"/>
              </w:rPr>
              <w:t>4,50</w:t>
            </w:r>
          </w:p>
        </w:tc>
      </w:tr>
      <w:tr>
        <w:tc>
          <w:tcPr>
            <w:tcW w:type="dxa" w:w="1425"/>
          </w:tcPr>
          <w:p>
            <w:pPr>
              <w:spacing w:after="0" w:line="240" w:lineRule="auto"/>
              <w:ind w:firstLine="0"/>
              <w:jc w:val="left"/>
            </w:pPr>
            <w:r>
              <w:rPr>
                <w:b w:val="0"/>
                <w:i w:val="0"/>
                <w:sz w:val="20"/>
              </w:rPr>
              <w:t>Извлечение из фосфогипса и ЭФК</w:t>
            </w:r>
          </w:p>
        </w:tc>
        <w:tc>
          <w:tcPr>
            <w:tcW w:type="dxa" w:w="1425"/>
          </w:tcPr>
          <w:p>
            <w:pPr>
              <w:spacing w:after="0" w:line="240" w:lineRule="auto"/>
              <w:ind w:firstLine="0"/>
              <w:jc w:val="center"/>
            </w:pPr>
            <w:r>
              <w:rPr>
                <w:b w:val="0"/>
                <w:i w:val="0"/>
                <w:sz w:val="20"/>
              </w:rPr>
              <w:t>0,15</w:t>
            </w:r>
          </w:p>
        </w:tc>
        <w:tc>
          <w:tcPr>
            <w:tcW w:type="dxa" w:w="1425"/>
          </w:tcPr>
          <w:p>
            <w:pPr>
              <w:spacing w:after="0" w:line="240" w:lineRule="auto"/>
              <w:ind w:firstLine="0"/>
              <w:jc w:val="center"/>
            </w:pPr>
            <w:r>
              <w:rPr>
                <w:b w:val="0"/>
                <w:i w:val="0"/>
                <w:sz w:val="20"/>
              </w:rPr>
              <w:t>0,80</w:t>
            </w:r>
          </w:p>
        </w:tc>
        <w:tc>
          <w:tcPr>
            <w:tcW w:type="dxa" w:w="1425"/>
          </w:tcPr>
          <w:p>
            <w:pPr>
              <w:spacing w:after="0" w:line="240" w:lineRule="auto"/>
              <w:ind w:firstLine="0"/>
              <w:jc w:val="center"/>
            </w:pPr>
            <w:r>
              <w:rPr>
                <w:b w:val="0"/>
                <w:i w:val="0"/>
                <w:sz w:val="20"/>
              </w:rPr>
              <w:t>2,00</w:t>
            </w:r>
          </w:p>
        </w:tc>
        <w:tc>
          <w:tcPr>
            <w:tcW w:type="dxa" w:w="1425"/>
          </w:tcPr>
          <w:p>
            <w:pPr>
              <w:spacing w:after="0" w:line="240" w:lineRule="auto"/>
              <w:ind w:firstLine="0"/>
              <w:jc w:val="center"/>
            </w:pPr>
            <w:r>
              <w:rPr>
                <w:b w:val="0"/>
                <w:i w:val="0"/>
                <w:sz w:val="20"/>
              </w:rPr>
              <w:t>3,00</w:t>
            </w:r>
          </w:p>
        </w:tc>
        <w:tc>
          <w:tcPr>
            <w:tcW w:type="dxa" w:w="1425"/>
          </w:tcPr>
          <w:p>
            <w:pPr>
              <w:spacing w:after="0" w:line="240" w:lineRule="auto"/>
              <w:ind w:firstLine="0"/>
              <w:jc w:val="center"/>
            </w:pPr>
            <w:r>
              <w:rPr>
                <w:b w:val="0"/>
                <w:i w:val="0"/>
                <w:sz w:val="20"/>
              </w:rPr>
              <w:t>4,50</w:t>
            </w:r>
          </w:p>
        </w:tc>
        <w:tc>
          <w:tcPr>
            <w:tcW w:type="dxa" w:w="1425"/>
          </w:tcPr>
          <w:p>
            <w:pPr>
              <w:spacing w:after="0" w:line="240" w:lineRule="auto"/>
              <w:ind w:firstLine="0"/>
              <w:jc w:val="center"/>
            </w:pPr>
            <w:r>
              <w:rPr>
                <w:b w:val="0"/>
                <w:i w:val="0"/>
                <w:sz w:val="20"/>
              </w:rPr>
              <w:t>5,50</w:t>
            </w:r>
          </w:p>
        </w:tc>
      </w:tr>
      <w:tr>
        <w:tc>
          <w:tcPr>
            <w:tcW w:type="dxa" w:w="1425"/>
          </w:tcPr>
          <w:p>
            <w:pPr>
              <w:spacing w:after="0" w:line="240" w:lineRule="auto"/>
              <w:ind w:firstLine="0"/>
              <w:jc w:val="left"/>
            </w:pPr>
            <w:r>
              <w:rPr>
                <w:b w:val="0"/>
                <w:i w:val="0"/>
                <w:sz w:val="20"/>
              </w:rPr>
              <w:t>Африканда</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0,60</w:t>
            </w:r>
          </w:p>
        </w:tc>
        <w:tc>
          <w:tcPr>
            <w:tcW w:type="dxa" w:w="1425"/>
          </w:tcPr>
          <w:p>
            <w:pPr>
              <w:spacing w:after="0" w:line="240" w:lineRule="auto"/>
              <w:ind w:firstLine="0"/>
              <w:jc w:val="center"/>
            </w:pPr>
            <w:r>
              <w:rPr>
                <w:b w:val="0"/>
                <w:i w:val="0"/>
                <w:sz w:val="20"/>
              </w:rPr>
              <w:t>1,20</w:t>
            </w:r>
          </w:p>
        </w:tc>
        <w:tc>
          <w:tcPr>
            <w:tcW w:type="dxa" w:w="1425"/>
          </w:tcPr>
          <w:p>
            <w:pPr>
              <w:spacing w:after="0" w:line="240" w:lineRule="auto"/>
              <w:ind w:firstLine="0"/>
              <w:jc w:val="center"/>
            </w:pPr>
            <w:r>
              <w:rPr>
                <w:b w:val="0"/>
                <w:i w:val="0"/>
                <w:sz w:val="20"/>
              </w:rPr>
              <w:t>1,80</w:t>
            </w:r>
          </w:p>
        </w:tc>
        <w:tc>
          <w:tcPr>
            <w:tcW w:type="dxa" w:w="1425"/>
          </w:tcPr>
          <w:p>
            <w:pPr>
              <w:spacing w:after="0" w:line="240" w:lineRule="auto"/>
              <w:ind w:firstLine="0"/>
              <w:jc w:val="center"/>
            </w:pPr>
            <w:r>
              <w:rPr>
                <w:b w:val="0"/>
                <w:i w:val="0"/>
                <w:sz w:val="20"/>
              </w:rPr>
              <w:t>2,00</w:t>
            </w:r>
          </w:p>
        </w:tc>
      </w:tr>
      <w:tr>
        <w:tc>
          <w:tcPr>
            <w:tcW w:type="dxa" w:w="1425"/>
          </w:tcPr>
          <w:p>
            <w:pPr>
              <w:spacing w:after="0" w:line="240" w:lineRule="auto"/>
              <w:ind w:firstLine="0"/>
              <w:jc w:val="left"/>
            </w:pPr>
            <w:r>
              <w:rPr>
                <w:b w:val="0"/>
                <w:i w:val="0"/>
                <w:sz w:val="20"/>
              </w:rPr>
              <w:t>Зашихинское</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0,30</w:t>
            </w:r>
          </w:p>
        </w:tc>
        <w:tc>
          <w:tcPr>
            <w:tcW w:type="dxa" w:w="1425"/>
          </w:tcPr>
          <w:p>
            <w:pPr>
              <w:spacing w:after="0" w:line="240" w:lineRule="auto"/>
              <w:ind w:firstLine="0"/>
              <w:jc w:val="center"/>
            </w:pPr>
            <w:r>
              <w:rPr>
                <w:b w:val="0"/>
                <w:i w:val="0"/>
                <w:sz w:val="20"/>
              </w:rPr>
              <w:t>0,70</w:t>
            </w:r>
          </w:p>
        </w:tc>
        <w:tc>
          <w:tcPr>
            <w:tcW w:type="dxa" w:w="1425"/>
          </w:tcPr>
          <w:p>
            <w:pPr>
              <w:spacing w:after="0" w:line="240" w:lineRule="auto"/>
              <w:ind w:firstLine="0"/>
              <w:jc w:val="center"/>
            </w:pPr>
            <w:r>
              <w:rPr>
                <w:b w:val="0"/>
                <w:i w:val="0"/>
                <w:sz w:val="20"/>
              </w:rPr>
              <w:t>1,00</w:t>
            </w:r>
          </w:p>
        </w:tc>
        <w:tc>
          <w:tcPr>
            <w:tcW w:type="dxa" w:w="1425"/>
          </w:tcPr>
          <w:p>
            <w:pPr>
              <w:spacing w:after="0" w:line="240" w:lineRule="auto"/>
              <w:ind w:firstLine="0"/>
              <w:jc w:val="center"/>
            </w:pPr>
            <w:r>
              <w:rPr>
                <w:b w:val="0"/>
                <w:i w:val="0"/>
                <w:sz w:val="20"/>
              </w:rPr>
              <w:t>1,10</w:t>
            </w:r>
          </w:p>
        </w:tc>
      </w:tr>
      <w:tr>
        <w:tc>
          <w:tcPr>
            <w:tcW w:type="dxa" w:w="1425"/>
          </w:tcPr>
          <w:p>
            <w:pPr>
              <w:spacing w:after="0" w:line="240" w:lineRule="auto"/>
              <w:ind w:firstLine="0"/>
              <w:jc w:val="left"/>
            </w:pPr>
            <w:r>
              <w:rPr>
                <w:b w:val="0"/>
                <w:i w:val="0"/>
                <w:sz w:val="20"/>
              </w:rPr>
              <w:t>Томтор</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2,00</w:t>
            </w:r>
          </w:p>
        </w:tc>
        <w:tc>
          <w:tcPr>
            <w:tcW w:type="dxa" w:w="1425"/>
          </w:tcPr>
          <w:p>
            <w:pPr>
              <w:spacing w:after="0" w:line="240" w:lineRule="auto"/>
              <w:ind w:firstLine="0"/>
              <w:jc w:val="center"/>
            </w:pPr>
            <w:r>
              <w:rPr>
                <w:b w:val="0"/>
                <w:i w:val="0"/>
                <w:sz w:val="20"/>
              </w:rPr>
              <w:t>12,00</w:t>
            </w:r>
          </w:p>
        </w:tc>
        <w:tc>
          <w:tcPr>
            <w:tcW w:type="dxa" w:w="1425"/>
          </w:tcPr>
          <w:p>
            <w:pPr>
              <w:spacing w:after="0" w:line="240" w:lineRule="auto"/>
              <w:ind w:firstLine="0"/>
              <w:jc w:val="center"/>
            </w:pPr>
            <w:r>
              <w:rPr>
                <w:b w:val="0"/>
                <w:i w:val="0"/>
                <w:sz w:val="20"/>
              </w:rPr>
              <w:t>17,00</w:t>
            </w:r>
          </w:p>
        </w:tc>
      </w:tr>
      <w:tr>
        <w:tc>
          <w:tcPr>
            <w:tcW w:type="dxa" w:w="1425"/>
          </w:tcPr>
          <w:p>
            <w:pPr>
              <w:spacing w:after="0" w:line="240" w:lineRule="auto"/>
              <w:ind w:firstLine="0"/>
              <w:jc w:val="left"/>
            </w:pPr>
            <w:r>
              <w:rPr>
                <w:b w:val="0"/>
                <w:i w:val="0"/>
                <w:sz w:val="20"/>
              </w:rPr>
              <w:t>Ловозеро (эвдиалит)</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1,50</w:t>
            </w:r>
          </w:p>
        </w:tc>
        <w:tc>
          <w:tcPr>
            <w:tcW w:type="dxa" w:w="1425"/>
          </w:tcPr>
          <w:p>
            <w:pPr>
              <w:spacing w:after="0" w:line="240" w:lineRule="auto"/>
              <w:ind w:firstLine="0"/>
              <w:jc w:val="center"/>
            </w:pPr>
            <w:r>
              <w:rPr>
                <w:b w:val="0"/>
                <w:i w:val="0"/>
                <w:sz w:val="20"/>
              </w:rPr>
              <w:t>3,00</w:t>
            </w:r>
          </w:p>
        </w:tc>
      </w:tr>
      <w:tr>
        <w:tc>
          <w:tcPr>
            <w:tcW w:type="dxa" w:w="1425"/>
          </w:tcPr>
          <w:p>
            <w:pPr>
              <w:spacing w:after="0" w:line="240" w:lineRule="auto"/>
              <w:ind w:firstLine="0"/>
              <w:jc w:val="left"/>
            </w:pPr>
            <w:r>
              <w:rPr>
                <w:b w:val="0"/>
                <w:i w:val="0"/>
                <w:sz w:val="20"/>
              </w:rPr>
              <w:t>Прочие (попутные, вторичные)</w:t>
            </w:r>
          </w:p>
        </w:tc>
        <w:tc>
          <w:tcPr>
            <w:tcW w:type="dxa" w:w="1425"/>
          </w:tcPr>
          <w:p>
            <w:pPr>
              <w:spacing w:after="0" w:line="240" w:lineRule="auto"/>
              <w:ind w:firstLine="0"/>
              <w:jc w:val="center"/>
            </w:pPr>
            <w:r>
              <w:rPr>
                <w:b w:val="0"/>
                <w:i w:val="0"/>
                <w:sz w:val="20"/>
              </w:rPr>
              <w:t>0,05</w:t>
            </w:r>
          </w:p>
        </w:tc>
        <w:tc>
          <w:tcPr>
            <w:tcW w:type="dxa" w:w="1425"/>
          </w:tcPr>
          <w:p>
            <w:pPr>
              <w:spacing w:after="0" w:line="240" w:lineRule="auto"/>
              <w:ind w:firstLine="0"/>
              <w:jc w:val="center"/>
            </w:pPr>
            <w:r>
              <w:rPr>
                <w:b w:val="0"/>
                <w:i w:val="0"/>
                <w:sz w:val="20"/>
              </w:rPr>
              <w:t>0,20</w:t>
            </w:r>
          </w:p>
        </w:tc>
        <w:tc>
          <w:tcPr>
            <w:tcW w:type="dxa" w:w="1425"/>
          </w:tcPr>
          <w:p>
            <w:pPr>
              <w:spacing w:after="0" w:line="240" w:lineRule="auto"/>
              <w:ind w:firstLine="0"/>
              <w:jc w:val="center"/>
            </w:pPr>
            <w:r>
              <w:rPr>
                <w:b w:val="0"/>
                <w:i w:val="0"/>
                <w:sz w:val="20"/>
              </w:rPr>
              <w:t>0,40</w:t>
            </w:r>
          </w:p>
        </w:tc>
        <w:tc>
          <w:tcPr>
            <w:tcW w:type="dxa" w:w="1425"/>
          </w:tcPr>
          <w:p>
            <w:pPr>
              <w:spacing w:after="0" w:line="240" w:lineRule="auto"/>
              <w:ind w:firstLine="0"/>
              <w:jc w:val="center"/>
            </w:pPr>
            <w:r>
              <w:rPr>
                <w:b w:val="0"/>
                <w:i w:val="0"/>
                <w:sz w:val="20"/>
              </w:rPr>
              <w:t>0,60</w:t>
            </w:r>
          </w:p>
        </w:tc>
        <w:tc>
          <w:tcPr>
            <w:tcW w:type="dxa" w:w="1425"/>
          </w:tcPr>
          <w:p>
            <w:pPr>
              <w:spacing w:after="0" w:line="240" w:lineRule="auto"/>
              <w:ind w:firstLine="0"/>
              <w:jc w:val="center"/>
            </w:pPr>
            <w:r>
              <w:rPr>
                <w:b w:val="0"/>
                <w:i w:val="0"/>
                <w:sz w:val="20"/>
              </w:rPr>
              <w:t>1,20</w:t>
            </w:r>
          </w:p>
        </w:tc>
        <w:tc>
          <w:tcPr>
            <w:tcW w:type="dxa" w:w="1425"/>
          </w:tcPr>
          <w:p>
            <w:pPr>
              <w:spacing w:after="0" w:line="240" w:lineRule="auto"/>
              <w:ind w:firstLine="0"/>
              <w:jc w:val="center"/>
            </w:pPr>
            <w:r>
              <w:rPr>
                <w:b w:val="0"/>
                <w:i w:val="0"/>
                <w:sz w:val="20"/>
              </w:rPr>
              <w:t>1,70</w:t>
            </w:r>
          </w:p>
        </w:tc>
      </w:tr>
      <w:tr>
        <w:tc>
          <w:tcPr>
            <w:tcW w:type="dxa" w:w="1425"/>
          </w:tcPr>
          <w:p>
            <w:pPr>
              <w:spacing w:after="0" w:line="240" w:lineRule="auto"/>
              <w:ind w:firstLine="0"/>
              <w:jc w:val="left"/>
            </w:pPr>
            <w:r>
              <w:rPr>
                <w:b w:val="0"/>
                <w:i w:val="0"/>
                <w:sz w:val="20"/>
              </w:rPr>
              <w:t>Рециклинг магнитов</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0,00</w:t>
            </w:r>
          </w:p>
        </w:tc>
        <w:tc>
          <w:tcPr>
            <w:tcW w:type="dxa" w:w="1425"/>
          </w:tcPr>
          <w:p>
            <w:pPr>
              <w:spacing w:after="0" w:line="240" w:lineRule="auto"/>
              <w:ind w:firstLine="0"/>
              <w:jc w:val="center"/>
            </w:pPr>
            <w:r>
              <w:rPr>
                <w:b w:val="0"/>
                <w:i w:val="0"/>
                <w:sz w:val="20"/>
              </w:rPr>
              <w:t>0,05</w:t>
            </w:r>
          </w:p>
        </w:tc>
        <w:tc>
          <w:tcPr>
            <w:tcW w:type="dxa" w:w="1425"/>
          </w:tcPr>
          <w:p>
            <w:pPr>
              <w:spacing w:after="0" w:line="240" w:lineRule="auto"/>
              <w:ind w:firstLine="0"/>
              <w:jc w:val="center"/>
            </w:pPr>
            <w:r>
              <w:rPr>
                <w:b w:val="0"/>
                <w:i w:val="0"/>
                <w:sz w:val="20"/>
              </w:rPr>
              <w:t>0,15</w:t>
            </w:r>
          </w:p>
        </w:tc>
        <w:tc>
          <w:tcPr>
            <w:tcW w:type="dxa" w:w="1425"/>
          </w:tcPr>
          <w:p>
            <w:pPr>
              <w:spacing w:after="0" w:line="240" w:lineRule="auto"/>
              <w:ind w:firstLine="0"/>
              <w:jc w:val="center"/>
            </w:pPr>
            <w:r>
              <w:rPr>
                <w:b w:val="0"/>
                <w:i w:val="0"/>
                <w:sz w:val="20"/>
              </w:rPr>
              <w:t>0,60</w:t>
            </w:r>
          </w:p>
        </w:tc>
        <w:tc>
          <w:tcPr>
            <w:tcW w:type="dxa" w:w="1425"/>
          </w:tcPr>
          <w:p>
            <w:pPr>
              <w:spacing w:after="0" w:line="240" w:lineRule="auto"/>
              <w:ind w:firstLine="0"/>
              <w:jc w:val="center"/>
            </w:pPr>
            <w:r>
              <w:rPr>
                <w:b w:val="0"/>
                <w:i w:val="0"/>
                <w:sz w:val="20"/>
              </w:rPr>
              <w:t>1,20</w:t>
            </w:r>
          </w:p>
        </w:tc>
      </w:tr>
      <w:tr>
        <w:tc>
          <w:tcPr>
            <w:tcW w:type="dxa" w:w="1425"/>
          </w:tcPr>
          <w:p>
            <w:pPr>
              <w:spacing w:after="0" w:line="240" w:lineRule="auto"/>
              <w:ind w:firstLine="0"/>
              <w:jc w:val="left"/>
            </w:pPr>
            <w:r>
              <w:rPr>
                <w:b/>
                <w:i w:val="0"/>
                <w:sz w:val="20"/>
              </w:rPr>
              <w:t>Всего</w:t>
            </w:r>
          </w:p>
        </w:tc>
        <w:tc>
          <w:tcPr>
            <w:tcW w:type="dxa" w:w="1425"/>
          </w:tcPr>
          <w:p>
            <w:pPr>
              <w:spacing w:after="0" w:line="240" w:lineRule="auto"/>
              <w:ind w:firstLine="0"/>
              <w:jc w:val="center"/>
            </w:pPr>
            <w:r>
              <w:rPr>
                <w:b/>
                <w:i w:val="0"/>
                <w:sz w:val="20"/>
              </w:rPr>
              <w:t>2,70</w:t>
            </w:r>
          </w:p>
        </w:tc>
        <w:tc>
          <w:tcPr>
            <w:tcW w:type="dxa" w:w="1425"/>
          </w:tcPr>
          <w:p>
            <w:pPr>
              <w:spacing w:after="0" w:line="240" w:lineRule="auto"/>
              <w:ind w:firstLine="0"/>
              <w:jc w:val="center"/>
            </w:pPr>
            <w:r>
              <w:rPr>
                <w:b/>
                <w:i w:val="0"/>
                <w:sz w:val="20"/>
              </w:rPr>
              <w:t>4,20</w:t>
            </w:r>
          </w:p>
        </w:tc>
        <w:tc>
          <w:tcPr>
            <w:tcW w:type="dxa" w:w="1425"/>
          </w:tcPr>
          <w:p>
            <w:pPr>
              <w:spacing w:after="0" w:line="240" w:lineRule="auto"/>
              <w:ind w:firstLine="0"/>
              <w:jc w:val="center"/>
            </w:pPr>
            <w:r>
              <w:rPr>
                <w:b/>
                <w:i w:val="0"/>
                <w:sz w:val="20"/>
              </w:rPr>
              <w:t>7,35</w:t>
            </w:r>
          </w:p>
        </w:tc>
        <w:tc>
          <w:tcPr>
            <w:tcW w:type="dxa" w:w="1425"/>
          </w:tcPr>
          <w:p>
            <w:pPr>
              <w:spacing w:after="0" w:line="240" w:lineRule="auto"/>
              <w:ind w:firstLine="0"/>
              <w:jc w:val="center"/>
            </w:pPr>
            <w:r>
              <w:rPr>
                <w:b/>
                <w:i w:val="0"/>
                <w:sz w:val="20"/>
              </w:rPr>
              <w:t>12,15</w:t>
            </w:r>
          </w:p>
        </w:tc>
        <w:tc>
          <w:tcPr>
            <w:tcW w:type="dxa" w:w="1425"/>
          </w:tcPr>
          <w:p>
            <w:pPr>
              <w:spacing w:after="0" w:line="240" w:lineRule="auto"/>
              <w:ind w:firstLine="0"/>
              <w:jc w:val="center"/>
            </w:pPr>
            <w:r>
              <w:rPr>
                <w:b/>
                <w:i w:val="0"/>
                <w:sz w:val="20"/>
              </w:rPr>
              <w:t>27,10</w:t>
            </w:r>
          </w:p>
        </w:tc>
        <w:tc>
          <w:tcPr>
            <w:tcW w:type="dxa" w:w="1425"/>
          </w:tcPr>
          <w:p>
            <w:pPr>
              <w:spacing w:after="0" w:line="240" w:lineRule="auto"/>
              <w:ind w:firstLine="0"/>
              <w:jc w:val="center"/>
            </w:pPr>
            <w:r>
              <w:rPr>
                <w:b/>
                <w:i w:val="0"/>
                <w:sz w:val="20"/>
              </w:rPr>
              <w:t>36,00</w:t>
            </w:r>
          </w:p>
        </w:tc>
      </w:tr>
    </w:tbl>
    <w:p>
      <w:pPr>
        <w:spacing w:after="180"/>
        <w:ind w:firstLine="0"/>
      </w:pPr>
      <w:r>
        <w:rPr>
          <w:i/>
          <w:sz w:val="20"/>
        </w:rPr>
        <w:t>Источник: прогноз аналитического центра</w:t>
      </w:r>
    </w:p>
    <w:p>
      <w:pPr>
        <w:keepNext/>
        <w:spacing w:before="160" w:after="60"/>
        <w:ind w:firstLine="0"/>
        <w:jc w:val="left"/>
      </w:pPr>
      <w:r>
        <w:rPr>
          <w:b/>
          <w:sz w:val="22"/>
        </w:rPr>
        <w:t>Рисунок 81. Прогноз производства редкоземельного сырья в РФ по проектам, тыс. т TREO (базовый сценарий)</w:t>
      </w:r>
    </w:p>
    <w:p>
      <w:pPr>
        <w:ind w:firstLine="0"/>
        <w:jc w:val="center"/>
      </w:pPr>
      <w:r>
        <w:drawing>
          <wp:inline xmlns:a="http://schemas.openxmlformats.org/drawingml/2006/main" xmlns:pic="http://schemas.openxmlformats.org/drawingml/2006/picture">
            <wp:extent cx="5580000" cy="2731327"/>
            <wp:docPr id="81" name="Picture 81"/>
            <wp:cNvGraphicFramePr>
              <a:graphicFrameLocks noChangeAspect="1"/>
            </wp:cNvGraphicFramePr>
            <a:graphic>
              <a:graphicData uri="http://schemas.openxmlformats.org/drawingml/2006/picture">
                <pic:pic>
                  <pic:nvPicPr>
                    <pic:cNvPr id="0" name="fig81.png"/>
                    <pic:cNvPicPr/>
                  </pic:nvPicPr>
                  <pic:blipFill>
                    <a:blip r:embed="rId91"/>
                    <a:stretch>
                      <a:fillRect/>
                    </a:stretch>
                  </pic:blipFill>
                  <pic:spPr>
                    <a:xfrm>
                      <a:off x="0" y="0"/>
                      <a:ext cx="5580000" cy="2731327"/>
                    </a:xfrm>
                    <a:prstGeom prst="rect"/>
                  </pic:spPr>
                </pic:pic>
              </a:graphicData>
            </a:graphic>
          </wp:inline>
        </w:drawing>
      </w:r>
    </w:p>
    <w:p>
      <w:pPr>
        <w:spacing w:after="180"/>
        <w:ind w:firstLine="0"/>
      </w:pPr>
      <w:r>
        <w:rPr>
          <w:i/>
          <w:sz w:val="20"/>
        </w:rPr>
        <w:t>Источник: прогноз аналитического центра (табл. 113)</w:t>
      </w:r>
    </w:p>
    <w:p>
      <w:pPr>
        <w:keepNext/>
        <w:spacing w:before="160" w:after="60"/>
        <w:ind w:firstLine="0"/>
        <w:jc w:val="left"/>
      </w:pPr>
      <w:r>
        <w:rPr>
          <w:b/>
          <w:sz w:val="22"/>
        </w:rPr>
        <w:t>Рисунок 82. Прогноз производства РЗМ в РФ по сценариям в сопоставлении с целевыми показателями, тыс. т TREO</w:t>
      </w:r>
    </w:p>
    <w:p>
      <w:pPr>
        <w:ind w:firstLine="0"/>
        <w:jc w:val="center"/>
      </w:pPr>
      <w:r>
        <w:drawing>
          <wp:inline xmlns:a="http://schemas.openxmlformats.org/drawingml/2006/main" xmlns:pic="http://schemas.openxmlformats.org/drawingml/2006/picture">
            <wp:extent cx="5580000" cy="2765419"/>
            <wp:docPr id="82" name="Picture 82"/>
            <wp:cNvGraphicFramePr>
              <a:graphicFrameLocks noChangeAspect="1"/>
            </wp:cNvGraphicFramePr>
            <a:graphic>
              <a:graphicData uri="http://schemas.openxmlformats.org/drawingml/2006/picture">
                <pic:pic>
                  <pic:nvPicPr>
                    <pic:cNvPr id="0" name="fig82.png"/>
                    <pic:cNvPicPr/>
                  </pic:nvPicPr>
                  <pic:blipFill>
                    <a:blip r:embed="rId92"/>
                    <a:stretch>
                      <a:fillRect/>
                    </a:stretch>
                  </pic:blipFill>
                  <pic:spPr>
                    <a:xfrm>
                      <a:off x="0" y="0"/>
                      <a:ext cx="5580000" cy="2765419"/>
                    </a:xfrm>
                    <a:prstGeom prst="rect"/>
                  </pic:spPr>
                </pic:pic>
              </a:graphicData>
            </a:graphic>
          </wp:inline>
        </w:drawing>
      </w:r>
    </w:p>
    <w:p>
      <w:pPr>
        <w:spacing w:after="180"/>
        <w:ind w:firstLine="0"/>
      </w:pPr>
      <w:r>
        <w:rPr>
          <w:i/>
          <w:sz w:val="20"/>
        </w:rPr>
        <w:t>Источник: прогноз аналитического центра</w:t>
      </w:r>
    </w:p>
    <w:p>
      <w:r>
        <w:rPr>
          <w:b w:val="0"/>
          <w:i w:val="0"/>
        </w:rPr>
        <w:t>Рисунок 82 позволяет сформулировать основную оценку реалистичности заявленной программы. Целевой показатель 2030 г. (20 тыс. т TREO) достижим только в оптимистическом сценарии, требующем одновременного выполнения нескольких условий: пуск Томтора не позднее 2029–2030 гг., ускоренное освоение фосфогипсовой технологии и благоприятная ценовая конъюнктура. Вероятность одновременной реализации всех условий оценивается как невысокая.</w:t>
      </w:r>
    </w:p>
    <w:p>
      <w:r>
        <w:rPr>
          <w:b w:val="0"/>
          <w:i w:val="0"/>
        </w:rPr>
        <w:t>Базовый сценарий предполагает достижение уровня 20 тыс. т TREO около 2032 г. — с отставанием от целевого срока на два года. Консервативный сценарий, реализуемый при переносе Томторского проекта за горизонт 2035 г., даёт лишь 9 тыс. т, что означает невыполнение программы в разы.</w:t>
      </w:r>
    </w:p>
    <w:p>
      <w:r>
        <w:rPr>
          <w:b/>
          <w:i w:val="0"/>
        </w:rPr>
        <w:t>Критическая зависимость от одного проекта.</w:t>
      </w:r>
      <w:r>
        <w:rPr>
          <w:b w:val="0"/>
          <w:i w:val="0"/>
        </w:rPr>
        <w:t xml:space="preserve"> В базовом сценарии на Томтор приходится 63% производства 2035 г. Это означает, что судьба всей программы определяется одним объектом, характеризующимся наибольшими технологическими, логистическими и капитальными рисками. Данное обстоятельство представляет собой самостоятельный системный риск: перенос сроков Томтора автоматически переводит прогноз в консервативный сценарий.</w:t>
      </w:r>
    </w:p>
    <w:p>
      <w:pPr>
        <w:keepNext/>
        <w:spacing w:before="160" w:after="60"/>
        <w:ind w:firstLine="0"/>
        <w:jc w:val="left"/>
      </w:pPr>
      <w:r>
        <w:rPr>
          <w:b/>
          <w:sz w:val="22"/>
        </w:rPr>
        <w:t>Таблица 114. Оценка вероятности реализации ключевых российских редкоземельных проектов</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Проект</w:t>
            </w:r>
          </w:p>
        </w:tc>
        <w:tc>
          <w:tcPr>
            <w:tcW w:type="dxa" w:w="1662"/>
            <w:shd w:val="clear" w:fill="DCE6F1"/>
          </w:tcPr>
          <w:p>
            <w:pPr>
              <w:spacing w:after="0" w:line="240" w:lineRule="auto"/>
              <w:ind w:firstLine="0"/>
              <w:jc w:val="center"/>
            </w:pPr>
            <w:r>
              <w:rPr>
                <w:b/>
                <w:i w:val="0"/>
                <w:sz w:val="20"/>
              </w:rPr>
              <w:t>Технол. готовность</w:t>
            </w:r>
          </w:p>
        </w:tc>
        <w:tc>
          <w:tcPr>
            <w:tcW w:type="dxa" w:w="1662"/>
            <w:shd w:val="clear" w:fill="DCE6F1"/>
          </w:tcPr>
          <w:p>
            <w:pPr>
              <w:spacing w:after="0" w:line="240" w:lineRule="auto"/>
              <w:ind w:firstLine="0"/>
              <w:jc w:val="center"/>
            </w:pPr>
            <w:r>
              <w:rPr>
                <w:b/>
                <w:i w:val="0"/>
                <w:sz w:val="20"/>
              </w:rPr>
              <w:t>Финанс. обеспеч.</w:t>
            </w:r>
          </w:p>
        </w:tc>
        <w:tc>
          <w:tcPr>
            <w:tcW w:type="dxa" w:w="1662"/>
            <w:shd w:val="clear" w:fill="DCE6F1"/>
          </w:tcPr>
          <w:p>
            <w:pPr>
              <w:spacing w:after="0" w:line="240" w:lineRule="auto"/>
              <w:ind w:firstLine="0"/>
              <w:jc w:val="center"/>
            </w:pPr>
            <w:r>
              <w:rPr>
                <w:b/>
                <w:i w:val="0"/>
                <w:sz w:val="20"/>
              </w:rPr>
              <w:t>Инфраструктура</w:t>
            </w:r>
          </w:p>
        </w:tc>
        <w:tc>
          <w:tcPr>
            <w:tcW w:type="dxa" w:w="1662"/>
            <w:shd w:val="clear" w:fill="DCE6F1"/>
          </w:tcPr>
          <w:p>
            <w:pPr>
              <w:spacing w:after="0" w:line="240" w:lineRule="auto"/>
              <w:ind w:firstLine="0"/>
              <w:jc w:val="center"/>
            </w:pPr>
            <w:r>
              <w:rPr>
                <w:b/>
                <w:i w:val="0"/>
                <w:sz w:val="20"/>
              </w:rPr>
              <w:t>Сбыт</w:t>
            </w:r>
          </w:p>
        </w:tc>
        <w:tc>
          <w:tcPr>
            <w:tcW w:type="dxa" w:w="1662"/>
            <w:shd w:val="clear" w:fill="DCE6F1"/>
          </w:tcPr>
          <w:p>
            <w:pPr>
              <w:spacing w:after="0" w:line="240" w:lineRule="auto"/>
              <w:ind w:firstLine="0"/>
              <w:jc w:val="center"/>
            </w:pPr>
            <w:r>
              <w:rPr>
                <w:b/>
                <w:i w:val="0"/>
                <w:sz w:val="20"/>
              </w:rPr>
              <w:t>Итоговая вероятность</w:t>
            </w:r>
          </w:p>
        </w:tc>
      </w:tr>
      <w:tr>
        <w:tc>
          <w:tcPr>
            <w:tcW w:type="dxa" w:w="1662"/>
          </w:tcPr>
          <w:p>
            <w:pPr>
              <w:spacing w:after="0" w:line="240" w:lineRule="auto"/>
              <w:ind w:firstLine="0"/>
              <w:jc w:val="left"/>
            </w:pPr>
            <w:r>
              <w:rPr>
                <w:b w:val="0"/>
                <w:i w:val="0"/>
                <w:sz w:val="20"/>
              </w:rPr>
              <w:t>Ловозеро (расширение)</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0,80</w:t>
            </w:r>
          </w:p>
        </w:tc>
      </w:tr>
      <w:tr>
        <w:tc>
          <w:tcPr>
            <w:tcW w:type="dxa" w:w="1662"/>
          </w:tcPr>
          <w:p>
            <w:pPr>
              <w:spacing w:after="0" w:line="240" w:lineRule="auto"/>
              <w:ind w:firstLine="0"/>
              <w:jc w:val="left"/>
            </w:pPr>
            <w:r>
              <w:rPr>
                <w:b w:val="0"/>
                <w:i w:val="0"/>
                <w:sz w:val="20"/>
              </w:rPr>
              <w:t>Фосфогипс</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0,55</w:t>
            </w:r>
          </w:p>
        </w:tc>
      </w:tr>
      <w:tr>
        <w:tc>
          <w:tcPr>
            <w:tcW w:type="dxa" w:w="1662"/>
          </w:tcPr>
          <w:p>
            <w:pPr>
              <w:spacing w:after="0" w:line="240" w:lineRule="auto"/>
              <w:ind w:firstLine="0"/>
              <w:jc w:val="left"/>
            </w:pPr>
            <w:r>
              <w:rPr>
                <w:b w:val="0"/>
                <w:i w:val="0"/>
                <w:sz w:val="20"/>
              </w:rPr>
              <w:t>Африканда</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0,50</w:t>
            </w:r>
          </w:p>
        </w:tc>
      </w:tr>
      <w:tr>
        <w:tc>
          <w:tcPr>
            <w:tcW w:type="dxa" w:w="1662"/>
          </w:tcPr>
          <w:p>
            <w:pPr>
              <w:spacing w:after="0" w:line="240" w:lineRule="auto"/>
              <w:ind w:firstLine="0"/>
              <w:jc w:val="left"/>
            </w:pPr>
            <w:r>
              <w:rPr>
                <w:b w:val="0"/>
                <w:i w:val="0"/>
                <w:sz w:val="20"/>
              </w:rPr>
              <w:t>Зашихинское</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0,35</w:t>
            </w:r>
          </w:p>
        </w:tc>
      </w:tr>
      <w:tr>
        <w:tc>
          <w:tcPr>
            <w:tcW w:type="dxa" w:w="1662"/>
          </w:tcPr>
          <w:p>
            <w:pPr>
              <w:spacing w:after="0" w:line="240" w:lineRule="auto"/>
              <w:ind w:firstLine="0"/>
              <w:jc w:val="left"/>
            </w:pPr>
            <w:r>
              <w:rPr>
                <w:b w:val="0"/>
                <w:i w:val="0"/>
                <w:sz w:val="20"/>
              </w:rPr>
              <w:t>Томтор</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очень низкая</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0,30</w:t>
            </w:r>
          </w:p>
        </w:tc>
      </w:tr>
      <w:tr>
        <w:tc>
          <w:tcPr>
            <w:tcW w:type="dxa" w:w="1662"/>
          </w:tcPr>
          <w:p>
            <w:pPr>
              <w:spacing w:after="0" w:line="240" w:lineRule="auto"/>
              <w:ind w:firstLine="0"/>
              <w:jc w:val="left"/>
            </w:pPr>
            <w:r>
              <w:rPr>
                <w:b w:val="0"/>
                <w:i w:val="0"/>
                <w:sz w:val="20"/>
              </w:rPr>
              <w:t>Эвдиалит</w:t>
            </w:r>
          </w:p>
        </w:tc>
        <w:tc>
          <w:tcPr>
            <w:tcW w:type="dxa" w:w="1662"/>
          </w:tcPr>
          <w:p>
            <w:pPr>
              <w:spacing w:after="0" w:line="240" w:lineRule="auto"/>
              <w:ind w:firstLine="0"/>
              <w:jc w:val="center"/>
            </w:pPr>
            <w:r>
              <w:rPr>
                <w:b w:val="0"/>
                <w:i w:val="0"/>
                <w:sz w:val="20"/>
              </w:rPr>
              <w:t>очень низкая</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0,15</w:t>
            </w:r>
          </w:p>
        </w:tc>
      </w:tr>
      <w:tr>
        <w:tc>
          <w:tcPr>
            <w:tcW w:type="dxa" w:w="1662"/>
          </w:tcPr>
          <w:p>
            <w:pPr>
              <w:spacing w:after="0" w:line="240" w:lineRule="auto"/>
              <w:ind w:firstLine="0"/>
              <w:jc w:val="left"/>
            </w:pPr>
            <w:r>
              <w:rPr>
                <w:b w:val="0"/>
                <w:i w:val="0"/>
                <w:sz w:val="20"/>
              </w:rPr>
              <w:t>Чуктуконское</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0,15</w:t>
            </w:r>
          </w:p>
        </w:tc>
      </w:tr>
      <w:tr>
        <w:tc>
          <w:tcPr>
            <w:tcW w:type="dxa" w:w="1662"/>
          </w:tcPr>
          <w:p>
            <w:pPr>
              <w:spacing w:after="0" w:line="240" w:lineRule="auto"/>
              <w:ind w:firstLine="0"/>
              <w:jc w:val="left"/>
            </w:pPr>
            <w:r>
              <w:rPr>
                <w:b w:val="0"/>
                <w:i w:val="0"/>
                <w:sz w:val="20"/>
              </w:rPr>
              <w:t>Магниты 3 тыс. т</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0,45</w:t>
            </w:r>
          </w:p>
        </w:tc>
      </w:tr>
    </w:tbl>
    <w:p>
      <w:pPr>
        <w:spacing w:after="180"/>
        <w:ind w:firstLine="0"/>
      </w:pPr>
      <w:r>
        <w:rPr>
          <w:i/>
          <w:sz w:val="20"/>
        </w:rPr>
        <w:t>Источник: оценка аналитического центра</w:t>
      </w:r>
    </w:p>
    <w:p>
      <w:pPr>
        <w:pStyle w:val="Heading2"/>
      </w:pPr>
      <w:r>
        <w:rPr>
          <w:b w:val="0"/>
          <w:i w:val="0"/>
        </w:rPr>
        <w:t>16.3. Прогноз развития переделов</w:t>
      </w:r>
    </w:p>
    <w:p>
      <w:r>
        <w:rPr>
          <w:b w:val="0"/>
          <w:i w:val="0"/>
        </w:rPr>
        <w:t>Более значимым, чем объём производства сырья, является прогноз развития переделов, определяющий добавленную стоимость и реальную технологическую независимость.</w:t>
      </w:r>
    </w:p>
    <w:p>
      <w:pPr>
        <w:keepNext/>
        <w:spacing w:before="160" w:after="60"/>
        <w:ind w:firstLine="0"/>
        <w:jc w:val="left"/>
      </w:pPr>
      <w:r>
        <w:rPr>
          <w:b/>
          <w:sz w:val="22"/>
        </w:rPr>
        <w:t>Таблица 115. Прогноз производства редкоземельной продукции в РФ по переделам, т (базовый сценарий)</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Передел</w:t>
            </w:r>
          </w:p>
        </w:tc>
        <w:tc>
          <w:tcPr>
            <w:tcW w:type="dxa" w:w="1425"/>
            <w:shd w:val="clear" w:fill="DCE6F1"/>
          </w:tcPr>
          <w:p>
            <w:pPr>
              <w:spacing w:after="0" w:line="240" w:lineRule="auto"/>
              <w:ind w:firstLine="0"/>
              <w:jc w:val="center"/>
            </w:pPr>
            <w:r>
              <w:rPr>
                <w:b/>
                <w:i w:val="0"/>
                <w:sz w:val="20"/>
              </w:rPr>
              <w:t>2025</w:t>
            </w:r>
          </w:p>
        </w:tc>
        <w:tc>
          <w:tcPr>
            <w:tcW w:type="dxa" w:w="1425"/>
            <w:shd w:val="clear" w:fill="DCE6F1"/>
          </w:tcPr>
          <w:p>
            <w:pPr>
              <w:spacing w:after="0" w:line="240" w:lineRule="auto"/>
              <w:ind w:firstLine="0"/>
              <w:jc w:val="center"/>
            </w:pPr>
            <w:r>
              <w:rPr>
                <w:b/>
                <w:i w:val="0"/>
                <w:sz w:val="20"/>
              </w:rPr>
              <w:t>2027</w:t>
            </w:r>
          </w:p>
        </w:tc>
        <w:tc>
          <w:tcPr>
            <w:tcW w:type="dxa" w:w="1425"/>
            <w:shd w:val="clear" w:fill="DCE6F1"/>
          </w:tcPr>
          <w:p>
            <w:pPr>
              <w:spacing w:after="0" w:line="240" w:lineRule="auto"/>
              <w:ind w:firstLine="0"/>
              <w:jc w:val="center"/>
            </w:pPr>
            <w:r>
              <w:rPr>
                <w:b/>
                <w:i w:val="0"/>
                <w:sz w:val="20"/>
              </w:rPr>
              <w:t>2029</w:t>
            </w:r>
          </w:p>
        </w:tc>
        <w:tc>
          <w:tcPr>
            <w:tcW w:type="dxa" w:w="1425"/>
            <w:shd w:val="clear" w:fill="DCE6F1"/>
          </w:tcPr>
          <w:p>
            <w:pPr>
              <w:spacing w:after="0" w:line="240" w:lineRule="auto"/>
              <w:ind w:firstLine="0"/>
              <w:jc w:val="center"/>
            </w:pPr>
            <w:r>
              <w:rPr>
                <w:b/>
                <w:i w:val="0"/>
                <w:sz w:val="20"/>
              </w:rPr>
              <w:t>2030</w:t>
            </w:r>
          </w:p>
        </w:tc>
        <w:tc>
          <w:tcPr>
            <w:tcW w:type="dxa" w:w="1425"/>
            <w:shd w:val="clear" w:fill="DCE6F1"/>
          </w:tcPr>
          <w:p>
            <w:pPr>
              <w:spacing w:after="0" w:line="240" w:lineRule="auto"/>
              <w:ind w:firstLine="0"/>
              <w:jc w:val="center"/>
            </w:pPr>
            <w:r>
              <w:rPr>
                <w:b/>
                <w:i w:val="0"/>
                <w:sz w:val="20"/>
              </w:rPr>
              <w:t>2033</w:t>
            </w:r>
          </w:p>
        </w:tc>
        <w:tc>
          <w:tcPr>
            <w:tcW w:type="dxa" w:w="1425"/>
            <w:shd w:val="clear" w:fill="DCE6F1"/>
          </w:tcPr>
          <w:p>
            <w:pPr>
              <w:spacing w:after="0" w:line="240" w:lineRule="auto"/>
              <w:ind w:firstLine="0"/>
              <w:jc w:val="center"/>
            </w:pPr>
            <w:r>
              <w:rPr>
                <w:b/>
                <w:i w:val="0"/>
                <w:sz w:val="20"/>
              </w:rPr>
              <w:t>2035</w:t>
            </w:r>
          </w:p>
        </w:tc>
      </w:tr>
      <w:tr>
        <w:tc>
          <w:tcPr>
            <w:tcW w:type="dxa" w:w="1425"/>
          </w:tcPr>
          <w:p>
            <w:pPr>
              <w:spacing w:after="0" w:line="240" w:lineRule="auto"/>
              <w:ind w:firstLine="0"/>
              <w:jc w:val="left"/>
            </w:pPr>
            <w:r>
              <w:rPr>
                <w:b w:val="0"/>
                <w:i w:val="0"/>
                <w:sz w:val="20"/>
              </w:rPr>
              <w:t>Коллективная продукция, т TREO</w:t>
            </w:r>
          </w:p>
        </w:tc>
        <w:tc>
          <w:tcPr>
            <w:tcW w:type="dxa" w:w="1425"/>
          </w:tcPr>
          <w:p>
            <w:pPr>
              <w:spacing w:after="0" w:line="240" w:lineRule="auto"/>
              <w:ind w:firstLine="0"/>
              <w:jc w:val="center"/>
            </w:pPr>
            <w:r>
              <w:rPr>
                <w:b w:val="0"/>
                <w:i w:val="0"/>
                <w:sz w:val="20"/>
              </w:rPr>
              <w:t>2 200</w:t>
            </w:r>
          </w:p>
        </w:tc>
        <w:tc>
          <w:tcPr>
            <w:tcW w:type="dxa" w:w="1425"/>
          </w:tcPr>
          <w:p>
            <w:pPr>
              <w:spacing w:after="0" w:line="240" w:lineRule="auto"/>
              <w:ind w:firstLine="0"/>
              <w:jc w:val="center"/>
            </w:pPr>
            <w:r>
              <w:rPr>
                <w:b w:val="0"/>
                <w:i w:val="0"/>
                <w:sz w:val="20"/>
              </w:rPr>
              <w:t>2 800</w:t>
            </w:r>
          </w:p>
        </w:tc>
        <w:tc>
          <w:tcPr>
            <w:tcW w:type="dxa" w:w="1425"/>
          </w:tcPr>
          <w:p>
            <w:pPr>
              <w:spacing w:after="0" w:line="240" w:lineRule="auto"/>
              <w:ind w:firstLine="0"/>
              <w:jc w:val="center"/>
            </w:pPr>
            <w:r>
              <w:rPr>
                <w:b w:val="0"/>
                <w:i w:val="0"/>
                <w:sz w:val="20"/>
              </w:rPr>
              <w:t>3 500</w:t>
            </w:r>
          </w:p>
        </w:tc>
        <w:tc>
          <w:tcPr>
            <w:tcW w:type="dxa" w:w="1425"/>
          </w:tcPr>
          <w:p>
            <w:pPr>
              <w:spacing w:after="0" w:line="240" w:lineRule="auto"/>
              <w:ind w:firstLine="0"/>
              <w:jc w:val="center"/>
            </w:pPr>
            <w:r>
              <w:rPr>
                <w:b w:val="0"/>
                <w:i w:val="0"/>
                <w:sz w:val="20"/>
              </w:rPr>
              <w:t>4 200</w:t>
            </w:r>
          </w:p>
        </w:tc>
        <w:tc>
          <w:tcPr>
            <w:tcW w:type="dxa" w:w="1425"/>
          </w:tcPr>
          <w:p>
            <w:pPr>
              <w:spacing w:after="0" w:line="240" w:lineRule="auto"/>
              <w:ind w:firstLine="0"/>
              <w:jc w:val="center"/>
            </w:pPr>
            <w:r>
              <w:rPr>
                <w:b w:val="0"/>
                <w:i w:val="0"/>
                <w:sz w:val="20"/>
              </w:rPr>
              <w:t>6 000</w:t>
            </w:r>
          </w:p>
        </w:tc>
        <w:tc>
          <w:tcPr>
            <w:tcW w:type="dxa" w:w="1425"/>
          </w:tcPr>
          <w:p>
            <w:pPr>
              <w:spacing w:after="0" w:line="240" w:lineRule="auto"/>
              <w:ind w:firstLine="0"/>
              <w:jc w:val="center"/>
            </w:pPr>
            <w:r>
              <w:rPr>
                <w:b w:val="0"/>
                <w:i w:val="0"/>
                <w:sz w:val="20"/>
              </w:rPr>
              <w:t>7 000</w:t>
            </w:r>
          </w:p>
        </w:tc>
      </w:tr>
      <w:tr>
        <w:tc>
          <w:tcPr>
            <w:tcW w:type="dxa" w:w="1425"/>
          </w:tcPr>
          <w:p>
            <w:pPr>
              <w:spacing w:after="0" w:line="240" w:lineRule="auto"/>
              <w:ind w:firstLine="0"/>
              <w:jc w:val="left"/>
            </w:pPr>
            <w:r>
              <w:rPr>
                <w:b w:val="0"/>
                <w:i w:val="0"/>
                <w:sz w:val="20"/>
              </w:rPr>
              <w:t>Разделённые оксиды, т TREO</w:t>
            </w:r>
          </w:p>
        </w:tc>
        <w:tc>
          <w:tcPr>
            <w:tcW w:type="dxa" w:w="1425"/>
          </w:tcPr>
          <w:p>
            <w:pPr>
              <w:spacing w:after="0" w:line="240" w:lineRule="auto"/>
              <w:ind w:firstLine="0"/>
              <w:jc w:val="center"/>
            </w:pPr>
            <w:r>
              <w:rPr>
                <w:b w:val="0"/>
                <w:i w:val="0"/>
                <w:sz w:val="20"/>
              </w:rPr>
              <w:t>450</w:t>
            </w:r>
          </w:p>
        </w:tc>
        <w:tc>
          <w:tcPr>
            <w:tcW w:type="dxa" w:w="1425"/>
          </w:tcPr>
          <w:p>
            <w:pPr>
              <w:spacing w:after="0" w:line="240" w:lineRule="auto"/>
              <w:ind w:firstLine="0"/>
              <w:jc w:val="center"/>
            </w:pPr>
            <w:r>
              <w:rPr>
                <w:b w:val="0"/>
                <w:i w:val="0"/>
                <w:sz w:val="20"/>
              </w:rPr>
              <w:t>1 400</w:t>
            </w:r>
          </w:p>
        </w:tc>
        <w:tc>
          <w:tcPr>
            <w:tcW w:type="dxa" w:w="1425"/>
          </w:tcPr>
          <w:p>
            <w:pPr>
              <w:spacing w:after="0" w:line="240" w:lineRule="auto"/>
              <w:ind w:firstLine="0"/>
              <w:jc w:val="center"/>
            </w:pPr>
            <w:r>
              <w:rPr>
                <w:b w:val="0"/>
                <w:i w:val="0"/>
                <w:sz w:val="20"/>
              </w:rPr>
              <w:t>3 850</w:t>
            </w:r>
          </w:p>
        </w:tc>
        <w:tc>
          <w:tcPr>
            <w:tcW w:type="dxa" w:w="1425"/>
          </w:tcPr>
          <w:p>
            <w:pPr>
              <w:spacing w:after="0" w:line="240" w:lineRule="auto"/>
              <w:ind w:firstLine="0"/>
              <w:jc w:val="center"/>
            </w:pPr>
            <w:r>
              <w:rPr>
                <w:b w:val="0"/>
                <w:i w:val="0"/>
                <w:sz w:val="20"/>
              </w:rPr>
              <w:t>7 950</w:t>
            </w:r>
          </w:p>
        </w:tc>
        <w:tc>
          <w:tcPr>
            <w:tcW w:type="dxa" w:w="1425"/>
          </w:tcPr>
          <w:p>
            <w:pPr>
              <w:spacing w:after="0" w:line="240" w:lineRule="auto"/>
              <w:ind w:firstLine="0"/>
              <w:jc w:val="center"/>
            </w:pPr>
            <w:r>
              <w:rPr>
                <w:b w:val="0"/>
                <w:i w:val="0"/>
                <w:sz w:val="20"/>
              </w:rPr>
              <w:t>21 100</w:t>
            </w:r>
          </w:p>
        </w:tc>
        <w:tc>
          <w:tcPr>
            <w:tcW w:type="dxa" w:w="1425"/>
          </w:tcPr>
          <w:p>
            <w:pPr>
              <w:spacing w:after="0" w:line="240" w:lineRule="auto"/>
              <w:ind w:firstLine="0"/>
              <w:jc w:val="center"/>
            </w:pPr>
            <w:r>
              <w:rPr>
                <w:b w:val="0"/>
                <w:i w:val="0"/>
                <w:sz w:val="20"/>
              </w:rPr>
              <w:t>29 000</w:t>
            </w:r>
          </w:p>
        </w:tc>
      </w:tr>
      <w:tr>
        <w:tc>
          <w:tcPr>
            <w:tcW w:type="dxa" w:w="1425"/>
          </w:tcPr>
          <w:p>
            <w:pPr>
              <w:spacing w:after="0" w:line="240" w:lineRule="auto"/>
              <w:ind w:firstLine="0"/>
              <w:jc w:val="left"/>
            </w:pPr>
            <w:r>
              <w:rPr>
                <w:b w:val="0"/>
                <w:i w:val="0"/>
                <w:sz w:val="20"/>
              </w:rPr>
              <w:t>в т. ч. NdPr, т</w:t>
            </w:r>
          </w:p>
        </w:tc>
        <w:tc>
          <w:tcPr>
            <w:tcW w:type="dxa" w:w="1425"/>
          </w:tcPr>
          <w:p>
            <w:pPr>
              <w:spacing w:after="0" w:line="240" w:lineRule="auto"/>
              <w:ind w:firstLine="0"/>
              <w:jc w:val="center"/>
            </w:pPr>
            <w:r>
              <w:rPr>
                <w:b w:val="0"/>
                <w:i w:val="0"/>
                <w:sz w:val="20"/>
              </w:rPr>
              <w:t>95</w:t>
            </w:r>
          </w:p>
        </w:tc>
        <w:tc>
          <w:tcPr>
            <w:tcW w:type="dxa" w:w="1425"/>
          </w:tcPr>
          <w:p>
            <w:pPr>
              <w:spacing w:after="0" w:line="240" w:lineRule="auto"/>
              <w:ind w:firstLine="0"/>
              <w:jc w:val="center"/>
            </w:pPr>
            <w:r>
              <w:rPr>
                <w:b w:val="0"/>
                <w:i w:val="0"/>
                <w:sz w:val="20"/>
              </w:rPr>
              <w:t>320</w:t>
            </w:r>
          </w:p>
        </w:tc>
        <w:tc>
          <w:tcPr>
            <w:tcW w:type="dxa" w:w="1425"/>
          </w:tcPr>
          <w:p>
            <w:pPr>
              <w:spacing w:after="0" w:line="240" w:lineRule="auto"/>
              <w:ind w:firstLine="0"/>
              <w:jc w:val="center"/>
            </w:pPr>
            <w:r>
              <w:rPr>
                <w:b w:val="0"/>
                <w:i w:val="0"/>
                <w:sz w:val="20"/>
              </w:rPr>
              <w:t>850</w:t>
            </w:r>
          </w:p>
        </w:tc>
        <w:tc>
          <w:tcPr>
            <w:tcW w:type="dxa" w:w="1425"/>
          </w:tcPr>
          <w:p>
            <w:pPr>
              <w:spacing w:after="0" w:line="240" w:lineRule="auto"/>
              <w:ind w:firstLine="0"/>
              <w:jc w:val="center"/>
            </w:pPr>
            <w:r>
              <w:rPr>
                <w:b w:val="0"/>
                <w:i w:val="0"/>
                <w:sz w:val="20"/>
              </w:rPr>
              <w:t>1 750</w:t>
            </w:r>
          </w:p>
        </w:tc>
        <w:tc>
          <w:tcPr>
            <w:tcW w:type="dxa" w:w="1425"/>
          </w:tcPr>
          <w:p>
            <w:pPr>
              <w:spacing w:after="0" w:line="240" w:lineRule="auto"/>
              <w:ind w:firstLine="0"/>
              <w:jc w:val="center"/>
            </w:pPr>
            <w:r>
              <w:rPr>
                <w:b w:val="0"/>
                <w:i w:val="0"/>
                <w:sz w:val="20"/>
              </w:rPr>
              <w:t>4 600</w:t>
            </w:r>
          </w:p>
        </w:tc>
        <w:tc>
          <w:tcPr>
            <w:tcW w:type="dxa" w:w="1425"/>
          </w:tcPr>
          <w:p>
            <w:pPr>
              <w:spacing w:after="0" w:line="240" w:lineRule="auto"/>
              <w:ind w:firstLine="0"/>
              <w:jc w:val="center"/>
            </w:pPr>
            <w:r>
              <w:rPr>
                <w:b w:val="0"/>
                <w:i w:val="0"/>
                <w:sz w:val="20"/>
              </w:rPr>
              <w:t>6 300</w:t>
            </w:r>
          </w:p>
        </w:tc>
      </w:tr>
      <w:tr>
        <w:tc>
          <w:tcPr>
            <w:tcW w:type="dxa" w:w="1425"/>
          </w:tcPr>
          <w:p>
            <w:pPr>
              <w:spacing w:after="0" w:line="240" w:lineRule="auto"/>
              <w:ind w:firstLine="0"/>
              <w:jc w:val="left"/>
            </w:pPr>
            <w:r>
              <w:rPr>
                <w:b w:val="0"/>
                <w:i w:val="0"/>
                <w:sz w:val="20"/>
              </w:rPr>
              <w:t>в т. ч. Dy + Tb, т</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25</w:t>
            </w:r>
          </w:p>
        </w:tc>
        <w:tc>
          <w:tcPr>
            <w:tcW w:type="dxa" w:w="1425"/>
          </w:tcPr>
          <w:p>
            <w:pPr>
              <w:spacing w:after="0" w:line="240" w:lineRule="auto"/>
              <w:ind w:firstLine="0"/>
              <w:jc w:val="center"/>
            </w:pPr>
            <w:r>
              <w:rPr>
                <w:b w:val="0"/>
                <w:i w:val="0"/>
                <w:sz w:val="20"/>
              </w:rPr>
              <w:t>90</w:t>
            </w:r>
          </w:p>
        </w:tc>
        <w:tc>
          <w:tcPr>
            <w:tcW w:type="dxa" w:w="1425"/>
          </w:tcPr>
          <w:p>
            <w:pPr>
              <w:spacing w:after="0" w:line="240" w:lineRule="auto"/>
              <w:ind w:firstLine="0"/>
              <w:jc w:val="center"/>
            </w:pPr>
            <w:r>
              <w:rPr>
                <w:b w:val="0"/>
                <w:i w:val="0"/>
                <w:sz w:val="20"/>
              </w:rPr>
              <w:t>320</w:t>
            </w:r>
          </w:p>
        </w:tc>
        <w:tc>
          <w:tcPr>
            <w:tcW w:type="dxa" w:w="1425"/>
          </w:tcPr>
          <w:p>
            <w:pPr>
              <w:spacing w:after="0" w:line="240" w:lineRule="auto"/>
              <w:ind w:firstLine="0"/>
              <w:jc w:val="center"/>
            </w:pPr>
            <w:r>
              <w:rPr>
                <w:b w:val="0"/>
                <w:i w:val="0"/>
                <w:sz w:val="20"/>
              </w:rPr>
              <w:t>480</w:t>
            </w:r>
          </w:p>
        </w:tc>
      </w:tr>
      <w:tr>
        <w:tc>
          <w:tcPr>
            <w:tcW w:type="dxa" w:w="1425"/>
          </w:tcPr>
          <w:p>
            <w:pPr>
              <w:spacing w:after="0" w:line="240" w:lineRule="auto"/>
              <w:ind w:firstLine="0"/>
              <w:jc w:val="left"/>
            </w:pPr>
            <w:r>
              <w:rPr>
                <w:b w:val="0"/>
                <w:i w:val="0"/>
                <w:sz w:val="20"/>
              </w:rPr>
              <w:t>Металлы и лигатуры, т</w:t>
            </w:r>
          </w:p>
        </w:tc>
        <w:tc>
          <w:tcPr>
            <w:tcW w:type="dxa" w:w="1425"/>
          </w:tcPr>
          <w:p>
            <w:pPr>
              <w:spacing w:after="0" w:line="240" w:lineRule="auto"/>
              <w:ind w:firstLine="0"/>
              <w:jc w:val="center"/>
            </w:pPr>
            <w:r>
              <w:rPr>
                <w:b w:val="0"/>
                <w:i w:val="0"/>
                <w:sz w:val="20"/>
              </w:rPr>
              <w:t>40</w:t>
            </w:r>
          </w:p>
        </w:tc>
        <w:tc>
          <w:tcPr>
            <w:tcW w:type="dxa" w:w="1425"/>
          </w:tcPr>
          <w:p>
            <w:pPr>
              <w:spacing w:after="0" w:line="240" w:lineRule="auto"/>
              <w:ind w:firstLine="0"/>
              <w:jc w:val="center"/>
            </w:pPr>
            <w:r>
              <w:rPr>
                <w:b w:val="0"/>
                <w:i w:val="0"/>
                <w:sz w:val="20"/>
              </w:rPr>
              <w:t>300</w:t>
            </w:r>
          </w:p>
        </w:tc>
        <w:tc>
          <w:tcPr>
            <w:tcW w:type="dxa" w:w="1425"/>
          </w:tcPr>
          <w:p>
            <w:pPr>
              <w:spacing w:after="0" w:line="240" w:lineRule="auto"/>
              <w:ind w:firstLine="0"/>
              <w:jc w:val="center"/>
            </w:pPr>
            <w:r>
              <w:rPr>
                <w:b w:val="0"/>
                <w:i w:val="0"/>
                <w:sz w:val="20"/>
              </w:rPr>
              <w:t>850</w:t>
            </w:r>
          </w:p>
        </w:tc>
        <w:tc>
          <w:tcPr>
            <w:tcW w:type="dxa" w:w="1425"/>
          </w:tcPr>
          <w:p>
            <w:pPr>
              <w:spacing w:after="0" w:line="240" w:lineRule="auto"/>
              <w:ind w:firstLine="0"/>
              <w:jc w:val="center"/>
            </w:pPr>
            <w:r>
              <w:rPr>
                <w:b w:val="0"/>
                <w:i w:val="0"/>
                <w:sz w:val="20"/>
              </w:rPr>
              <w:t>1 500</w:t>
            </w:r>
          </w:p>
        </w:tc>
        <w:tc>
          <w:tcPr>
            <w:tcW w:type="dxa" w:w="1425"/>
          </w:tcPr>
          <w:p>
            <w:pPr>
              <w:spacing w:after="0" w:line="240" w:lineRule="auto"/>
              <w:ind w:firstLine="0"/>
              <w:jc w:val="center"/>
            </w:pPr>
            <w:r>
              <w:rPr>
                <w:b w:val="0"/>
                <w:i w:val="0"/>
                <w:sz w:val="20"/>
              </w:rPr>
              <w:t>3 500</w:t>
            </w:r>
          </w:p>
        </w:tc>
        <w:tc>
          <w:tcPr>
            <w:tcW w:type="dxa" w:w="1425"/>
          </w:tcPr>
          <w:p>
            <w:pPr>
              <w:spacing w:after="0" w:line="240" w:lineRule="auto"/>
              <w:ind w:firstLine="0"/>
              <w:jc w:val="center"/>
            </w:pPr>
            <w:r>
              <w:rPr>
                <w:b w:val="0"/>
                <w:i w:val="0"/>
                <w:sz w:val="20"/>
              </w:rPr>
              <w:t>5 000</w:t>
            </w:r>
          </w:p>
        </w:tc>
      </w:tr>
      <w:tr>
        <w:tc>
          <w:tcPr>
            <w:tcW w:type="dxa" w:w="1425"/>
          </w:tcPr>
          <w:p>
            <w:pPr>
              <w:spacing w:after="0" w:line="240" w:lineRule="auto"/>
              <w:ind w:firstLine="0"/>
              <w:jc w:val="left"/>
            </w:pPr>
            <w:r>
              <w:rPr>
                <w:b w:val="0"/>
                <w:i w:val="0"/>
                <w:sz w:val="20"/>
              </w:rPr>
              <w:t>Сплав NdFeB, т</w:t>
            </w:r>
          </w:p>
        </w:tc>
        <w:tc>
          <w:tcPr>
            <w:tcW w:type="dxa" w:w="1425"/>
          </w:tcPr>
          <w:p>
            <w:pPr>
              <w:spacing w:after="0" w:line="240" w:lineRule="auto"/>
              <w:ind w:firstLine="0"/>
              <w:jc w:val="center"/>
            </w:pPr>
            <w:r>
              <w:rPr>
                <w:b w:val="0"/>
                <w:i w:val="0"/>
                <w:sz w:val="20"/>
              </w:rPr>
              <w:t>0</w:t>
            </w:r>
          </w:p>
        </w:tc>
        <w:tc>
          <w:tcPr>
            <w:tcW w:type="dxa" w:w="1425"/>
          </w:tcPr>
          <w:p>
            <w:pPr>
              <w:spacing w:after="0" w:line="240" w:lineRule="auto"/>
              <w:ind w:firstLine="0"/>
              <w:jc w:val="center"/>
            </w:pPr>
            <w:r>
              <w:rPr>
                <w:b w:val="0"/>
                <w:i w:val="0"/>
                <w:sz w:val="20"/>
              </w:rPr>
              <w:t>250</w:t>
            </w:r>
          </w:p>
        </w:tc>
        <w:tc>
          <w:tcPr>
            <w:tcW w:type="dxa" w:w="1425"/>
          </w:tcPr>
          <w:p>
            <w:pPr>
              <w:spacing w:after="0" w:line="240" w:lineRule="auto"/>
              <w:ind w:firstLine="0"/>
              <w:jc w:val="center"/>
            </w:pPr>
            <w:r>
              <w:rPr>
                <w:b w:val="0"/>
                <w:i w:val="0"/>
                <w:sz w:val="20"/>
              </w:rPr>
              <w:t>900</w:t>
            </w:r>
          </w:p>
        </w:tc>
        <w:tc>
          <w:tcPr>
            <w:tcW w:type="dxa" w:w="1425"/>
          </w:tcPr>
          <w:p>
            <w:pPr>
              <w:spacing w:after="0" w:line="240" w:lineRule="auto"/>
              <w:ind w:firstLine="0"/>
              <w:jc w:val="center"/>
            </w:pPr>
            <w:r>
              <w:rPr>
                <w:b w:val="0"/>
                <w:i w:val="0"/>
                <w:sz w:val="20"/>
              </w:rPr>
              <w:t>1 800</w:t>
            </w:r>
          </w:p>
        </w:tc>
        <w:tc>
          <w:tcPr>
            <w:tcW w:type="dxa" w:w="1425"/>
          </w:tcPr>
          <w:p>
            <w:pPr>
              <w:spacing w:after="0" w:line="240" w:lineRule="auto"/>
              <w:ind w:firstLine="0"/>
              <w:jc w:val="center"/>
            </w:pPr>
            <w:r>
              <w:rPr>
                <w:b w:val="0"/>
                <w:i w:val="0"/>
                <w:sz w:val="20"/>
              </w:rPr>
              <w:t>4 500</w:t>
            </w:r>
          </w:p>
        </w:tc>
        <w:tc>
          <w:tcPr>
            <w:tcW w:type="dxa" w:w="1425"/>
          </w:tcPr>
          <w:p>
            <w:pPr>
              <w:spacing w:after="0" w:line="240" w:lineRule="auto"/>
              <w:ind w:firstLine="0"/>
              <w:jc w:val="center"/>
            </w:pPr>
            <w:r>
              <w:rPr>
                <w:b w:val="0"/>
                <w:i w:val="0"/>
                <w:sz w:val="20"/>
              </w:rPr>
              <w:t>6 500</w:t>
            </w:r>
          </w:p>
        </w:tc>
      </w:tr>
      <w:tr>
        <w:tc>
          <w:tcPr>
            <w:tcW w:type="dxa" w:w="1425"/>
          </w:tcPr>
          <w:p>
            <w:pPr>
              <w:spacing w:after="0" w:line="240" w:lineRule="auto"/>
              <w:ind w:firstLine="0"/>
              <w:jc w:val="left"/>
            </w:pPr>
            <w:r>
              <w:rPr>
                <w:b w:val="0"/>
                <w:i w:val="0"/>
                <w:sz w:val="20"/>
              </w:rPr>
              <w:t>Магниты спечённые, т</w:t>
            </w:r>
          </w:p>
        </w:tc>
        <w:tc>
          <w:tcPr>
            <w:tcW w:type="dxa" w:w="1425"/>
          </w:tcPr>
          <w:p>
            <w:pPr>
              <w:spacing w:after="0" w:line="240" w:lineRule="auto"/>
              <w:ind w:firstLine="0"/>
              <w:jc w:val="center"/>
            </w:pPr>
            <w:r>
              <w:rPr>
                <w:b w:val="0"/>
                <w:i w:val="0"/>
                <w:sz w:val="20"/>
              </w:rPr>
              <w:t>60</w:t>
            </w:r>
          </w:p>
        </w:tc>
        <w:tc>
          <w:tcPr>
            <w:tcW w:type="dxa" w:w="1425"/>
          </w:tcPr>
          <w:p>
            <w:pPr>
              <w:spacing w:after="0" w:line="240" w:lineRule="auto"/>
              <w:ind w:firstLine="0"/>
              <w:jc w:val="center"/>
            </w:pPr>
            <w:r>
              <w:rPr>
                <w:b w:val="0"/>
                <w:i w:val="0"/>
                <w:sz w:val="20"/>
              </w:rPr>
              <w:t>600</w:t>
            </w:r>
          </w:p>
        </w:tc>
        <w:tc>
          <w:tcPr>
            <w:tcW w:type="dxa" w:w="1425"/>
          </w:tcPr>
          <w:p>
            <w:pPr>
              <w:spacing w:after="0" w:line="240" w:lineRule="auto"/>
              <w:ind w:firstLine="0"/>
              <w:jc w:val="center"/>
            </w:pPr>
            <w:r>
              <w:rPr>
                <w:b w:val="0"/>
                <w:i w:val="0"/>
                <w:sz w:val="20"/>
              </w:rPr>
              <w:t>1 500</w:t>
            </w:r>
          </w:p>
        </w:tc>
        <w:tc>
          <w:tcPr>
            <w:tcW w:type="dxa" w:w="1425"/>
          </w:tcPr>
          <w:p>
            <w:pPr>
              <w:spacing w:after="0" w:line="240" w:lineRule="auto"/>
              <w:ind w:firstLine="0"/>
              <w:jc w:val="center"/>
            </w:pPr>
            <w:r>
              <w:rPr>
                <w:b w:val="0"/>
                <w:i w:val="0"/>
                <w:sz w:val="20"/>
              </w:rPr>
              <w:t>3 000</w:t>
            </w:r>
          </w:p>
        </w:tc>
        <w:tc>
          <w:tcPr>
            <w:tcW w:type="dxa" w:w="1425"/>
          </w:tcPr>
          <w:p>
            <w:pPr>
              <w:spacing w:after="0" w:line="240" w:lineRule="auto"/>
              <w:ind w:firstLine="0"/>
              <w:jc w:val="center"/>
            </w:pPr>
            <w:r>
              <w:rPr>
                <w:b w:val="0"/>
                <w:i w:val="0"/>
                <w:sz w:val="20"/>
              </w:rPr>
              <w:t>6 500</w:t>
            </w:r>
          </w:p>
        </w:tc>
        <w:tc>
          <w:tcPr>
            <w:tcW w:type="dxa" w:w="1425"/>
          </w:tcPr>
          <w:p>
            <w:pPr>
              <w:spacing w:after="0" w:line="240" w:lineRule="auto"/>
              <w:ind w:firstLine="0"/>
              <w:jc w:val="center"/>
            </w:pPr>
            <w:r>
              <w:rPr>
                <w:b w:val="0"/>
                <w:i w:val="0"/>
                <w:sz w:val="20"/>
              </w:rPr>
              <w:t>9 000</w:t>
            </w:r>
          </w:p>
        </w:tc>
      </w:tr>
    </w:tbl>
    <w:p>
      <w:pPr>
        <w:spacing w:after="180"/>
        <w:ind w:firstLine="0"/>
      </w:pPr>
      <w:r>
        <w:rPr>
          <w:i/>
          <w:sz w:val="20"/>
        </w:rPr>
        <w:t>Источник: прогноз аналитического центра</w:t>
      </w:r>
    </w:p>
    <w:p>
      <w:pPr>
        <w:keepNext/>
        <w:spacing w:before="160" w:after="60"/>
        <w:ind w:firstLine="0"/>
        <w:jc w:val="left"/>
      </w:pPr>
      <w:r>
        <w:rPr>
          <w:b/>
          <w:sz w:val="22"/>
        </w:rPr>
        <w:t>Рисунок 83. Прогноз производства продукции высоких переделов в РФ, 2025–2035 гг., т</w:t>
      </w:r>
    </w:p>
    <w:p>
      <w:pPr>
        <w:ind w:firstLine="0"/>
        <w:jc w:val="center"/>
      </w:pPr>
      <w:r>
        <w:drawing>
          <wp:inline xmlns:a="http://schemas.openxmlformats.org/drawingml/2006/main" xmlns:pic="http://schemas.openxmlformats.org/drawingml/2006/picture">
            <wp:extent cx="5580000" cy="2725304"/>
            <wp:docPr id="83" name="Picture 83"/>
            <wp:cNvGraphicFramePr>
              <a:graphicFrameLocks noChangeAspect="1"/>
            </wp:cNvGraphicFramePr>
            <a:graphic>
              <a:graphicData uri="http://schemas.openxmlformats.org/drawingml/2006/picture">
                <pic:pic>
                  <pic:nvPicPr>
                    <pic:cNvPr id="0" name="fig83.png"/>
                    <pic:cNvPicPr/>
                  </pic:nvPicPr>
                  <pic:blipFill>
                    <a:blip r:embed="rId93"/>
                    <a:stretch>
                      <a:fillRect/>
                    </a:stretch>
                  </pic:blipFill>
                  <pic:spPr>
                    <a:xfrm>
                      <a:off x="0" y="0"/>
                      <a:ext cx="5580000" cy="2725304"/>
                    </a:xfrm>
                    <a:prstGeom prst="rect"/>
                  </pic:spPr>
                </pic:pic>
              </a:graphicData>
            </a:graphic>
          </wp:inline>
        </w:drawing>
      </w:r>
    </w:p>
    <w:p>
      <w:pPr>
        <w:spacing w:after="180"/>
        <w:ind w:firstLine="0"/>
      </w:pPr>
      <w:r>
        <w:rPr>
          <w:i/>
          <w:sz w:val="20"/>
        </w:rPr>
        <w:t>Источник: прогноз аналитического центра (табл. 115)</w:t>
      </w:r>
    </w:p>
    <w:p>
      <w:r>
        <w:rPr>
          <w:b/>
          <w:i w:val="0"/>
        </w:rPr>
        <w:t>Магнитное направление.</w:t>
      </w:r>
      <w:r>
        <w:rPr>
          <w:b w:val="0"/>
          <w:i w:val="0"/>
        </w:rPr>
        <w:t xml:space="preserve"> Прогноз производства магнитов (3 тыс. т к 2030 г., 9 тыс. т к 2035 г.) исходит из реализации проектов «Элемаш Магнит» и ЧМЗ с последующим расширением. Ключевое допущение — освоение технологии зернограничной диффузии к 2029 г. Без него производство ограничивается 1,0–1,5 тыс. т магнитов низких и средних классов, для которых не требуется диспрозий.</w:t>
      </w:r>
    </w:p>
    <w:p>
      <w:r>
        <w:rPr>
          <w:b w:val="0"/>
          <w:i w:val="0"/>
        </w:rPr>
        <w:t>При достижении 9 тыс. т магнитов Россия обеспечит около 3,5% мирового производства (без учёта КНР — около 45% не-китайского производства), что представляет собой значимый результат в мировом масштабе. Одновременно этот объём кратно превышает внутренний спрос (см. раздел 14.5), что вновь возвращает к вопросу об экспортных рынках.</w:t>
      </w:r>
    </w:p>
    <w:p>
      <w:pPr>
        <w:pStyle w:val="Heading2"/>
      </w:pPr>
      <w:r>
        <w:rPr>
          <w:b w:val="0"/>
          <w:i w:val="0"/>
        </w:rPr>
        <w:t>16.4. Прогноз баланса по критическим элементам</w:t>
      </w:r>
    </w:p>
    <w:p>
      <w:pPr>
        <w:keepNext/>
        <w:spacing w:before="160" w:after="60"/>
        <w:ind w:firstLine="0"/>
        <w:jc w:val="left"/>
      </w:pPr>
      <w:r>
        <w:rPr>
          <w:b/>
          <w:sz w:val="22"/>
        </w:rPr>
        <w:t>Таблица 116. Прогнозный баланс РФ по критическим редкоземельным элементам, т оксида (базовый сценарий)</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Показатель</w:t>
            </w:r>
          </w:p>
        </w:tc>
        <w:tc>
          <w:tcPr>
            <w:tcW w:type="dxa" w:w="1662"/>
            <w:shd w:val="clear" w:fill="DCE6F1"/>
          </w:tcPr>
          <w:p>
            <w:pPr>
              <w:spacing w:after="0" w:line="240" w:lineRule="auto"/>
              <w:ind w:firstLine="0"/>
              <w:jc w:val="center"/>
            </w:pPr>
            <w:r>
              <w:rPr>
                <w:b/>
                <w:i w:val="0"/>
                <w:sz w:val="20"/>
              </w:rPr>
              <w:t>2025</w:t>
            </w:r>
          </w:p>
        </w:tc>
        <w:tc>
          <w:tcPr>
            <w:tcW w:type="dxa" w:w="1662"/>
            <w:shd w:val="clear" w:fill="DCE6F1"/>
          </w:tcPr>
          <w:p>
            <w:pPr>
              <w:spacing w:after="0" w:line="240" w:lineRule="auto"/>
              <w:ind w:firstLine="0"/>
              <w:jc w:val="center"/>
            </w:pPr>
            <w:r>
              <w:rPr>
                <w:b/>
                <w:i w:val="0"/>
                <w:sz w:val="20"/>
              </w:rPr>
              <w:t>2027</w:t>
            </w:r>
          </w:p>
        </w:tc>
        <w:tc>
          <w:tcPr>
            <w:tcW w:type="dxa" w:w="1662"/>
            <w:shd w:val="clear" w:fill="DCE6F1"/>
          </w:tcPr>
          <w:p>
            <w:pPr>
              <w:spacing w:after="0" w:line="240" w:lineRule="auto"/>
              <w:ind w:firstLine="0"/>
              <w:jc w:val="center"/>
            </w:pPr>
            <w:r>
              <w:rPr>
                <w:b/>
                <w:i w:val="0"/>
                <w:sz w:val="20"/>
              </w:rPr>
              <w:t>2030</w:t>
            </w:r>
          </w:p>
        </w:tc>
        <w:tc>
          <w:tcPr>
            <w:tcW w:type="dxa" w:w="1662"/>
            <w:shd w:val="clear" w:fill="DCE6F1"/>
          </w:tcPr>
          <w:p>
            <w:pPr>
              <w:spacing w:after="0" w:line="240" w:lineRule="auto"/>
              <w:ind w:firstLine="0"/>
              <w:jc w:val="center"/>
            </w:pPr>
            <w:r>
              <w:rPr>
                <w:b/>
                <w:i w:val="0"/>
                <w:sz w:val="20"/>
              </w:rPr>
              <w:t>2033</w:t>
            </w:r>
          </w:p>
        </w:tc>
        <w:tc>
          <w:tcPr>
            <w:tcW w:type="dxa" w:w="1662"/>
            <w:shd w:val="clear" w:fill="DCE6F1"/>
          </w:tcPr>
          <w:p>
            <w:pPr>
              <w:spacing w:after="0" w:line="240" w:lineRule="auto"/>
              <w:ind w:firstLine="0"/>
              <w:jc w:val="center"/>
            </w:pPr>
            <w:r>
              <w:rPr>
                <w:b/>
                <w:i w:val="0"/>
                <w:sz w:val="20"/>
              </w:rPr>
              <w:t>2035</w:t>
            </w:r>
          </w:p>
        </w:tc>
      </w:tr>
      <w:tr>
        <w:tc>
          <w:tcPr>
            <w:tcW w:type="dxa" w:w="1662"/>
          </w:tcPr>
          <w:p>
            <w:pPr>
              <w:spacing w:after="0" w:line="240" w:lineRule="auto"/>
              <w:ind w:firstLine="0"/>
              <w:jc w:val="left"/>
            </w:pPr>
            <w:r>
              <w:rPr>
                <w:b w:val="0"/>
                <w:i w:val="0"/>
                <w:sz w:val="20"/>
              </w:rPr>
              <w:t>NdPr: производство</w:t>
            </w:r>
          </w:p>
        </w:tc>
        <w:tc>
          <w:tcPr>
            <w:tcW w:type="dxa" w:w="1662"/>
          </w:tcPr>
          <w:p>
            <w:pPr>
              <w:spacing w:after="0" w:line="240" w:lineRule="auto"/>
              <w:ind w:firstLine="0"/>
              <w:jc w:val="center"/>
            </w:pPr>
            <w:r>
              <w:rPr>
                <w:b w:val="0"/>
                <w:i w:val="0"/>
                <w:sz w:val="20"/>
              </w:rPr>
              <w:t>95</w:t>
            </w:r>
          </w:p>
        </w:tc>
        <w:tc>
          <w:tcPr>
            <w:tcW w:type="dxa" w:w="1662"/>
          </w:tcPr>
          <w:p>
            <w:pPr>
              <w:spacing w:after="0" w:line="240" w:lineRule="auto"/>
              <w:ind w:firstLine="0"/>
              <w:jc w:val="center"/>
            </w:pPr>
            <w:r>
              <w:rPr>
                <w:b w:val="0"/>
                <w:i w:val="0"/>
                <w:sz w:val="20"/>
              </w:rPr>
              <w:t>320</w:t>
            </w:r>
          </w:p>
        </w:tc>
        <w:tc>
          <w:tcPr>
            <w:tcW w:type="dxa" w:w="1662"/>
          </w:tcPr>
          <w:p>
            <w:pPr>
              <w:spacing w:after="0" w:line="240" w:lineRule="auto"/>
              <w:ind w:firstLine="0"/>
              <w:jc w:val="center"/>
            </w:pPr>
            <w:r>
              <w:rPr>
                <w:b w:val="0"/>
                <w:i w:val="0"/>
                <w:sz w:val="20"/>
              </w:rPr>
              <w:t>1 750</w:t>
            </w:r>
          </w:p>
        </w:tc>
        <w:tc>
          <w:tcPr>
            <w:tcW w:type="dxa" w:w="1662"/>
          </w:tcPr>
          <w:p>
            <w:pPr>
              <w:spacing w:after="0" w:line="240" w:lineRule="auto"/>
              <w:ind w:firstLine="0"/>
              <w:jc w:val="center"/>
            </w:pPr>
            <w:r>
              <w:rPr>
                <w:b w:val="0"/>
                <w:i w:val="0"/>
                <w:sz w:val="20"/>
              </w:rPr>
              <w:t>4 600</w:t>
            </w:r>
          </w:p>
        </w:tc>
        <w:tc>
          <w:tcPr>
            <w:tcW w:type="dxa" w:w="1662"/>
          </w:tcPr>
          <w:p>
            <w:pPr>
              <w:spacing w:after="0" w:line="240" w:lineRule="auto"/>
              <w:ind w:firstLine="0"/>
              <w:jc w:val="center"/>
            </w:pPr>
            <w:r>
              <w:rPr>
                <w:b w:val="0"/>
                <w:i w:val="0"/>
                <w:sz w:val="20"/>
              </w:rPr>
              <w:t>6 300</w:t>
            </w:r>
          </w:p>
        </w:tc>
      </w:tr>
      <w:tr>
        <w:tc>
          <w:tcPr>
            <w:tcW w:type="dxa" w:w="1662"/>
          </w:tcPr>
          <w:p>
            <w:pPr>
              <w:spacing w:after="0" w:line="240" w:lineRule="auto"/>
              <w:ind w:firstLine="0"/>
              <w:jc w:val="left"/>
            </w:pPr>
            <w:r>
              <w:rPr>
                <w:b w:val="0"/>
                <w:i w:val="0"/>
                <w:sz w:val="20"/>
              </w:rPr>
              <w:t>NdPr: потребление</w:t>
            </w:r>
          </w:p>
        </w:tc>
        <w:tc>
          <w:tcPr>
            <w:tcW w:type="dxa" w:w="1662"/>
          </w:tcPr>
          <w:p>
            <w:pPr>
              <w:spacing w:after="0" w:line="240" w:lineRule="auto"/>
              <w:ind w:firstLine="0"/>
              <w:jc w:val="center"/>
            </w:pPr>
            <w:r>
              <w:rPr>
                <w:b w:val="0"/>
                <w:i w:val="0"/>
                <w:sz w:val="20"/>
              </w:rPr>
              <w:t>275</w:t>
            </w:r>
          </w:p>
        </w:tc>
        <w:tc>
          <w:tcPr>
            <w:tcW w:type="dxa" w:w="1662"/>
          </w:tcPr>
          <w:p>
            <w:pPr>
              <w:spacing w:after="0" w:line="240" w:lineRule="auto"/>
              <w:ind w:firstLine="0"/>
              <w:jc w:val="center"/>
            </w:pPr>
            <w:r>
              <w:rPr>
                <w:b w:val="0"/>
                <w:i w:val="0"/>
                <w:sz w:val="20"/>
              </w:rPr>
              <w:t>620</w:t>
            </w:r>
          </w:p>
        </w:tc>
        <w:tc>
          <w:tcPr>
            <w:tcW w:type="dxa" w:w="1662"/>
          </w:tcPr>
          <w:p>
            <w:pPr>
              <w:spacing w:after="0" w:line="240" w:lineRule="auto"/>
              <w:ind w:firstLine="0"/>
              <w:jc w:val="center"/>
            </w:pPr>
            <w:r>
              <w:rPr>
                <w:b w:val="0"/>
                <w:i w:val="0"/>
                <w:sz w:val="20"/>
              </w:rPr>
              <w:t>1 250</w:t>
            </w:r>
          </w:p>
        </w:tc>
        <w:tc>
          <w:tcPr>
            <w:tcW w:type="dxa" w:w="1662"/>
          </w:tcPr>
          <w:p>
            <w:pPr>
              <w:spacing w:after="0" w:line="240" w:lineRule="auto"/>
              <w:ind w:firstLine="0"/>
              <w:jc w:val="center"/>
            </w:pPr>
            <w:r>
              <w:rPr>
                <w:b w:val="0"/>
                <w:i w:val="0"/>
                <w:sz w:val="20"/>
              </w:rPr>
              <w:t>2 200</w:t>
            </w:r>
          </w:p>
        </w:tc>
        <w:tc>
          <w:tcPr>
            <w:tcW w:type="dxa" w:w="1662"/>
          </w:tcPr>
          <w:p>
            <w:pPr>
              <w:spacing w:after="0" w:line="240" w:lineRule="auto"/>
              <w:ind w:firstLine="0"/>
              <w:jc w:val="center"/>
            </w:pPr>
            <w:r>
              <w:rPr>
                <w:b w:val="0"/>
                <w:i w:val="0"/>
                <w:sz w:val="20"/>
              </w:rPr>
              <w:t>2 700</w:t>
            </w:r>
          </w:p>
        </w:tc>
      </w:tr>
      <w:tr>
        <w:tc>
          <w:tcPr>
            <w:tcW w:type="dxa" w:w="1662"/>
          </w:tcPr>
          <w:p>
            <w:pPr>
              <w:spacing w:after="0" w:line="240" w:lineRule="auto"/>
              <w:ind w:firstLine="0"/>
              <w:jc w:val="left"/>
            </w:pPr>
            <w:r>
              <w:rPr>
                <w:b w:val="0"/>
                <w:i w:val="0"/>
                <w:sz w:val="20"/>
              </w:rPr>
              <w:t>NdPr: баланс</w:t>
            </w:r>
          </w:p>
        </w:tc>
        <w:tc>
          <w:tcPr>
            <w:tcW w:type="dxa" w:w="1662"/>
          </w:tcPr>
          <w:p>
            <w:pPr>
              <w:spacing w:after="0" w:line="240" w:lineRule="auto"/>
              <w:ind w:firstLine="0"/>
              <w:jc w:val="center"/>
            </w:pPr>
            <w:r>
              <w:rPr>
                <w:b w:val="0"/>
                <w:i w:val="0"/>
                <w:sz w:val="20"/>
              </w:rPr>
              <w:t>−180</w:t>
            </w:r>
          </w:p>
        </w:tc>
        <w:tc>
          <w:tcPr>
            <w:tcW w:type="dxa" w:w="1662"/>
          </w:tcPr>
          <w:p>
            <w:pPr>
              <w:spacing w:after="0" w:line="240" w:lineRule="auto"/>
              <w:ind w:firstLine="0"/>
              <w:jc w:val="center"/>
            </w:pPr>
            <w:r>
              <w:rPr>
                <w:b w:val="0"/>
                <w:i w:val="0"/>
                <w:sz w:val="20"/>
              </w:rPr>
              <w:t>−300</w:t>
            </w:r>
          </w:p>
        </w:tc>
        <w:tc>
          <w:tcPr>
            <w:tcW w:type="dxa" w:w="1662"/>
          </w:tcPr>
          <w:p>
            <w:pPr>
              <w:spacing w:after="0" w:line="240" w:lineRule="auto"/>
              <w:ind w:firstLine="0"/>
              <w:jc w:val="center"/>
            </w:pPr>
            <w:r>
              <w:rPr>
                <w:b w:val="0"/>
                <w:i w:val="0"/>
                <w:sz w:val="20"/>
              </w:rPr>
              <w:t>+500</w:t>
            </w:r>
          </w:p>
        </w:tc>
        <w:tc>
          <w:tcPr>
            <w:tcW w:type="dxa" w:w="1662"/>
          </w:tcPr>
          <w:p>
            <w:pPr>
              <w:spacing w:after="0" w:line="240" w:lineRule="auto"/>
              <w:ind w:firstLine="0"/>
              <w:jc w:val="center"/>
            </w:pPr>
            <w:r>
              <w:rPr>
                <w:b w:val="0"/>
                <w:i w:val="0"/>
                <w:sz w:val="20"/>
              </w:rPr>
              <w:t>+2 400</w:t>
            </w:r>
          </w:p>
        </w:tc>
        <w:tc>
          <w:tcPr>
            <w:tcW w:type="dxa" w:w="1662"/>
          </w:tcPr>
          <w:p>
            <w:pPr>
              <w:spacing w:after="0" w:line="240" w:lineRule="auto"/>
              <w:ind w:firstLine="0"/>
              <w:jc w:val="center"/>
            </w:pPr>
            <w:r>
              <w:rPr>
                <w:b w:val="0"/>
                <w:i w:val="0"/>
                <w:sz w:val="20"/>
              </w:rPr>
              <w:t>+3 600</w:t>
            </w:r>
          </w:p>
        </w:tc>
      </w:tr>
      <w:tr>
        <w:tc>
          <w:tcPr>
            <w:tcW w:type="dxa" w:w="1662"/>
          </w:tcPr>
          <w:p>
            <w:pPr>
              <w:spacing w:after="0" w:line="240" w:lineRule="auto"/>
              <w:ind w:firstLine="0"/>
              <w:jc w:val="left"/>
            </w:pPr>
            <w:r>
              <w:rPr>
                <w:b w:val="0"/>
                <w:i w:val="0"/>
                <w:sz w:val="20"/>
              </w:rPr>
              <w:t>Dy: производство</w:t>
            </w:r>
          </w:p>
        </w:tc>
        <w:tc>
          <w:tcPr>
            <w:tcW w:type="dxa" w:w="1662"/>
          </w:tcPr>
          <w:p>
            <w:pPr>
              <w:spacing w:after="0" w:line="240" w:lineRule="auto"/>
              <w:ind w:firstLine="0"/>
              <w:jc w:val="center"/>
            </w:pPr>
            <w:r>
              <w:rPr>
                <w:b w:val="0"/>
                <w:i w:val="0"/>
                <w:sz w:val="20"/>
              </w:rPr>
              <w:t>0</w:t>
            </w:r>
          </w:p>
        </w:tc>
        <w:tc>
          <w:tcPr>
            <w:tcW w:type="dxa" w:w="1662"/>
          </w:tcPr>
          <w:p>
            <w:pPr>
              <w:spacing w:after="0" w:line="240" w:lineRule="auto"/>
              <w:ind w:firstLine="0"/>
              <w:jc w:val="center"/>
            </w:pPr>
            <w:r>
              <w:rPr>
                <w:b w:val="0"/>
                <w:i w:val="0"/>
                <w:sz w:val="20"/>
              </w:rPr>
              <w:t>0</w:t>
            </w:r>
          </w:p>
        </w:tc>
        <w:tc>
          <w:tcPr>
            <w:tcW w:type="dxa" w:w="1662"/>
          </w:tcPr>
          <w:p>
            <w:pPr>
              <w:spacing w:after="0" w:line="240" w:lineRule="auto"/>
              <w:ind w:firstLine="0"/>
              <w:jc w:val="center"/>
            </w:pPr>
            <w:r>
              <w:rPr>
                <w:b w:val="0"/>
                <w:i w:val="0"/>
                <w:sz w:val="20"/>
              </w:rPr>
              <w:t>68</w:t>
            </w:r>
          </w:p>
        </w:tc>
        <w:tc>
          <w:tcPr>
            <w:tcW w:type="dxa" w:w="1662"/>
          </w:tcPr>
          <w:p>
            <w:pPr>
              <w:spacing w:after="0" w:line="240" w:lineRule="auto"/>
              <w:ind w:firstLine="0"/>
              <w:jc w:val="center"/>
            </w:pPr>
            <w:r>
              <w:rPr>
                <w:b w:val="0"/>
                <w:i w:val="0"/>
                <w:sz w:val="20"/>
              </w:rPr>
              <w:t>240</w:t>
            </w:r>
          </w:p>
        </w:tc>
        <w:tc>
          <w:tcPr>
            <w:tcW w:type="dxa" w:w="1662"/>
          </w:tcPr>
          <w:p>
            <w:pPr>
              <w:spacing w:after="0" w:line="240" w:lineRule="auto"/>
              <w:ind w:firstLine="0"/>
              <w:jc w:val="center"/>
            </w:pPr>
            <w:r>
              <w:rPr>
                <w:b w:val="0"/>
                <w:i w:val="0"/>
                <w:sz w:val="20"/>
              </w:rPr>
              <w:t>360</w:t>
            </w:r>
          </w:p>
        </w:tc>
      </w:tr>
      <w:tr>
        <w:tc>
          <w:tcPr>
            <w:tcW w:type="dxa" w:w="1662"/>
          </w:tcPr>
          <w:p>
            <w:pPr>
              <w:spacing w:after="0" w:line="240" w:lineRule="auto"/>
              <w:ind w:firstLine="0"/>
              <w:jc w:val="left"/>
            </w:pPr>
            <w:r>
              <w:rPr>
                <w:b w:val="0"/>
                <w:i w:val="0"/>
                <w:sz w:val="20"/>
              </w:rPr>
              <w:t>Dy: потребление</w:t>
            </w:r>
          </w:p>
        </w:tc>
        <w:tc>
          <w:tcPr>
            <w:tcW w:type="dxa" w:w="1662"/>
          </w:tcPr>
          <w:p>
            <w:pPr>
              <w:spacing w:after="0" w:line="240" w:lineRule="auto"/>
              <w:ind w:firstLine="0"/>
              <w:jc w:val="center"/>
            </w:pPr>
            <w:r>
              <w:rPr>
                <w:b w:val="0"/>
                <w:i w:val="0"/>
                <w:sz w:val="20"/>
              </w:rPr>
              <w:t>32</w:t>
            </w:r>
          </w:p>
        </w:tc>
        <w:tc>
          <w:tcPr>
            <w:tcW w:type="dxa" w:w="1662"/>
          </w:tcPr>
          <w:p>
            <w:pPr>
              <w:spacing w:after="0" w:line="240" w:lineRule="auto"/>
              <w:ind w:firstLine="0"/>
              <w:jc w:val="center"/>
            </w:pPr>
            <w:r>
              <w:rPr>
                <w:b w:val="0"/>
                <w:i w:val="0"/>
                <w:sz w:val="20"/>
              </w:rPr>
              <w:t>60</w:t>
            </w:r>
          </w:p>
        </w:tc>
        <w:tc>
          <w:tcPr>
            <w:tcW w:type="dxa" w:w="1662"/>
          </w:tcPr>
          <w:p>
            <w:pPr>
              <w:spacing w:after="0" w:line="240" w:lineRule="auto"/>
              <w:ind w:firstLine="0"/>
              <w:jc w:val="center"/>
            </w:pPr>
            <w:r>
              <w:rPr>
                <w:b w:val="0"/>
                <w:i w:val="0"/>
                <w:sz w:val="20"/>
              </w:rPr>
              <w:t>120</w:t>
            </w:r>
          </w:p>
        </w:tc>
        <w:tc>
          <w:tcPr>
            <w:tcW w:type="dxa" w:w="1662"/>
          </w:tcPr>
          <w:p>
            <w:pPr>
              <w:spacing w:after="0" w:line="240" w:lineRule="auto"/>
              <w:ind w:firstLine="0"/>
              <w:jc w:val="center"/>
            </w:pPr>
            <w:r>
              <w:rPr>
                <w:b w:val="0"/>
                <w:i w:val="0"/>
                <w:sz w:val="20"/>
              </w:rPr>
              <w:t>240</w:t>
            </w:r>
          </w:p>
        </w:tc>
        <w:tc>
          <w:tcPr>
            <w:tcW w:type="dxa" w:w="1662"/>
          </w:tcPr>
          <w:p>
            <w:pPr>
              <w:spacing w:after="0" w:line="240" w:lineRule="auto"/>
              <w:ind w:firstLine="0"/>
              <w:jc w:val="center"/>
            </w:pPr>
            <w:r>
              <w:rPr>
                <w:b w:val="0"/>
                <w:i w:val="0"/>
                <w:sz w:val="20"/>
              </w:rPr>
              <w:t>320</w:t>
            </w:r>
          </w:p>
        </w:tc>
      </w:tr>
      <w:tr>
        <w:tc>
          <w:tcPr>
            <w:tcW w:type="dxa" w:w="1662"/>
          </w:tcPr>
          <w:p>
            <w:pPr>
              <w:spacing w:after="0" w:line="240" w:lineRule="auto"/>
              <w:ind w:firstLine="0"/>
              <w:jc w:val="left"/>
            </w:pPr>
            <w:r>
              <w:rPr>
                <w:b w:val="0"/>
                <w:i w:val="0"/>
                <w:sz w:val="20"/>
              </w:rPr>
              <w:t>Dy: баланс</w:t>
            </w:r>
          </w:p>
        </w:tc>
        <w:tc>
          <w:tcPr>
            <w:tcW w:type="dxa" w:w="1662"/>
          </w:tcPr>
          <w:p>
            <w:pPr>
              <w:spacing w:after="0" w:line="240" w:lineRule="auto"/>
              <w:ind w:firstLine="0"/>
              <w:jc w:val="center"/>
            </w:pPr>
            <w:r>
              <w:rPr>
                <w:b w:val="0"/>
                <w:i w:val="0"/>
                <w:sz w:val="20"/>
              </w:rPr>
              <w:t>−32</w:t>
            </w:r>
          </w:p>
        </w:tc>
        <w:tc>
          <w:tcPr>
            <w:tcW w:type="dxa" w:w="1662"/>
          </w:tcPr>
          <w:p>
            <w:pPr>
              <w:spacing w:after="0" w:line="240" w:lineRule="auto"/>
              <w:ind w:firstLine="0"/>
              <w:jc w:val="center"/>
            </w:pPr>
            <w:r>
              <w:rPr>
                <w:b w:val="0"/>
                <w:i w:val="0"/>
                <w:sz w:val="20"/>
              </w:rPr>
              <w:t>−60</w:t>
            </w:r>
          </w:p>
        </w:tc>
        <w:tc>
          <w:tcPr>
            <w:tcW w:type="dxa" w:w="1662"/>
          </w:tcPr>
          <w:p>
            <w:pPr>
              <w:spacing w:after="0" w:line="240" w:lineRule="auto"/>
              <w:ind w:firstLine="0"/>
              <w:jc w:val="center"/>
            </w:pPr>
            <w:r>
              <w:rPr>
                <w:b w:val="0"/>
                <w:i w:val="0"/>
                <w:sz w:val="20"/>
              </w:rPr>
              <w:t>−52</w:t>
            </w:r>
          </w:p>
        </w:tc>
        <w:tc>
          <w:tcPr>
            <w:tcW w:type="dxa" w:w="1662"/>
          </w:tcPr>
          <w:p>
            <w:pPr>
              <w:spacing w:after="0" w:line="240" w:lineRule="auto"/>
              <w:ind w:firstLine="0"/>
              <w:jc w:val="center"/>
            </w:pPr>
            <w:r>
              <w:rPr>
                <w:b w:val="0"/>
                <w:i w:val="0"/>
                <w:sz w:val="20"/>
              </w:rPr>
              <w:t>0</w:t>
            </w:r>
          </w:p>
        </w:tc>
        <w:tc>
          <w:tcPr>
            <w:tcW w:type="dxa" w:w="1662"/>
          </w:tcPr>
          <w:p>
            <w:pPr>
              <w:spacing w:after="0" w:line="240" w:lineRule="auto"/>
              <w:ind w:firstLine="0"/>
              <w:jc w:val="center"/>
            </w:pPr>
            <w:r>
              <w:rPr>
                <w:b w:val="0"/>
                <w:i w:val="0"/>
                <w:sz w:val="20"/>
              </w:rPr>
              <w:t>+40</w:t>
            </w:r>
          </w:p>
        </w:tc>
      </w:tr>
      <w:tr>
        <w:tc>
          <w:tcPr>
            <w:tcW w:type="dxa" w:w="1662"/>
          </w:tcPr>
          <w:p>
            <w:pPr>
              <w:spacing w:after="0" w:line="240" w:lineRule="auto"/>
              <w:ind w:firstLine="0"/>
              <w:jc w:val="left"/>
            </w:pPr>
            <w:r>
              <w:rPr>
                <w:b w:val="0"/>
                <w:i w:val="0"/>
                <w:sz w:val="20"/>
              </w:rPr>
              <w:t>Tb: производство</w:t>
            </w:r>
          </w:p>
        </w:tc>
        <w:tc>
          <w:tcPr>
            <w:tcW w:type="dxa" w:w="1662"/>
          </w:tcPr>
          <w:p>
            <w:pPr>
              <w:spacing w:after="0" w:line="240" w:lineRule="auto"/>
              <w:ind w:firstLine="0"/>
              <w:jc w:val="center"/>
            </w:pPr>
            <w:r>
              <w:rPr>
                <w:b w:val="0"/>
                <w:i w:val="0"/>
                <w:sz w:val="20"/>
              </w:rPr>
              <w:t>0</w:t>
            </w:r>
          </w:p>
        </w:tc>
        <w:tc>
          <w:tcPr>
            <w:tcW w:type="dxa" w:w="1662"/>
          </w:tcPr>
          <w:p>
            <w:pPr>
              <w:spacing w:after="0" w:line="240" w:lineRule="auto"/>
              <w:ind w:firstLine="0"/>
              <w:jc w:val="center"/>
            </w:pPr>
            <w:r>
              <w:rPr>
                <w:b w:val="0"/>
                <w:i w:val="0"/>
                <w:sz w:val="20"/>
              </w:rPr>
              <w:t>0</w:t>
            </w:r>
          </w:p>
        </w:tc>
        <w:tc>
          <w:tcPr>
            <w:tcW w:type="dxa" w:w="1662"/>
          </w:tcPr>
          <w:p>
            <w:pPr>
              <w:spacing w:after="0" w:line="240" w:lineRule="auto"/>
              <w:ind w:firstLine="0"/>
              <w:jc w:val="center"/>
            </w:pPr>
            <w:r>
              <w:rPr>
                <w:b w:val="0"/>
                <w:i w:val="0"/>
                <w:sz w:val="20"/>
              </w:rPr>
              <w:t>22</w:t>
            </w:r>
          </w:p>
        </w:tc>
        <w:tc>
          <w:tcPr>
            <w:tcW w:type="dxa" w:w="1662"/>
          </w:tcPr>
          <w:p>
            <w:pPr>
              <w:spacing w:after="0" w:line="240" w:lineRule="auto"/>
              <w:ind w:firstLine="0"/>
              <w:jc w:val="center"/>
            </w:pPr>
            <w:r>
              <w:rPr>
                <w:b w:val="0"/>
                <w:i w:val="0"/>
                <w:sz w:val="20"/>
              </w:rPr>
              <w:t>80</w:t>
            </w:r>
          </w:p>
        </w:tc>
        <w:tc>
          <w:tcPr>
            <w:tcW w:type="dxa" w:w="1662"/>
          </w:tcPr>
          <w:p>
            <w:pPr>
              <w:spacing w:after="0" w:line="240" w:lineRule="auto"/>
              <w:ind w:firstLine="0"/>
              <w:jc w:val="center"/>
            </w:pPr>
            <w:r>
              <w:rPr>
                <w:b w:val="0"/>
                <w:i w:val="0"/>
                <w:sz w:val="20"/>
              </w:rPr>
              <w:t>120</w:t>
            </w:r>
          </w:p>
        </w:tc>
      </w:tr>
      <w:tr>
        <w:tc>
          <w:tcPr>
            <w:tcW w:type="dxa" w:w="1662"/>
          </w:tcPr>
          <w:p>
            <w:pPr>
              <w:spacing w:after="0" w:line="240" w:lineRule="auto"/>
              <w:ind w:firstLine="0"/>
              <w:jc w:val="left"/>
            </w:pPr>
            <w:r>
              <w:rPr>
                <w:b w:val="0"/>
                <w:i w:val="0"/>
                <w:sz w:val="20"/>
              </w:rPr>
              <w:t>Tb: потребление</w:t>
            </w:r>
          </w:p>
        </w:tc>
        <w:tc>
          <w:tcPr>
            <w:tcW w:type="dxa" w:w="1662"/>
          </w:tcPr>
          <w:p>
            <w:pPr>
              <w:spacing w:after="0" w:line="240" w:lineRule="auto"/>
              <w:ind w:firstLine="0"/>
              <w:jc w:val="center"/>
            </w:pPr>
            <w:r>
              <w:rPr>
                <w:b w:val="0"/>
                <w:i w:val="0"/>
                <w:sz w:val="20"/>
              </w:rPr>
              <w:t>8</w:t>
            </w:r>
          </w:p>
        </w:tc>
        <w:tc>
          <w:tcPr>
            <w:tcW w:type="dxa" w:w="1662"/>
          </w:tcPr>
          <w:p>
            <w:pPr>
              <w:spacing w:after="0" w:line="240" w:lineRule="auto"/>
              <w:ind w:firstLine="0"/>
              <w:jc w:val="center"/>
            </w:pPr>
            <w:r>
              <w:rPr>
                <w:b w:val="0"/>
                <w:i w:val="0"/>
                <w:sz w:val="20"/>
              </w:rPr>
              <w:t>18</w:t>
            </w:r>
          </w:p>
        </w:tc>
        <w:tc>
          <w:tcPr>
            <w:tcW w:type="dxa" w:w="1662"/>
          </w:tcPr>
          <w:p>
            <w:pPr>
              <w:spacing w:after="0" w:line="240" w:lineRule="auto"/>
              <w:ind w:firstLine="0"/>
              <w:jc w:val="center"/>
            </w:pPr>
            <w:r>
              <w:rPr>
                <w:b w:val="0"/>
                <w:i w:val="0"/>
                <w:sz w:val="20"/>
              </w:rPr>
              <w:t>42</w:t>
            </w:r>
          </w:p>
        </w:tc>
        <w:tc>
          <w:tcPr>
            <w:tcW w:type="dxa" w:w="1662"/>
          </w:tcPr>
          <w:p>
            <w:pPr>
              <w:spacing w:after="0" w:line="240" w:lineRule="auto"/>
              <w:ind w:firstLine="0"/>
              <w:jc w:val="center"/>
            </w:pPr>
            <w:r>
              <w:rPr>
                <w:b w:val="0"/>
                <w:i w:val="0"/>
                <w:sz w:val="20"/>
              </w:rPr>
              <w:t>85</w:t>
            </w:r>
          </w:p>
        </w:tc>
        <w:tc>
          <w:tcPr>
            <w:tcW w:type="dxa" w:w="1662"/>
          </w:tcPr>
          <w:p>
            <w:pPr>
              <w:spacing w:after="0" w:line="240" w:lineRule="auto"/>
              <w:ind w:firstLine="0"/>
              <w:jc w:val="center"/>
            </w:pPr>
            <w:r>
              <w:rPr>
                <w:b w:val="0"/>
                <w:i w:val="0"/>
                <w:sz w:val="20"/>
              </w:rPr>
              <w:t>115</w:t>
            </w:r>
          </w:p>
        </w:tc>
      </w:tr>
      <w:tr>
        <w:tc>
          <w:tcPr>
            <w:tcW w:type="dxa" w:w="1662"/>
          </w:tcPr>
          <w:p>
            <w:pPr>
              <w:spacing w:after="0" w:line="240" w:lineRule="auto"/>
              <w:ind w:firstLine="0"/>
              <w:jc w:val="left"/>
            </w:pPr>
            <w:r>
              <w:rPr>
                <w:b w:val="0"/>
                <w:i w:val="0"/>
                <w:sz w:val="20"/>
              </w:rPr>
              <w:t>Tb: баланс</w:t>
            </w:r>
          </w:p>
        </w:tc>
        <w:tc>
          <w:tcPr>
            <w:tcW w:type="dxa" w:w="1662"/>
          </w:tcPr>
          <w:p>
            <w:pPr>
              <w:spacing w:after="0" w:line="240" w:lineRule="auto"/>
              <w:ind w:firstLine="0"/>
              <w:jc w:val="center"/>
            </w:pPr>
            <w:r>
              <w:rPr>
                <w:b w:val="0"/>
                <w:i w:val="0"/>
                <w:sz w:val="20"/>
              </w:rPr>
              <w:t>−8</w:t>
            </w:r>
          </w:p>
        </w:tc>
        <w:tc>
          <w:tcPr>
            <w:tcW w:type="dxa" w:w="1662"/>
          </w:tcPr>
          <w:p>
            <w:pPr>
              <w:spacing w:after="0" w:line="240" w:lineRule="auto"/>
              <w:ind w:firstLine="0"/>
              <w:jc w:val="center"/>
            </w:pPr>
            <w:r>
              <w:rPr>
                <w:b w:val="0"/>
                <w:i w:val="0"/>
                <w:sz w:val="20"/>
              </w:rPr>
              <w:t>−18</w:t>
            </w:r>
          </w:p>
        </w:tc>
        <w:tc>
          <w:tcPr>
            <w:tcW w:type="dxa" w:w="1662"/>
          </w:tcPr>
          <w:p>
            <w:pPr>
              <w:spacing w:after="0" w:line="240" w:lineRule="auto"/>
              <w:ind w:firstLine="0"/>
              <w:jc w:val="center"/>
            </w:pPr>
            <w:r>
              <w:rPr>
                <w:b w:val="0"/>
                <w:i w:val="0"/>
                <w:sz w:val="20"/>
              </w:rPr>
              <w:t>−20</w:t>
            </w:r>
          </w:p>
        </w:tc>
        <w:tc>
          <w:tcPr>
            <w:tcW w:type="dxa" w:w="1662"/>
          </w:tcPr>
          <w:p>
            <w:pPr>
              <w:spacing w:after="0" w:line="240" w:lineRule="auto"/>
              <w:ind w:firstLine="0"/>
              <w:jc w:val="center"/>
            </w:pPr>
            <w:r>
              <w:rPr>
                <w:b w:val="0"/>
                <w:i w:val="0"/>
                <w:sz w:val="20"/>
              </w:rPr>
              <w:t>−5</w:t>
            </w:r>
          </w:p>
        </w:tc>
        <w:tc>
          <w:tcPr>
            <w:tcW w:type="dxa" w:w="1662"/>
          </w:tcPr>
          <w:p>
            <w:pPr>
              <w:spacing w:after="0" w:line="240" w:lineRule="auto"/>
              <w:ind w:firstLine="0"/>
              <w:jc w:val="center"/>
            </w:pPr>
            <w:r>
              <w:rPr>
                <w:b w:val="0"/>
                <w:i w:val="0"/>
                <w:sz w:val="20"/>
              </w:rPr>
              <w:t>+5</w:t>
            </w:r>
          </w:p>
        </w:tc>
      </w:tr>
      <w:tr>
        <w:tc>
          <w:tcPr>
            <w:tcW w:type="dxa" w:w="1662"/>
          </w:tcPr>
          <w:p>
            <w:pPr>
              <w:spacing w:after="0" w:line="240" w:lineRule="auto"/>
              <w:ind w:firstLine="0"/>
              <w:jc w:val="left"/>
            </w:pPr>
            <w:r>
              <w:rPr>
                <w:b w:val="0"/>
                <w:i w:val="0"/>
                <w:sz w:val="20"/>
              </w:rPr>
              <w:t>Ce + La: производство</w:t>
            </w:r>
          </w:p>
        </w:tc>
        <w:tc>
          <w:tcPr>
            <w:tcW w:type="dxa" w:w="1662"/>
          </w:tcPr>
          <w:p>
            <w:pPr>
              <w:spacing w:after="0" w:line="240" w:lineRule="auto"/>
              <w:ind w:firstLine="0"/>
              <w:jc w:val="center"/>
            </w:pPr>
            <w:r>
              <w:rPr>
                <w:b w:val="0"/>
                <w:i w:val="0"/>
                <w:sz w:val="20"/>
              </w:rPr>
              <w:t>280</w:t>
            </w:r>
          </w:p>
        </w:tc>
        <w:tc>
          <w:tcPr>
            <w:tcW w:type="dxa" w:w="1662"/>
          </w:tcPr>
          <w:p>
            <w:pPr>
              <w:spacing w:after="0" w:line="240" w:lineRule="auto"/>
              <w:ind w:firstLine="0"/>
              <w:jc w:val="center"/>
            </w:pPr>
            <w:r>
              <w:rPr>
                <w:b w:val="0"/>
                <w:i w:val="0"/>
                <w:sz w:val="20"/>
              </w:rPr>
              <w:t>1 100</w:t>
            </w:r>
          </w:p>
        </w:tc>
        <w:tc>
          <w:tcPr>
            <w:tcW w:type="dxa" w:w="1662"/>
          </w:tcPr>
          <w:p>
            <w:pPr>
              <w:spacing w:after="0" w:line="240" w:lineRule="auto"/>
              <w:ind w:firstLine="0"/>
              <w:jc w:val="center"/>
            </w:pPr>
            <w:r>
              <w:rPr>
                <w:b w:val="0"/>
                <w:i w:val="0"/>
                <w:sz w:val="20"/>
              </w:rPr>
              <w:t>5 400</w:t>
            </w:r>
          </w:p>
        </w:tc>
        <w:tc>
          <w:tcPr>
            <w:tcW w:type="dxa" w:w="1662"/>
          </w:tcPr>
          <w:p>
            <w:pPr>
              <w:spacing w:after="0" w:line="240" w:lineRule="auto"/>
              <w:ind w:firstLine="0"/>
              <w:jc w:val="center"/>
            </w:pPr>
            <w:r>
              <w:rPr>
                <w:b w:val="0"/>
                <w:i w:val="0"/>
                <w:sz w:val="20"/>
              </w:rPr>
              <w:t>14 500</w:t>
            </w:r>
          </w:p>
        </w:tc>
        <w:tc>
          <w:tcPr>
            <w:tcW w:type="dxa" w:w="1662"/>
          </w:tcPr>
          <w:p>
            <w:pPr>
              <w:spacing w:after="0" w:line="240" w:lineRule="auto"/>
              <w:ind w:firstLine="0"/>
              <w:jc w:val="center"/>
            </w:pPr>
            <w:r>
              <w:rPr>
                <w:b w:val="0"/>
                <w:i w:val="0"/>
                <w:sz w:val="20"/>
              </w:rPr>
              <w:t>19 800</w:t>
            </w:r>
          </w:p>
        </w:tc>
      </w:tr>
      <w:tr>
        <w:tc>
          <w:tcPr>
            <w:tcW w:type="dxa" w:w="1662"/>
          </w:tcPr>
          <w:p>
            <w:pPr>
              <w:spacing w:after="0" w:line="240" w:lineRule="auto"/>
              <w:ind w:firstLine="0"/>
              <w:jc w:val="left"/>
            </w:pPr>
            <w:r>
              <w:rPr>
                <w:b w:val="0"/>
                <w:i w:val="0"/>
                <w:sz w:val="20"/>
              </w:rPr>
              <w:t>Ce + La: потребление</w:t>
            </w:r>
          </w:p>
        </w:tc>
        <w:tc>
          <w:tcPr>
            <w:tcW w:type="dxa" w:w="1662"/>
          </w:tcPr>
          <w:p>
            <w:pPr>
              <w:spacing w:after="0" w:line="240" w:lineRule="auto"/>
              <w:ind w:firstLine="0"/>
              <w:jc w:val="center"/>
            </w:pPr>
            <w:r>
              <w:rPr>
                <w:b w:val="0"/>
                <w:i w:val="0"/>
                <w:sz w:val="20"/>
              </w:rPr>
              <w:t>1 170</w:t>
            </w:r>
          </w:p>
        </w:tc>
        <w:tc>
          <w:tcPr>
            <w:tcW w:type="dxa" w:w="1662"/>
          </w:tcPr>
          <w:p>
            <w:pPr>
              <w:spacing w:after="0" w:line="240" w:lineRule="auto"/>
              <w:ind w:firstLine="0"/>
              <w:jc w:val="center"/>
            </w:pPr>
            <w:r>
              <w:rPr>
                <w:b w:val="0"/>
                <w:i w:val="0"/>
                <w:sz w:val="20"/>
              </w:rPr>
              <w:t>1 300</w:t>
            </w:r>
          </w:p>
        </w:tc>
        <w:tc>
          <w:tcPr>
            <w:tcW w:type="dxa" w:w="1662"/>
          </w:tcPr>
          <w:p>
            <w:pPr>
              <w:spacing w:after="0" w:line="240" w:lineRule="auto"/>
              <w:ind w:firstLine="0"/>
              <w:jc w:val="center"/>
            </w:pPr>
            <w:r>
              <w:rPr>
                <w:b w:val="0"/>
                <w:i w:val="0"/>
                <w:sz w:val="20"/>
              </w:rPr>
              <w:t>1 600</w:t>
            </w:r>
          </w:p>
        </w:tc>
        <w:tc>
          <w:tcPr>
            <w:tcW w:type="dxa" w:w="1662"/>
          </w:tcPr>
          <w:p>
            <w:pPr>
              <w:spacing w:after="0" w:line="240" w:lineRule="auto"/>
              <w:ind w:firstLine="0"/>
              <w:jc w:val="center"/>
            </w:pPr>
            <w:r>
              <w:rPr>
                <w:b w:val="0"/>
                <w:i w:val="0"/>
                <w:sz w:val="20"/>
              </w:rPr>
              <w:t>1 900</w:t>
            </w:r>
          </w:p>
        </w:tc>
        <w:tc>
          <w:tcPr>
            <w:tcW w:type="dxa" w:w="1662"/>
          </w:tcPr>
          <w:p>
            <w:pPr>
              <w:spacing w:after="0" w:line="240" w:lineRule="auto"/>
              <w:ind w:firstLine="0"/>
              <w:jc w:val="center"/>
            </w:pPr>
            <w:r>
              <w:rPr>
                <w:b w:val="0"/>
                <w:i w:val="0"/>
                <w:sz w:val="20"/>
              </w:rPr>
              <w:t>2 100</w:t>
            </w:r>
          </w:p>
        </w:tc>
      </w:tr>
      <w:tr>
        <w:tc>
          <w:tcPr>
            <w:tcW w:type="dxa" w:w="1662"/>
          </w:tcPr>
          <w:p>
            <w:pPr>
              <w:spacing w:after="0" w:line="240" w:lineRule="auto"/>
              <w:ind w:firstLine="0"/>
              <w:jc w:val="left"/>
            </w:pPr>
            <w:r>
              <w:rPr>
                <w:b w:val="0"/>
                <w:i w:val="0"/>
                <w:sz w:val="20"/>
              </w:rPr>
              <w:t>Ce + La: баланс</w:t>
            </w:r>
          </w:p>
        </w:tc>
        <w:tc>
          <w:tcPr>
            <w:tcW w:type="dxa" w:w="1662"/>
          </w:tcPr>
          <w:p>
            <w:pPr>
              <w:spacing w:after="0" w:line="240" w:lineRule="auto"/>
              <w:ind w:firstLine="0"/>
              <w:jc w:val="center"/>
            </w:pPr>
            <w:r>
              <w:rPr>
                <w:b w:val="0"/>
                <w:i w:val="0"/>
                <w:sz w:val="20"/>
              </w:rPr>
              <w:t>−890</w:t>
            </w:r>
          </w:p>
        </w:tc>
        <w:tc>
          <w:tcPr>
            <w:tcW w:type="dxa" w:w="1662"/>
          </w:tcPr>
          <w:p>
            <w:pPr>
              <w:spacing w:after="0" w:line="240" w:lineRule="auto"/>
              <w:ind w:firstLine="0"/>
              <w:jc w:val="center"/>
            </w:pPr>
            <w:r>
              <w:rPr>
                <w:b w:val="0"/>
                <w:i w:val="0"/>
                <w:sz w:val="20"/>
              </w:rPr>
              <w:t>−200</w:t>
            </w:r>
          </w:p>
        </w:tc>
        <w:tc>
          <w:tcPr>
            <w:tcW w:type="dxa" w:w="1662"/>
          </w:tcPr>
          <w:p>
            <w:pPr>
              <w:spacing w:after="0" w:line="240" w:lineRule="auto"/>
              <w:ind w:firstLine="0"/>
              <w:jc w:val="center"/>
            </w:pPr>
            <w:r>
              <w:rPr>
                <w:b w:val="0"/>
                <w:i w:val="0"/>
                <w:sz w:val="20"/>
              </w:rPr>
              <w:t>+3 800</w:t>
            </w:r>
          </w:p>
        </w:tc>
        <w:tc>
          <w:tcPr>
            <w:tcW w:type="dxa" w:w="1662"/>
          </w:tcPr>
          <w:p>
            <w:pPr>
              <w:spacing w:after="0" w:line="240" w:lineRule="auto"/>
              <w:ind w:firstLine="0"/>
              <w:jc w:val="center"/>
            </w:pPr>
            <w:r>
              <w:rPr>
                <w:b w:val="0"/>
                <w:i w:val="0"/>
                <w:sz w:val="20"/>
              </w:rPr>
              <w:t>+12 600</w:t>
            </w:r>
          </w:p>
        </w:tc>
        <w:tc>
          <w:tcPr>
            <w:tcW w:type="dxa" w:w="1662"/>
          </w:tcPr>
          <w:p>
            <w:pPr>
              <w:spacing w:after="0" w:line="240" w:lineRule="auto"/>
              <w:ind w:firstLine="0"/>
              <w:jc w:val="center"/>
            </w:pPr>
            <w:r>
              <w:rPr>
                <w:b w:val="0"/>
                <w:i w:val="0"/>
                <w:sz w:val="20"/>
              </w:rPr>
              <w:t>+17 700</w:t>
            </w:r>
          </w:p>
        </w:tc>
      </w:tr>
    </w:tbl>
    <w:p>
      <w:pPr>
        <w:spacing w:after="180"/>
        <w:ind w:firstLine="0"/>
      </w:pPr>
      <w:r>
        <w:rPr>
          <w:i/>
          <w:sz w:val="20"/>
        </w:rPr>
        <w:t>Источник: прогноз аналитического центра</w:t>
      </w:r>
    </w:p>
    <w:p>
      <w:pPr>
        <w:keepNext/>
        <w:spacing w:before="160" w:after="60"/>
        <w:ind w:firstLine="0"/>
        <w:jc w:val="left"/>
      </w:pPr>
      <w:r>
        <w:rPr>
          <w:b/>
          <w:sz w:val="22"/>
        </w:rPr>
        <w:t>Рисунок 84. Прогнозный баланс РФ по диспрозию и тербию, т оксида</w:t>
      </w:r>
    </w:p>
    <w:p>
      <w:pPr>
        <w:ind w:firstLine="0"/>
        <w:jc w:val="center"/>
      </w:pPr>
      <w:r>
        <w:drawing>
          <wp:inline xmlns:a="http://schemas.openxmlformats.org/drawingml/2006/main" xmlns:pic="http://schemas.openxmlformats.org/drawingml/2006/picture">
            <wp:extent cx="5580000" cy="2812886"/>
            <wp:docPr id="84" name="Picture 84"/>
            <wp:cNvGraphicFramePr>
              <a:graphicFrameLocks noChangeAspect="1"/>
            </wp:cNvGraphicFramePr>
            <a:graphic>
              <a:graphicData uri="http://schemas.openxmlformats.org/drawingml/2006/picture">
                <pic:pic>
                  <pic:nvPicPr>
                    <pic:cNvPr id="0" name="fig84.png"/>
                    <pic:cNvPicPr/>
                  </pic:nvPicPr>
                  <pic:blipFill>
                    <a:blip r:embed="rId94"/>
                    <a:stretch>
                      <a:fillRect/>
                    </a:stretch>
                  </pic:blipFill>
                  <pic:spPr>
                    <a:xfrm>
                      <a:off x="0" y="0"/>
                      <a:ext cx="5580000" cy="2812886"/>
                    </a:xfrm>
                    <a:prstGeom prst="rect"/>
                  </pic:spPr>
                </pic:pic>
              </a:graphicData>
            </a:graphic>
          </wp:inline>
        </w:drawing>
      </w:r>
    </w:p>
    <w:p>
      <w:pPr>
        <w:spacing w:after="180"/>
        <w:ind w:firstLine="0"/>
      </w:pPr>
      <w:r>
        <w:rPr>
          <w:i/>
          <w:sz w:val="20"/>
        </w:rPr>
        <w:t>Источник: прогноз аналитического центра (табл. 116)</w:t>
      </w:r>
    </w:p>
    <w:p>
      <w:r>
        <w:rPr>
          <w:b w:val="0"/>
          <w:i w:val="0"/>
        </w:rPr>
        <w:t>Прогнозный баланс приводит к трём выводам, имеющим прямое значение для планирования.</w:t>
      </w:r>
    </w:p>
    <w:p>
      <w:r>
        <w:rPr>
          <w:b/>
          <w:i w:val="0"/>
        </w:rPr>
        <w:t>Первый.</w:t>
      </w:r>
      <w:r>
        <w:rPr>
          <w:b w:val="0"/>
          <w:i w:val="0"/>
        </w:rPr>
        <w:t xml:space="preserve"> По неодиму и празеодиму самообеспеченность достигается около 2029–2030 гг., после чего формируется быстро растущий экспортный потенциал: к 2035 г. — 3,6 тыс. т NdPr, что составляет около 3% прогнозируемого мирового спроса. Реализация этого объёма потребует выхода на конкурентные рынки.</w:t>
      </w:r>
    </w:p>
    <w:p>
      <w:r>
        <w:rPr>
          <w:b/>
          <w:i w:val="0"/>
        </w:rPr>
        <w:t>Второй.</w:t>
      </w:r>
      <w:r>
        <w:rPr>
          <w:b w:val="0"/>
          <w:i w:val="0"/>
        </w:rPr>
        <w:t xml:space="preserve"> По диспрозию и тербию дефицит сохраняется до начала 2030-х гг. и устраняется лишь при условии освоения Томтора и разделения тяжёлой группы. До этого момента магнитное производство критически зависит от импорта из КНР — то есть от продукции, находящейся под экспортным контролем. Это обстоятельство представляет собой главное «узкое место» всей программы: производство магнитов создаётся раньше, чем сырьевое обеспечение для него.</w:t>
      </w:r>
    </w:p>
    <w:p>
      <w:r>
        <w:rPr>
          <w:b w:val="0"/>
          <w:i w:val="0"/>
        </w:rPr>
        <w:t>Возможные решения: формирование стратегического запаса диспрозия и тербия до введения ограничений; приоритетное освоение объектов тяжёлой корзины (Зашихинское, Катугинское, эвдиалит); развитие рециклинга магнитного лома как источника тяжёлых элементов; ориентация первой очереди магнитного производства на классы, не требующие тяжёлых РЗМ.</w:t>
      </w:r>
    </w:p>
    <w:p>
      <w:r>
        <w:rPr>
          <w:b/>
          <w:i w:val="0"/>
        </w:rPr>
        <w:t>Третий.</w:t>
      </w:r>
      <w:r>
        <w:rPr>
          <w:b w:val="0"/>
          <w:i w:val="0"/>
        </w:rPr>
        <w:t xml:space="preserve"> По церию и лантану формируется избыток, к 2035 г. достигающий 17,7 тыс. т — величины, для которой не существует ни внутреннего рынка, ни очевидного экспортного направления (мировые цены менее 1 долл./кг). Этот избыток представляет собой не актив, а обязательство: он требует затрат на складирование и создаёт риск отрицательной стоимости. Решение задачи сбыта лёгкой группы должно быть частью программы, а не отложено на момент возникновения проблемы.</w:t>
      </w:r>
    </w:p>
    <w:p>
      <w:pPr>
        <w:keepNext/>
        <w:spacing w:before="160" w:after="60"/>
        <w:ind w:firstLine="0"/>
        <w:jc w:val="left"/>
      </w:pPr>
      <w:r>
        <w:rPr>
          <w:b/>
          <w:sz w:val="22"/>
        </w:rPr>
        <w:t>Рисунок 85. Прогнозный избыток оксидов церия и лантана в РФ, тыс. т/год</w:t>
      </w:r>
    </w:p>
    <w:p>
      <w:pPr>
        <w:ind w:firstLine="0"/>
        <w:jc w:val="center"/>
      </w:pPr>
      <w:r>
        <w:drawing>
          <wp:inline xmlns:a="http://schemas.openxmlformats.org/drawingml/2006/main" xmlns:pic="http://schemas.openxmlformats.org/drawingml/2006/picture">
            <wp:extent cx="5580000" cy="2751559"/>
            <wp:docPr id="85" name="Picture 85"/>
            <wp:cNvGraphicFramePr>
              <a:graphicFrameLocks noChangeAspect="1"/>
            </wp:cNvGraphicFramePr>
            <a:graphic>
              <a:graphicData uri="http://schemas.openxmlformats.org/drawingml/2006/picture">
                <pic:pic>
                  <pic:nvPicPr>
                    <pic:cNvPr id="0" name="fig85.png"/>
                    <pic:cNvPicPr/>
                  </pic:nvPicPr>
                  <pic:blipFill>
                    <a:blip r:embed="rId95"/>
                    <a:stretch>
                      <a:fillRect/>
                    </a:stretch>
                  </pic:blipFill>
                  <pic:spPr>
                    <a:xfrm>
                      <a:off x="0" y="0"/>
                      <a:ext cx="5580000" cy="2751559"/>
                    </a:xfrm>
                    <a:prstGeom prst="rect"/>
                  </pic:spPr>
                </pic:pic>
              </a:graphicData>
            </a:graphic>
          </wp:inline>
        </w:drawing>
      </w:r>
    </w:p>
    <w:p>
      <w:pPr>
        <w:spacing w:after="180"/>
        <w:ind w:firstLine="0"/>
      </w:pPr>
      <w:r>
        <w:rPr>
          <w:i/>
          <w:sz w:val="20"/>
        </w:rPr>
        <w:t>Источник: прогноз аналитического центра (табл. 116)</w:t>
      </w:r>
    </w:p>
    <w:p>
      <w:pPr>
        <w:pStyle w:val="Heading2"/>
      </w:pPr>
      <w:r>
        <w:rPr>
          <w:b w:val="0"/>
          <w:i w:val="0"/>
        </w:rPr>
        <w:t>16.5. Прогноз финансовых показателей отрасли</w:t>
      </w:r>
    </w:p>
    <w:p>
      <w:pPr>
        <w:keepNext/>
        <w:spacing w:before="160" w:after="60"/>
        <w:ind w:firstLine="0"/>
        <w:jc w:val="left"/>
      </w:pPr>
      <w:r>
        <w:rPr>
          <w:b/>
          <w:sz w:val="22"/>
        </w:rPr>
        <w:t>Таблица 117. Прогноз объёма рынка редкоземельной продукции Российской Федерации, млрд руб.</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Показатель</w:t>
            </w:r>
          </w:p>
        </w:tc>
        <w:tc>
          <w:tcPr>
            <w:tcW w:type="dxa" w:w="1662"/>
            <w:shd w:val="clear" w:fill="DCE6F1"/>
          </w:tcPr>
          <w:p>
            <w:pPr>
              <w:spacing w:after="0" w:line="240" w:lineRule="auto"/>
              <w:ind w:firstLine="0"/>
              <w:jc w:val="center"/>
            </w:pPr>
            <w:r>
              <w:rPr>
                <w:b/>
                <w:i w:val="0"/>
                <w:sz w:val="20"/>
              </w:rPr>
              <w:t>2025</w:t>
            </w:r>
          </w:p>
        </w:tc>
        <w:tc>
          <w:tcPr>
            <w:tcW w:type="dxa" w:w="1662"/>
            <w:shd w:val="clear" w:fill="DCE6F1"/>
          </w:tcPr>
          <w:p>
            <w:pPr>
              <w:spacing w:after="0" w:line="240" w:lineRule="auto"/>
              <w:ind w:firstLine="0"/>
              <w:jc w:val="center"/>
            </w:pPr>
            <w:r>
              <w:rPr>
                <w:b/>
                <w:i w:val="0"/>
                <w:sz w:val="20"/>
              </w:rPr>
              <w:t>2027</w:t>
            </w:r>
          </w:p>
        </w:tc>
        <w:tc>
          <w:tcPr>
            <w:tcW w:type="dxa" w:w="1662"/>
            <w:shd w:val="clear" w:fill="DCE6F1"/>
          </w:tcPr>
          <w:p>
            <w:pPr>
              <w:spacing w:after="0" w:line="240" w:lineRule="auto"/>
              <w:ind w:firstLine="0"/>
              <w:jc w:val="center"/>
            </w:pPr>
            <w:r>
              <w:rPr>
                <w:b/>
                <w:i w:val="0"/>
                <w:sz w:val="20"/>
              </w:rPr>
              <w:t>2030</w:t>
            </w:r>
          </w:p>
        </w:tc>
        <w:tc>
          <w:tcPr>
            <w:tcW w:type="dxa" w:w="1662"/>
            <w:shd w:val="clear" w:fill="DCE6F1"/>
          </w:tcPr>
          <w:p>
            <w:pPr>
              <w:spacing w:after="0" w:line="240" w:lineRule="auto"/>
              <w:ind w:firstLine="0"/>
              <w:jc w:val="center"/>
            </w:pPr>
            <w:r>
              <w:rPr>
                <w:b/>
                <w:i w:val="0"/>
                <w:sz w:val="20"/>
              </w:rPr>
              <w:t>2033</w:t>
            </w:r>
          </w:p>
        </w:tc>
        <w:tc>
          <w:tcPr>
            <w:tcW w:type="dxa" w:w="1662"/>
            <w:shd w:val="clear" w:fill="DCE6F1"/>
          </w:tcPr>
          <w:p>
            <w:pPr>
              <w:spacing w:after="0" w:line="240" w:lineRule="auto"/>
              <w:ind w:firstLine="0"/>
              <w:jc w:val="center"/>
            </w:pPr>
            <w:r>
              <w:rPr>
                <w:b/>
                <w:i w:val="0"/>
                <w:sz w:val="20"/>
              </w:rPr>
              <w:t>2035</w:t>
            </w:r>
          </w:p>
        </w:tc>
      </w:tr>
      <w:tr>
        <w:tc>
          <w:tcPr>
            <w:tcW w:type="dxa" w:w="1662"/>
          </w:tcPr>
          <w:p>
            <w:pPr>
              <w:spacing w:after="0" w:line="240" w:lineRule="auto"/>
              <w:ind w:firstLine="0"/>
              <w:jc w:val="left"/>
            </w:pPr>
            <w:r>
              <w:rPr>
                <w:b w:val="0"/>
                <w:i w:val="0"/>
                <w:sz w:val="20"/>
              </w:rPr>
              <w:t>Объём производства (в стоим. выражении)</w:t>
            </w:r>
          </w:p>
        </w:tc>
        <w:tc>
          <w:tcPr>
            <w:tcW w:type="dxa" w:w="1662"/>
          </w:tcPr>
          <w:p>
            <w:pPr>
              <w:spacing w:after="0" w:line="240" w:lineRule="auto"/>
              <w:ind w:firstLine="0"/>
              <w:jc w:val="center"/>
            </w:pPr>
            <w:r>
              <w:rPr>
                <w:b w:val="0"/>
                <w:i w:val="0"/>
                <w:sz w:val="20"/>
              </w:rPr>
              <w:t>14,5</w:t>
            </w:r>
          </w:p>
        </w:tc>
        <w:tc>
          <w:tcPr>
            <w:tcW w:type="dxa" w:w="1662"/>
          </w:tcPr>
          <w:p>
            <w:pPr>
              <w:spacing w:after="0" w:line="240" w:lineRule="auto"/>
              <w:ind w:firstLine="0"/>
              <w:jc w:val="center"/>
            </w:pPr>
            <w:r>
              <w:rPr>
                <w:b w:val="0"/>
                <w:i w:val="0"/>
                <w:sz w:val="20"/>
              </w:rPr>
              <w:t>27,0</w:t>
            </w:r>
          </w:p>
        </w:tc>
        <w:tc>
          <w:tcPr>
            <w:tcW w:type="dxa" w:w="1662"/>
          </w:tcPr>
          <w:p>
            <w:pPr>
              <w:spacing w:after="0" w:line="240" w:lineRule="auto"/>
              <w:ind w:firstLine="0"/>
              <w:jc w:val="center"/>
            </w:pPr>
            <w:r>
              <w:rPr>
                <w:b w:val="0"/>
                <w:i w:val="0"/>
                <w:sz w:val="20"/>
              </w:rPr>
              <w:t>96,0</w:t>
            </w:r>
          </w:p>
        </w:tc>
        <w:tc>
          <w:tcPr>
            <w:tcW w:type="dxa" w:w="1662"/>
          </w:tcPr>
          <w:p>
            <w:pPr>
              <w:spacing w:after="0" w:line="240" w:lineRule="auto"/>
              <w:ind w:firstLine="0"/>
              <w:jc w:val="center"/>
            </w:pPr>
            <w:r>
              <w:rPr>
                <w:b w:val="0"/>
                <w:i w:val="0"/>
                <w:sz w:val="20"/>
              </w:rPr>
              <w:t>285,0</w:t>
            </w:r>
          </w:p>
        </w:tc>
        <w:tc>
          <w:tcPr>
            <w:tcW w:type="dxa" w:w="1662"/>
          </w:tcPr>
          <w:p>
            <w:pPr>
              <w:spacing w:after="0" w:line="240" w:lineRule="auto"/>
              <w:ind w:firstLine="0"/>
              <w:jc w:val="center"/>
            </w:pPr>
            <w:r>
              <w:rPr>
                <w:b w:val="0"/>
                <w:i w:val="0"/>
                <w:sz w:val="20"/>
              </w:rPr>
              <w:t>420,0</w:t>
            </w:r>
          </w:p>
        </w:tc>
      </w:tr>
      <w:tr>
        <w:tc>
          <w:tcPr>
            <w:tcW w:type="dxa" w:w="1662"/>
          </w:tcPr>
          <w:p>
            <w:pPr>
              <w:spacing w:after="0" w:line="240" w:lineRule="auto"/>
              <w:ind w:firstLine="0"/>
              <w:jc w:val="left"/>
            </w:pPr>
            <w:r>
              <w:rPr>
                <w:b w:val="0"/>
                <w:i w:val="0"/>
                <w:sz w:val="20"/>
              </w:rPr>
              <w:t>в т. ч. сырьё и коллективная продукция</w:t>
            </w:r>
          </w:p>
        </w:tc>
        <w:tc>
          <w:tcPr>
            <w:tcW w:type="dxa" w:w="1662"/>
          </w:tcPr>
          <w:p>
            <w:pPr>
              <w:spacing w:after="0" w:line="240" w:lineRule="auto"/>
              <w:ind w:firstLine="0"/>
              <w:jc w:val="center"/>
            </w:pPr>
            <w:r>
              <w:rPr>
                <w:b w:val="0"/>
                <w:i w:val="0"/>
                <w:sz w:val="20"/>
              </w:rPr>
              <w:t>12,0</w:t>
            </w:r>
          </w:p>
        </w:tc>
        <w:tc>
          <w:tcPr>
            <w:tcW w:type="dxa" w:w="1662"/>
          </w:tcPr>
          <w:p>
            <w:pPr>
              <w:spacing w:after="0" w:line="240" w:lineRule="auto"/>
              <w:ind w:firstLine="0"/>
              <w:jc w:val="center"/>
            </w:pPr>
            <w:r>
              <w:rPr>
                <w:b w:val="0"/>
                <w:i w:val="0"/>
                <w:sz w:val="20"/>
              </w:rPr>
              <w:t>15,0</w:t>
            </w:r>
          </w:p>
        </w:tc>
        <w:tc>
          <w:tcPr>
            <w:tcW w:type="dxa" w:w="1662"/>
          </w:tcPr>
          <w:p>
            <w:pPr>
              <w:spacing w:after="0" w:line="240" w:lineRule="auto"/>
              <w:ind w:firstLine="0"/>
              <w:jc w:val="center"/>
            </w:pPr>
            <w:r>
              <w:rPr>
                <w:b w:val="0"/>
                <w:i w:val="0"/>
                <w:sz w:val="20"/>
              </w:rPr>
              <w:t>22,0</w:t>
            </w:r>
          </w:p>
        </w:tc>
        <w:tc>
          <w:tcPr>
            <w:tcW w:type="dxa" w:w="1662"/>
          </w:tcPr>
          <w:p>
            <w:pPr>
              <w:spacing w:after="0" w:line="240" w:lineRule="auto"/>
              <w:ind w:firstLine="0"/>
              <w:jc w:val="center"/>
            </w:pPr>
            <w:r>
              <w:rPr>
                <w:b w:val="0"/>
                <w:i w:val="0"/>
                <w:sz w:val="20"/>
              </w:rPr>
              <w:t>32,0</w:t>
            </w:r>
          </w:p>
        </w:tc>
        <w:tc>
          <w:tcPr>
            <w:tcW w:type="dxa" w:w="1662"/>
          </w:tcPr>
          <w:p>
            <w:pPr>
              <w:spacing w:after="0" w:line="240" w:lineRule="auto"/>
              <w:ind w:firstLine="0"/>
              <w:jc w:val="center"/>
            </w:pPr>
            <w:r>
              <w:rPr>
                <w:b w:val="0"/>
                <w:i w:val="0"/>
                <w:sz w:val="20"/>
              </w:rPr>
              <w:t>38,0</w:t>
            </w:r>
          </w:p>
        </w:tc>
      </w:tr>
      <w:tr>
        <w:tc>
          <w:tcPr>
            <w:tcW w:type="dxa" w:w="1662"/>
          </w:tcPr>
          <w:p>
            <w:pPr>
              <w:spacing w:after="0" w:line="240" w:lineRule="auto"/>
              <w:ind w:firstLine="0"/>
              <w:jc w:val="left"/>
            </w:pPr>
            <w:r>
              <w:rPr>
                <w:b w:val="0"/>
                <w:i w:val="0"/>
                <w:sz w:val="20"/>
              </w:rPr>
              <w:t>в т. ч. разделённые оксиды</w:t>
            </w:r>
          </w:p>
        </w:tc>
        <w:tc>
          <w:tcPr>
            <w:tcW w:type="dxa" w:w="1662"/>
          </w:tcPr>
          <w:p>
            <w:pPr>
              <w:spacing w:after="0" w:line="240" w:lineRule="auto"/>
              <w:ind w:firstLine="0"/>
              <w:jc w:val="center"/>
            </w:pPr>
            <w:r>
              <w:rPr>
                <w:b w:val="0"/>
                <w:i w:val="0"/>
                <w:sz w:val="20"/>
              </w:rPr>
              <w:t>2,0</w:t>
            </w:r>
          </w:p>
        </w:tc>
        <w:tc>
          <w:tcPr>
            <w:tcW w:type="dxa" w:w="1662"/>
          </w:tcPr>
          <w:p>
            <w:pPr>
              <w:spacing w:after="0" w:line="240" w:lineRule="auto"/>
              <w:ind w:firstLine="0"/>
              <w:jc w:val="center"/>
            </w:pPr>
            <w:r>
              <w:rPr>
                <w:b w:val="0"/>
                <w:i w:val="0"/>
                <w:sz w:val="20"/>
              </w:rPr>
              <w:t>6,5</w:t>
            </w:r>
          </w:p>
        </w:tc>
        <w:tc>
          <w:tcPr>
            <w:tcW w:type="dxa" w:w="1662"/>
          </w:tcPr>
          <w:p>
            <w:pPr>
              <w:spacing w:after="0" w:line="240" w:lineRule="auto"/>
              <w:ind w:firstLine="0"/>
              <w:jc w:val="center"/>
            </w:pPr>
            <w:r>
              <w:rPr>
                <w:b w:val="0"/>
                <w:i w:val="0"/>
                <w:sz w:val="20"/>
              </w:rPr>
              <w:t>32,0</w:t>
            </w:r>
          </w:p>
        </w:tc>
        <w:tc>
          <w:tcPr>
            <w:tcW w:type="dxa" w:w="1662"/>
          </w:tcPr>
          <w:p>
            <w:pPr>
              <w:spacing w:after="0" w:line="240" w:lineRule="auto"/>
              <w:ind w:firstLine="0"/>
              <w:jc w:val="center"/>
            </w:pPr>
            <w:r>
              <w:rPr>
                <w:b w:val="0"/>
                <w:i w:val="0"/>
                <w:sz w:val="20"/>
              </w:rPr>
              <w:t>88,0</w:t>
            </w:r>
          </w:p>
        </w:tc>
        <w:tc>
          <w:tcPr>
            <w:tcW w:type="dxa" w:w="1662"/>
          </w:tcPr>
          <w:p>
            <w:pPr>
              <w:spacing w:after="0" w:line="240" w:lineRule="auto"/>
              <w:ind w:firstLine="0"/>
              <w:jc w:val="center"/>
            </w:pPr>
            <w:r>
              <w:rPr>
                <w:b w:val="0"/>
                <w:i w:val="0"/>
                <w:sz w:val="20"/>
              </w:rPr>
              <w:t>122,0</w:t>
            </w:r>
          </w:p>
        </w:tc>
      </w:tr>
      <w:tr>
        <w:tc>
          <w:tcPr>
            <w:tcW w:type="dxa" w:w="1662"/>
          </w:tcPr>
          <w:p>
            <w:pPr>
              <w:spacing w:after="0" w:line="240" w:lineRule="auto"/>
              <w:ind w:firstLine="0"/>
              <w:jc w:val="left"/>
            </w:pPr>
            <w:r>
              <w:rPr>
                <w:b w:val="0"/>
                <w:i w:val="0"/>
                <w:sz w:val="20"/>
              </w:rPr>
              <w:t>в т. ч. металлы и сплавы</w:t>
            </w:r>
          </w:p>
        </w:tc>
        <w:tc>
          <w:tcPr>
            <w:tcW w:type="dxa" w:w="1662"/>
          </w:tcPr>
          <w:p>
            <w:pPr>
              <w:spacing w:after="0" w:line="240" w:lineRule="auto"/>
              <w:ind w:firstLine="0"/>
              <w:jc w:val="center"/>
            </w:pPr>
            <w:r>
              <w:rPr>
                <w:b w:val="0"/>
                <w:i w:val="0"/>
                <w:sz w:val="20"/>
              </w:rPr>
              <w:t>0,3</w:t>
            </w:r>
          </w:p>
        </w:tc>
        <w:tc>
          <w:tcPr>
            <w:tcW w:type="dxa" w:w="1662"/>
          </w:tcPr>
          <w:p>
            <w:pPr>
              <w:spacing w:after="0" w:line="240" w:lineRule="auto"/>
              <w:ind w:firstLine="0"/>
              <w:jc w:val="center"/>
            </w:pPr>
            <w:r>
              <w:rPr>
                <w:b w:val="0"/>
                <w:i w:val="0"/>
                <w:sz w:val="20"/>
              </w:rPr>
              <w:t>2,5</w:t>
            </w:r>
          </w:p>
        </w:tc>
        <w:tc>
          <w:tcPr>
            <w:tcW w:type="dxa" w:w="1662"/>
          </w:tcPr>
          <w:p>
            <w:pPr>
              <w:spacing w:after="0" w:line="240" w:lineRule="auto"/>
              <w:ind w:firstLine="0"/>
              <w:jc w:val="center"/>
            </w:pPr>
            <w:r>
              <w:rPr>
                <w:b w:val="0"/>
                <w:i w:val="0"/>
                <w:sz w:val="20"/>
              </w:rPr>
              <w:t>14,0</w:t>
            </w:r>
          </w:p>
        </w:tc>
        <w:tc>
          <w:tcPr>
            <w:tcW w:type="dxa" w:w="1662"/>
          </w:tcPr>
          <w:p>
            <w:pPr>
              <w:spacing w:after="0" w:line="240" w:lineRule="auto"/>
              <w:ind w:firstLine="0"/>
              <w:jc w:val="center"/>
            </w:pPr>
            <w:r>
              <w:rPr>
                <w:b w:val="0"/>
                <w:i w:val="0"/>
                <w:sz w:val="20"/>
              </w:rPr>
              <w:t>42,0</w:t>
            </w:r>
          </w:p>
        </w:tc>
        <w:tc>
          <w:tcPr>
            <w:tcW w:type="dxa" w:w="1662"/>
          </w:tcPr>
          <w:p>
            <w:pPr>
              <w:spacing w:after="0" w:line="240" w:lineRule="auto"/>
              <w:ind w:firstLine="0"/>
              <w:jc w:val="center"/>
            </w:pPr>
            <w:r>
              <w:rPr>
                <w:b w:val="0"/>
                <w:i w:val="0"/>
                <w:sz w:val="20"/>
              </w:rPr>
              <w:t>62,0</w:t>
            </w:r>
          </w:p>
        </w:tc>
      </w:tr>
      <w:tr>
        <w:tc>
          <w:tcPr>
            <w:tcW w:type="dxa" w:w="1662"/>
          </w:tcPr>
          <w:p>
            <w:pPr>
              <w:spacing w:after="0" w:line="240" w:lineRule="auto"/>
              <w:ind w:firstLine="0"/>
              <w:jc w:val="left"/>
            </w:pPr>
            <w:r>
              <w:rPr>
                <w:b w:val="0"/>
                <w:i w:val="0"/>
                <w:sz w:val="20"/>
              </w:rPr>
              <w:t>в т. ч. магниты</w:t>
            </w:r>
          </w:p>
        </w:tc>
        <w:tc>
          <w:tcPr>
            <w:tcW w:type="dxa" w:w="1662"/>
          </w:tcPr>
          <w:p>
            <w:pPr>
              <w:spacing w:after="0" w:line="240" w:lineRule="auto"/>
              <w:ind w:firstLine="0"/>
              <w:jc w:val="center"/>
            </w:pPr>
            <w:r>
              <w:rPr>
                <w:b w:val="0"/>
                <w:i w:val="0"/>
                <w:sz w:val="20"/>
              </w:rPr>
              <w:t>0,2</w:t>
            </w:r>
          </w:p>
        </w:tc>
        <w:tc>
          <w:tcPr>
            <w:tcW w:type="dxa" w:w="1662"/>
          </w:tcPr>
          <w:p>
            <w:pPr>
              <w:spacing w:after="0" w:line="240" w:lineRule="auto"/>
              <w:ind w:firstLine="0"/>
              <w:jc w:val="center"/>
            </w:pPr>
            <w:r>
              <w:rPr>
                <w:b w:val="0"/>
                <w:i w:val="0"/>
                <w:sz w:val="20"/>
              </w:rPr>
              <w:t>3,0</w:t>
            </w:r>
          </w:p>
        </w:tc>
        <w:tc>
          <w:tcPr>
            <w:tcW w:type="dxa" w:w="1662"/>
          </w:tcPr>
          <w:p>
            <w:pPr>
              <w:spacing w:after="0" w:line="240" w:lineRule="auto"/>
              <w:ind w:firstLine="0"/>
              <w:jc w:val="center"/>
            </w:pPr>
            <w:r>
              <w:rPr>
                <w:b w:val="0"/>
                <w:i w:val="0"/>
                <w:sz w:val="20"/>
              </w:rPr>
              <w:t>28,0</w:t>
            </w:r>
          </w:p>
        </w:tc>
        <w:tc>
          <w:tcPr>
            <w:tcW w:type="dxa" w:w="1662"/>
          </w:tcPr>
          <w:p>
            <w:pPr>
              <w:spacing w:after="0" w:line="240" w:lineRule="auto"/>
              <w:ind w:firstLine="0"/>
              <w:jc w:val="center"/>
            </w:pPr>
            <w:r>
              <w:rPr>
                <w:b w:val="0"/>
                <w:i w:val="0"/>
                <w:sz w:val="20"/>
              </w:rPr>
              <w:t>123,0</w:t>
            </w:r>
          </w:p>
        </w:tc>
        <w:tc>
          <w:tcPr>
            <w:tcW w:type="dxa" w:w="1662"/>
          </w:tcPr>
          <w:p>
            <w:pPr>
              <w:spacing w:after="0" w:line="240" w:lineRule="auto"/>
              <w:ind w:firstLine="0"/>
              <w:jc w:val="center"/>
            </w:pPr>
            <w:r>
              <w:rPr>
                <w:b w:val="0"/>
                <w:i w:val="0"/>
                <w:sz w:val="20"/>
              </w:rPr>
              <w:t>198,0</w:t>
            </w:r>
          </w:p>
        </w:tc>
      </w:tr>
      <w:tr>
        <w:tc>
          <w:tcPr>
            <w:tcW w:type="dxa" w:w="1662"/>
          </w:tcPr>
          <w:p>
            <w:pPr>
              <w:spacing w:after="0" w:line="240" w:lineRule="auto"/>
              <w:ind w:firstLine="0"/>
              <w:jc w:val="left"/>
            </w:pPr>
            <w:r>
              <w:rPr>
                <w:b w:val="0"/>
                <w:i w:val="0"/>
                <w:sz w:val="20"/>
              </w:rPr>
              <w:t>Внутреннее потребление (в стоим. выраж.)</w:t>
            </w:r>
          </w:p>
        </w:tc>
        <w:tc>
          <w:tcPr>
            <w:tcW w:type="dxa" w:w="1662"/>
          </w:tcPr>
          <w:p>
            <w:pPr>
              <w:spacing w:after="0" w:line="240" w:lineRule="auto"/>
              <w:ind w:firstLine="0"/>
              <w:jc w:val="center"/>
            </w:pPr>
            <w:r>
              <w:rPr>
                <w:b w:val="0"/>
                <w:i w:val="0"/>
                <w:sz w:val="20"/>
              </w:rPr>
              <w:t>42,0</w:t>
            </w:r>
          </w:p>
        </w:tc>
        <w:tc>
          <w:tcPr>
            <w:tcW w:type="dxa" w:w="1662"/>
          </w:tcPr>
          <w:p>
            <w:pPr>
              <w:spacing w:after="0" w:line="240" w:lineRule="auto"/>
              <w:ind w:firstLine="0"/>
              <w:jc w:val="center"/>
            </w:pPr>
            <w:r>
              <w:rPr>
                <w:b w:val="0"/>
                <w:i w:val="0"/>
                <w:sz w:val="20"/>
              </w:rPr>
              <w:t>52,0</w:t>
            </w:r>
          </w:p>
        </w:tc>
        <w:tc>
          <w:tcPr>
            <w:tcW w:type="dxa" w:w="1662"/>
          </w:tcPr>
          <w:p>
            <w:pPr>
              <w:spacing w:after="0" w:line="240" w:lineRule="auto"/>
              <w:ind w:firstLine="0"/>
              <w:jc w:val="center"/>
            </w:pPr>
            <w:r>
              <w:rPr>
                <w:b w:val="0"/>
                <w:i w:val="0"/>
                <w:sz w:val="20"/>
              </w:rPr>
              <w:t>68,0</w:t>
            </w:r>
          </w:p>
        </w:tc>
        <w:tc>
          <w:tcPr>
            <w:tcW w:type="dxa" w:w="1662"/>
          </w:tcPr>
          <w:p>
            <w:pPr>
              <w:spacing w:after="0" w:line="240" w:lineRule="auto"/>
              <w:ind w:firstLine="0"/>
              <w:jc w:val="center"/>
            </w:pPr>
            <w:r>
              <w:rPr>
                <w:b w:val="0"/>
                <w:i w:val="0"/>
                <w:sz w:val="20"/>
              </w:rPr>
              <w:t>92,0</w:t>
            </w:r>
          </w:p>
        </w:tc>
        <w:tc>
          <w:tcPr>
            <w:tcW w:type="dxa" w:w="1662"/>
          </w:tcPr>
          <w:p>
            <w:pPr>
              <w:spacing w:after="0" w:line="240" w:lineRule="auto"/>
              <w:ind w:firstLine="0"/>
              <w:jc w:val="center"/>
            </w:pPr>
            <w:r>
              <w:rPr>
                <w:b w:val="0"/>
                <w:i w:val="0"/>
                <w:sz w:val="20"/>
              </w:rPr>
              <w:t>108,0</w:t>
            </w:r>
          </w:p>
        </w:tc>
      </w:tr>
      <w:tr>
        <w:tc>
          <w:tcPr>
            <w:tcW w:type="dxa" w:w="1662"/>
          </w:tcPr>
          <w:p>
            <w:pPr>
              <w:spacing w:after="0" w:line="240" w:lineRule="auto"/>
              <w:ind w:firstLine="0"/>
              <w:jc w:val="left"/>
            </w:pPr>
            <w:r>
              <w:rPr>
                <w:b w:val="0"/>
                <w:i w:val="0"/>
                <w:sz w:val="20"/>
              </w:rPr>
              <w:t>Экспорт</w:t>
            </w:r>
          </w:p>
        </w:tc>
        <w:tc>
          <w:tcPr>
            <w:tcW w:type="dxa" w:w="1662"/>
          </w:tcPr>
          <w:p>
            <w:pPr>
              <w:spacing w:after="0" w:line="240" w:lineRule="auto"/>
              <w:ind w:firstLine="0"/>
              <w:jc w:val="center"/>
            </w:pPr>
            <w:r>
              <w:rPr>
                <w:b w:val="0"/>
                <w:i w:val="0"/>
                <w:sz w:val="20"/>
              </w:rPr>
              <w:t>2,0</w:t>
            </w:r>
          </w:p>
        </w:tc>
        <w:tc>
          <w:tcPr>
            <w:tcW w:type="dxa" w:w="1662"/>
          </w:tcPr>
          <w:p>
            <w:pPr>
              <w:spacing w:after="0" w:line="240" w:lineRule="auto"/>
              <w:ind w:firstLine="0"/>
              <w:jc w:val="center"/>
            </w:pPr>
            <w:r>
              <w:rPr>
                <w:b w:val="0"/>
                <w:i w:val="0"/>
                <w:sz w:val="20"/>
              </w:rPr>
              <w:t>6,1</w:t>
            </w:r>
          </w:p>
        </w:tc>
        <w:tc>
          <w:tcPr>
            <w:tcW w:type="dxa" w:w="1662"/>
          </w:tcPr>
          <w:p>
            <w:pPr>
              <w:spacing w:after="0" w:line="240" w:lineRule="auto"/>
              <w:ind w:firstLine="0"/>
              <w:jc w:val="center"/>
            </w:pPr>
            <w:r>
              <w:rPr>
                <w:b w:val="0"/>
                <w:i w:val="0"/>
                <w:sz w:val="20"/>
              </w:rPr>
              <w:t>30,6</w:t>
            </w:r>
          </w:p>
        </w:tc>
        <w:tc>
          <w:tcPr>
            <w:tcW w:type="dxa" w:w="1662"/>
          </w:tcPr>
          <w:p>
            <w:pPr>
              <w:spacing w:after="0" w:line="240" w:lineRule="auto"/>
              <w:ind w:firstLine="0"/>
              <w:jc w:val="center"/>
            </w:pPr>
            <w:r>
              <w:rPr>
                <w:b w:val="0"/>
                <w:i w:val="0"/>
                <w:sz w:val="20"/>
              </w:rPr>
              <w:t>64,8</w:t>
            </w:r>
          </w:p>
        </w:tc>
        <w:tc>
          <w:tcPr>
            <w:tcW w:type="dxa" w:w="1662"/>
          </w:tcPr>
          <w:p>
            <w:pPr>
              <w:spacing w:after="0" w:line="240" w:lineRule="auto"/>
              <w:ind w:firstLine="0"/>
              <w:jc w:val="center"/>
            </w:pPr>
            <w:r>
              <w:rPr>
                <w:b w:val="0"/>
                <w:i w:val="0"/>
                <w:sz w:val="20"/>
              </w:rPr>
              <w:t>88,2</w:t>
            </w:r>
          </w:p>
        </w:tc>
      </w:tr>
      <w:tr>
        <w:tc>
          <w:tcPr>
            <w:tcW w:type="dxa" w:w="1662"/>
          </w:tcPr>
          <w:p>
            <w:pPr>
              <w:spacing w:after="0" w:line="240" w:lineRule="auto"/>
              <w:ind w:firstLine="0"/>
              <w:jc w:val="left"/>
            </w:pPr>
            <w:r>
              <w:rPr>
                <w:b w:val="0"/>
                <w:i w:val="0"/>
                <w:sz w:val="20"/>
              </w:rPr>
              <w:t>Импорт</w:t>
            </w:r>
          </w:p>
        </w:tc>
        <w:tc>
          <w:tcPr>
            <w:tcW w:type="dxa" w:w="1662"/>
          </w:tcPr>
          <w:p>
            <w:pPr>
              <w:spacing w:after="0" w:line="240" w:lineRule="auto"/>
              <w:ind w:firstLine="0"/>
              <w:jc w:val="center"/>
            </w:pPr>
            <w:r>
              <w:rPr>
                <w:b w:val="0"/>
                <w:i w:val="0"/>
                <w:sz w:val="20"/>
              </w:rPr>
              <w:t>41,6</w:t>
            </w:r>
          </w:p>
        </w:tc>
        <w:tc>
          <w:tcPr>
            <w:tcW w:type="dxa" w:w="1662"/>
          </w:tcPr>
          <w:p>
            <w:pPr>
              <w:spacing w:after="0" w:line="240" w:lineRule="auto"/>
              <w:ind w:firstLine="0"/>
              <w:jc w:val="center"/>
            </w:pPr>
            <w:r>
              <w:rPr>
                <w:b w:val="0"/>
                <w:i w:val="0"/>
                <w:sz w:val="20"/>
              </w:rPr>
              <w:t>44,6</w:t>
            </w:r>
          </w:p>
        </w:tc>
        <w:tc>
          <w:tcPr>
            <w:tcW w:type="dxa" w:w="1662"/>
          </w:tcPr>
          <w:p>
            <w:pPr>
              <w:spacing w:after="0" w:line="240" w:lineRule="auto"/>
              <w:ind w:firstLine="0"/>
              <w:jc w:val="center"/>
            </w:pPr>
            <w:r>
              <w:rPr>
                <w:b w:val="0"/>
                <w:i w:val="0"/>
                <w:sz w:val="20"/>
              </w:rPr>
              <w:t>34,2</w:t>
            </w:r>
          </w:p>
        </w:tc>
        <w:tc>
          <w:tcPr>
            <w:tcW w:type="dxa" w:w="1662"/>
          </w:tcPr>
          <w:p>
            <w:pPr>
              <w:spacing w:after="0" w:line="240" w:lineRule="auto"/>
              <w:ind w:firstLine="0"/>
              <w:jc w:val="center"/>
            </w:pPr>
            <w:r>
              <w:rPr>
                <w:b w:val="0"/>
                <w:i w:val="0"/>
                <w:sz w:val="20"/>
              </w:rPr>
              <w:t>26,1</w:t>
            </w:r>
          </w:p>
        </w:tc>
        <w:tc>
          <w:tcPr>
            <w:tcW w:type="dxa" w:w="1662"/>
          </w:tcPr>
          <w:p>
            <w:pPr>
              <w:spacing w:after="0" w:line="240" w:lineRule="auto"/>
              <w:ind w:firstLine="0"/>
              <w:jc w:val="center"/>
            </w:pPr>
            <w:r>
              <w:rPr>
                <w:b w:val="0"/>
                <w:i w:val="0"/>
                <w:sz w:val="20"/>
              </w:rPr>
              <w:t>20,7</w:t>
            </w:r>
          </w:p>
        </w:tc>
      </w:tr>
    </w:tbl>
    <w:p>
      <w:pPr>
        <w:spacing w:after="180"/>
        <w:ind w:firstLine="0"/>
      </w:pPr>
      <w:r>
        <w:rPr>
          <w:i/>
          <w:sz w:val="20"/>
        </w:rPr>
        <w:t>Источник: прогноз аналитического центра; расчёт в ценах 2025 г. при курсе 90 руб./$</w:t>
      </w:r>
    </w:p>
    <w:p>
      <w:pPr>
        <w:keepNext/>
        <w:spacing w:before="160" w:after="60"/>
        <w:ind w:firstLine="0"/>
        <w:jc w:val="left"/>
      </w:pPr>
      <w:r>
        <w:rPr>
          <w:b/>
          <w:sz w:val="22"/>
        </w:rPr>
        <w:t>Рисунок 86. Прогноз структуры производства редкоземельной продукции РФ в стоимостном выражении, млрд руб.</w:t>
      </w:r>
    </w:p>
    <w:p>
      <w:pPr>
        <w:ind w:firstLine="0"/>
        <w:jc w:val="center"/>
      </w:pPr>
      <w:r>
        <w:drawing>
          <wp:inline xmlns:a="http://schemas.openxmlformats.org/drawingml/2006/main" xmlns:pic="http://schemas.openxmlformats.org/drawingml/2006/picture">
            <wp:extent cx="5580000" cy="2806607"/>
            <wp:docPr id="86" name="Picture 86"/>
            <wp:cNvGraphicFramePr>
              <a:graphicFrameLocks noChangeAspect="1"/>
            </wp:cNvGraphicFramePr>
            <a:graphic>
              <a:graphicData uri="http://schemas.openxmlformats.org/drawingml/2006/picture">
                <pic:pic>
                  <pic:nvPicPr>
                    <pic:cNvPr id="0" name="fig86.png"/>
                    <pic:cNvPicPr/>
                  </pic:nvPicPr>
                  <pic:blipFill>
                    <a:blip r:embed="rId96"/>
                    <a:stretch>
                      <a:fillRect/>
                    </a:stretch>
                  </pic:blipFill>
                  <pic:spPr>
                    <a:xfrm>
                      <a:off x="0" y="0"/>
                      <a:ext cx="5580000" cy="2806607"/>
                    </a:xfrm>
                    <a:prstGeom prst="rect"/>
                  </pic:spPr>
                </pic:pic>
              </a:graphicData>
            </a:graphic>
          </wp:inline>
        </w:drawing>
      </w:r>
    </w:p>
    <w:p>
      <w:pPr>
        <w:spacing w:after="180"/>
        <w:ind w:firstLine="0"/>
      </w:pPr>
      <w:r>
        <w:rPr>
          <w:i/>
          <w:sz w:val="20"/>
        </w:rPr>
        <w:t>Источник: прогноз аналитического центра (табл. 117)</w:t>
      </w:r>
    </w:p>
    <w:p>
      <w:r>
        <w:rPr>
          <w:b w:val="0"/>
          <w:i w:val="0"/>
        </w:rPr>
        <w:t>Структурная динамика, отражённая на рисунке 86, демонстрирует ключевой экономический эффект развития переделов. Доля сырья и коллективной продукции в стоимости выпуска сокращается с 83% в 2025 г. до 9% в 2035 г., тогда как доля магнитов возрастает с 1,4 до 47%. При этом физический объём производства сырья вырастает в 13 раз, а стоимость выпуска — в 29 раз. Именно этот разрыв между ростом физических объёмов и ростом стоимости и составляет содержание задачи развития отрасли.</w:t>
      </w:r>
    </w:p>
    <w:p>
      <w:pPr>
        <w:pStyle w:val="Heading2"/>
      </w:pPr>
      <w:r>
        <w:rPr>
          <w:b w:val="0"/>
          <w:i w:val="0"/>
        </w:rPr>
        <w:t>16.6. Условия достижения целевых показателей</w:t>
      </w:r>
    </w:p>
    <w:p>
      <w:r>
        <w:rPr>
          <w:b w:val="0"/>
          <w:i w:val="0"/>
        </w:rPr>
        <w:t>Обобщая анализ, приведённый в главах 9–16, можно сформулировать перечень условий, выполнение которых необходимо для достижения заявленных целевых показателей.</w:t>
      </w:r>
    </w:p>
    <w:p>
      <w:pPr>
        <w:keepNext/>
        <w:spacing w:before="160" w:after="60"/>
        <w:ind w:firstLine="0"/>
        <w:jc w:val="left"/>
      </w:pPr>
      <w:r>
        <w:rPr>
          <w:b/>
          <w:sz w:val="22"/>
        </w:rPr>
        <w:t>Таблица 118. Критические условия достижения целевых показателей развития редкоземельной отрасли РФ</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Условие</w:t>
            </w:r>
          </w:p>
        </w:tc>
        <w:tc>
          <w:tcPr>
            <w:tcW w:type="dxa" w:w="2493"/>
            <w:shd w:val="clear" w:fill="DCE6F1"/>
          </w:tcPr>
          <w:p>
            <w:pPr>
              <w:spacing w:after="0" w:line="240" w:lineRule="auto"/>
              <w:ind w:firstLine="0"/>
              <w:jc w:val="center"/>
            </w:pPr>
            <w:r>
              <w:rPr>
                <w:b/>
                <w:i w:val="0"/>
                <w:sz w:val="20"/>
              </w:rPr>
              <w:t>Срок</w:t>
            </w:r>
          </w:p>
        </w:tc>
        <w:tc>
          <w:tcPr>
            <w:tcW w:type="dxa" w:w="2493"/>
            <w:shd w:val="clear" w:fill="DCE6F1"/>
          </w:tcPr>
          <w:p>
            <w:pPr>
              <w:spacing w:after="0" w:line="240" w:lineRule="auto"/>
              <w:ind w:firstLine="0"/>
              <w:jc w:val="center"/>
            </w:pPr>
            <w:r>
              <w:rPr>
                <w:b/>
                <w:i w:val="0"/>
                <w:sz w:val="20"/>
              </w:rPr>
              <w:t>Текущий статус</w:t>
            </w:r>
          </w:p>
        </w:tc>
        <w:tc>
          <w:tcPr>
            <w:tcW w:type="dxa" w:w="2493"/>
            <w:shd w:val="clear" w:fill="DCE6F1"/>
          </w:tcPr>
          <w:p>
            <w:pPr>
              <w:spacing w:after="0" w:line="240" w:lineRule="auto"/>
              <w:ind w:firstLine="0"/>
              <w:jc w:val="center"/>
            </w:pPr>
            <w:r>
              <w:rPr>
                <w:b/>
                <w:i w:val="0"/>
                <w:sz w:val="20"/>
              </w:rPr>
              <w:t>Последствия невыполнения</w:t>
            </w:r>
          </w:p>
        </w:tc>
      </w:tr>
      <w:tr>
        <w:tc>
          <w:tcPr>
            <w:tcW w:type="dxa" w:w="2493"/>
          </w:tcPr>
          <w:p>
            <w:pPr>
              <w:spacing w:after="0" w:line="240" w:lineRule="auto"/>
              <w:ind w:firstLine="0"/>
              <w:jc w:val="left"/>
            </w:pPr>
            <w:r>
              <w:rPr>
                <w:b w:val="0"/>
                <w:i w:val="0"/>
                <w:sz w:val="20"/>
              </w:rPr>
              <w:t>Инвестиционное решение по Томтору</w:t>
            </w:r>
          </w:p>
        </w:tc>
        <w:tc>
          <w:tcPr>
            <w:tcW w:type="dxa" w:w="2493"/>
          </w:tcPr>
          <w:p>
            <w:pPr>
              <w:spacing w:after="0" w:line="240" w:lineRule="auto"/>
              <w:ind w:firstLine="0"/>
              <w:jc w:val="center"/>
            </w:pPr>
            <w:r>
              <w:rPr>
                <w:b w:val="0"/>
                <w:i w:val="0"/>
                <w:sz w:val="20"/>
              </w:rPr>
              <w:t>2026–2027</w:t>
            </w:r>
          </w:p>
        </w:tc>
        <w:tc>
          <w:tcPr>
            <w:tcW w:type="dxa" w:w="2493"/>
          </w:tcPr>
          <w:p>
            <w:pPr>
              <w:spacing w:after="0" w:line="240" w:lineRule="auto"/>
              <w:ind w:firstLine="0"/>
              <w:jc w:val="center"/>
            </w:pPr>
            <w:r>
              <w:rPr>
                <w:b w:val="0"/>
                <w:i w:val="0"/>
                <w:sz w:val="20"/>
              </w:rPr>
              <w:t>не принято</w:t>
            </w:r>
          </w:p>
        </w:tc>
        <w:tc>
          <w:tcPr>
            <w:tcW w:type="dxa" w:w="2493"/>
          </w:tcPr>
          <w:p>
            <w:pPr>
              <w:spacing w:after="0" w:line="240" w:lineRule="auto"/>
              <w:ind w:firstLine="0"/>
              <w:jc w:val="center"/>
            </w:pPr>
            <w:r>
              <w:rPr>
                <w:b w:val="0"/>
                <w:i w:val="0"/>
                <w:sz w:val="20"/>
              </w:rPr>
              <w:t>сдвиг программы на 3–5 лет</w:t>
            </w:r>
          </w:p>
        </w:tc>
      </w:tr>
      <w:tr>
        <w:tc>
          <w:tcPr>
            <w:tcW w:type="dxa" w:w="2493"/>
          </w:tcPr>
          <w:p>
            <w:pPr>
              <w:spacing w:after="0" w:line="240" w:lineRule="auto"/>
              <w:ind w:firstLine="0"/>
              <w:jc w:val="left"/>
            </w:pPr>
            <w:r>
              <w:rPr>
                <w:b w:val="0"/>
                <w:i w:val="0"/>
                <w:sz w:val="20"/>
              </w:rPr>
              <w:t>Промышленная технология переработки Томтора</w:t>
            </w:r>
          </w:p>
        </w:tc>
        <w:tc>
          <w:tcPr>
            <w:tcW w:type="dxa" w:w="2493"/>
          </w:tcPr>
          <w:p>
            <w:pPr>
              <w:spacing w:after="0" w:line="240" w:lineRule="auto"/>
              <w:ind w:firstLine="0"/>
              <w:jc w:val="center"/>
            </w:pPr>
            <w:r>
              <w:rPr>
                <w:b w:val="0"/>
                <w:i w:val="0"/>
                <w:sz w:val="20"/>
              </w:rPr>
              <w:t>2028</w:t>
            </w:r>
          </w:p>
        </w:tc>
        <w:tc>
          <w:tcPr>
            <w:tcW w:type="dxa" w:w="2493"/>
          </w:tcPr>
          <w:p>
            <w:pPr>
              <w:spacing w:after="0" w:line="240" w:lineRule="auto"/>
              <w:ind w:firstLine="0"/>
              <w:jc w:val="center"/>
            </w:pPr>
            <w:r>
              <w:rPr>
                <w:b w:val="0"/>
                <w:i w:val="0"/>
                <w:sz w:val="20"/>
              </w:rPr>
              <w:t>TRL 5</w:t>
            </w:r>
          </w:p>
        </w:tc>
        <w:tc>
          <w:tcPr>
            <w:tcW w:type="dxa" w:w="2493"/>
          </w:tcPr>
          <w:p>
            <w:pPr>
              <w:spacing w:after="0" w:line="240" w:lineRule="auto"/>
              <w:ind w:firstLine="0"/>
              <w:jc w:val="center"/>
            </w:pPr>
            <w:r>
              <w:rPr>
                <w:b w:val="0"/>
                <w:i w:val="0"/>
                <w:sz w:val="20"/>
              </w:rPr>
              <w:t>невозможность пуска</w:t>
            </w:r>
          </w:p>
        </w:tc>
      </w:tr>
      <w:tr>
        <w:tc>
          <w:tcPr>
            <w:tcW w:type="dxa" w:w="2493"/>
          </w:tcPr>
          <w:p>
            <w:pPr>
              <w:spacing w:after="0" w:line="240" w:lineRule="auto"/>
              <w:ind w:firstLine="0"/>
              <w:jc w:val="left"/>
            </w:pPr>
            <w:r>
              <w:rPr>
                <w:b w:val="0"/>
                <w:i w:val="0"/>
                <w:sz w:val="20"/>
              </w:rPr>
              <w:t>Освоение технологии GBD</w:t>
            </w:r>
          </w:p>
        </w:tc>
        <w:tc>
          <w:tcPr>
            <w:tcW w:type="dxa" w:w="2493"/>
          </w:tcPr>
          <w:p>
            <w:pPr>
              <w:spacing w:after="0" w:line="240" w:lineRule="auto"/>
              <w:ind w:firstLine="0"/>
              <w:jc w:val="center"/>
            </w:pPr>
            <w:r>
              <w:rPr>
                <w:b w:val="0"/>
                <w:i w:val="0"/>
                <w:sz w:val="20"/>
              </w:rPr>
              <w:t>2029</w:t>
            </w:r>
          </w:p>
        </w:tc>
        <w:tc>
          <w:tcPr>
            <w:tcW w:type="dxa" w:w="2493"/>
          </w:tcPr>
          <w:p>
            <w:pPr>
              <w:spacing w:after="0" w:line="240" w:lineRule="auto"/>
              <w:ind w:firstLine="0"/>
              <w:jc w:val="center"/>
            </w:pPr>
            <w:r>
              <w:rPr>
                <w:b w:val="0"/>
                <w:i w:val="0"/>
                <w:sz w:val="20"/>
              </w:rPr>
              <w:t>TRL 3–4</w:t>
            </w:r>
          </w:p>
        </w:tc>
        <w:tc>
          <w:tcPr>
            <w:tcW w:type="dxa" w:w="2493"/>
          </w:tcPr>
          <w:p>
            <w:pPr>
              <w:spacing w:after="0" w:line="240" w:lineRule="auto"/>
              <w:ind w:firstLine="0"/>
              <w:jc w:val="center"/>
            </w:pPr>
            <w:r>
              <w:rPr>
                <w:b w:val="0"/>
                <w:i w:val="0"/>
                <w:sz w:val="20"/>
              </w:rPr>
              <w:t>ограничение магнитов 1–1,5 тыс. т</w:t>
            </w:r>
          </w:p>
        </w:tc>
      </w:tr>
      <w:tr>
        <w:tc>
          <w:tcPr>
            <w:tcW w:type="dxa" w:w="2493"/>
          </w:tcPr>
          <w:p>
            <w:pPr>
              <w:spacing w:after="0" w:line="240" w:lineRule="auto"/>
              <w:ind w:firstLine="0"/>
              <w:jc w:val="left"/>
            </w:pPr>
            <w:r>
              <w:rPr>
                <w:b w:val="0"/>
                <w:i w:val="0"/>
                <w:sz w:val="20"/>
              </w:rPr>
              <w:t>Разделение тяжёлой группы</w:t>
            </w:r>
          </w:p>
        </w:tc>
        <w:tc>
          <w:tcPr>
            <w:tcW w:type="dxa" w:w="2493"/>
          </w:tcPr>
          <w:p>
            <w:pPr>
              <w:spacing w:after="0" w:line="240" w:lineRule="auto"/>
              <w:ind w:firstLine="0"/>
              <w:jc w:val="center"/>
            </w:pPr>
            <w:r>
              <w:rPr>
                <w:b w:val="0"/>
                <w:i w:val="0"/>
                <w:sz w:val="20"/>
              </w:rPr>
              <w:t>2029–2030</w:t>
            </w:r>
          </w:p>
        </w:tc>
        <w:tc>
          <w:tcPr>
            <w:tcW w:type="dxa" w:w="2493"/>
          </w:tcPr>
          <w:p>
            <w:pPr>
              <w:spacing w:after="0" w:line="240" w:lineRule="auto"/>
              <w:ind w:firstLine="0"/>
              <w:jc w:val="center"/>
            </w:pPr>
            <w:r>
              <w:rPr>
                <w:b w:val="0"/>
                <w:i w:val="0"/>
                <w:sz w:val="20"/>
              </w:rPr>
              <w:t>TRL 5–6</w:t>
            </w:r>
          </w:p>
        </w:tc>
        <w:tc>
          <w:tcPr>
            <w:tcW w:type="dxa" w:w="2493"/>
          </w:tcPr>
          <w:p>
            <w:pPr>
              <w:spacing w:after="0" w:line="240" w:lineRule="auto"/>
              <w:ind w:firstLine="0"/>
              <w:jc w:val="center"/>
            </w:pPr>
            <w:r>
              <w:rPr>
                <w:b w:val="0"/>
                <w:i w:val="0"/>
                <w:sz w:val="20"/>
              </w:rPr>
              <w:t>зависимость от импорта Dy, Tb</w:t>
            </w:r>
          </w:p>
        </w:tc>
      </w:tr>
      <w:tr>
        <w:tc>
          <w:tcPr>
            <w:tcW w:type="dxa" w:w="2493"/>
          </w:tcPr>
          <w:p>
            <w:pPr>
              <w:spacing w:after="0" w:line="240" w:lineRule="auto"/>
              <w:ind w:firstLine="0"/>
              <w:jc w:val="left"/>
            </w:pPr>
            <w:r>
              <w:rPr>
                <w:b w:val="0"/>
                <w:i w:val="0"/>
                <w:sz w:val="20"/>
              </w:rPr>
              <w:t>Промышленная схема по фосфогипсу</w:t>
            </w:r>
          </w:p>
        </w:tc>
        <w:tc>
          <w:tcPr>
            <w:tcW w:type="dxa" w:w="2493"/>
          </w:tcPr>
          <w:p>
            <w:pPr>
              <w:spacing w:after="0" w:line="240" w:lineRule="auto"/>
              <w:ind w:firstLine="0"/>
              <w:jc w:val="center"/>
            </w:pPr>
            <w:r>
              <w:rPr>
                <w:b w:val="0"/>
                <w:i w:val="0"/>
                <w:sz w:val="20"/>
              </w:rPr>
              <w:t>2027–2028</w:t>
            </w:r>
          </w:p>
        </w:tc>
        <w:tc>
          <w:tcPr>
            <w:tcW w:type="dxa" w:w="2493"/>
          </w:tcPr>
          <w:p>
            <w:pPr>
              <w:spacing w:after="0" w:line="240" w:lineRule="auto"/>
              <w:ind w:firstLine="0"/>
              <w:jc w:val="center"/>
            </w:pPr>
            <w:r>
              <w:rPr>
                <w:b w:val="0"/>
                <w:i w:val="0"/>
                <w:sz w:val="20"/>
              </w:rPr>
              <w:t>TRL 6–7</w:t>
            </w:r>
          </w:p>
        </w:tc>
        <w:tc>
          <w:tcPr>
            <w:tcW w:type="dxa" w:w="2493"/>
          </w:tcPr>
          <w:p>
            <w:pPr>
              <w:spacing w:after="0" w:line="240" w:lineRule="auto"/>
              <w:ind w:firstLine="0"/>
              <w:jc w:val="center"/>
            </w:pPr>
            <w:r>
              <w:rPr>
                <w:b w:val="0"/>
                <w:i w:val="0"/>
                <w:sz w:val="20"/>
              </w:rPr>
              <w:t>потеря 3–5 тыс. т TREO</w:t>
            </w:r>
          </w:p>
        </w:tc>
      </w:tr>
      <w:tr>
        <w:tc>
          <w:tcPr>
            <w:tcW w:type="dxa" w:w="2493"/>
          </w:tcPr>
          <w:p>
            <w:pPr>
              <w:spacing w:after="0" w:line="240" w:lineRule="auto"/>
              <w:ind w:firstLine="0"/>
              <w:jc w:val="left"/>
            </w:pPr>
            <w:r>
              <w:rPr>
                <w:b w:val="0"/>
                <w:i w:val="0"/>
                <w:sz w:val="20"/>
              </w:rPr>
              <w:t>Механизм ценовой защиты</w:t>
            </w:r>
          </w:p>
        </w:tc>
        <w:tc>
          <w:tcPr>
            <w:tcW w:type="dxa" w:w="2493"/>
          </w:tcPr>
          <w:p>
            <w:pPr>
              <w:spacing w:after="0" w:line="240" w:lineRule="auto"/>
              <w:ind w:firstLine="0"/>
              <w:jc w:val="center"/>
            </w:pPr>
            <w:r>
              <w:rPr>
                <w:b w:val="0"/>
                <w:i w:val="0"/>
                <w:sz w:val="20"/>
              </w:rPr>
              <w:t>2026–2027</w:t>
            </w:r>
          </w:p>
        </w:tc>
        <w:tc>
          <w:tcPr>
            <w:tcW w:type="dxa" w:w="2493"/>
          </w:tcPr>
          <w:p>
            <w:pPr>
              <w:spacing w:after="0" w:line="240" w:lineRule="auto"/>
              <w:ind w:firstLine="0"/>
              <w:jc w:val="center"/>
            </w:pPr>
            <w:r>
              <w:rPr>
                <w:b w:val="0"/>
                <w:i w:val="0"/>
                <w:sz w:val="20"/>
              </w:rPr>
              <w:t>отсутствует</w:t>
            </w:r>
          </w:p>
        </w:tc>
        <w:tc>
          <w:tcPr>
            <w:tcW w:type="dxa" w:w="2493"/>
          </w:tcPr>
          <w:p>
            <w:pPr>
              <w:spacing w:after="0" w:line="240" w:lineRule="auto"/>
              <w:ind w:firstLine="0"/>
              <w:jc w:val="center"/>
            </w:pPr>
            <w:r>
              <w:rPr>
                <w:b w:val="0"/>
                <w:i w:val="0"/>
                <w:sz w:val="20"/>
              </w:rPr>
              <w:t>нерентабельность проектов</w:t>
            </w:r>
          </w:p>
        </w:tc>
      </w:tr>
      <w:tr>
        <w:tc>
          <w:tcPr>
            <w:tcW w:type="dxa" w:w="2493"/>
          </w:tcPr>
          <w:p>
            <w:pPr>
              <w:spacing w:after="0" w:line="240" w:lineRule="auto"/>
              <w:ind w:firstLine="0"/>
              <w:jc w:val="left"/>
            </w:pPr>
            <w:r>
              <w:rPr>
                <w:b w:val="0"/>
                <w:i w:val="0"/>
                <w:sz w:val="20"/>
              </w:rPr>
              <w:t>Формирование внутреннего спроса на магниты</w:t>
            </w:r>
          </w:p>
        </w:tc>
        <w:tc>
          <w:tcPr>
            <w:tcW w:type="dxa" w:w="2493"/>
          </w:tcPr>
          <w:p>
            <w:pPr>
              <w:spacing w:after="0" w:line="240" w:lineRule="auto"/>
              <w:ind w:firstLine="0"/>
              <w:jc w:val="center"/>
            </w:pPr>
            <w:r>
              <w:rPr>
                <w:b w:val="0"/>
                <w:i w:val="0"/>
                <w:sz w:val="20"/>
              </w:rPr>
              <w:t>2027–2030</w:t>
            </w:r>
          </w:p>
        </w:tc>
        <w:tc>
          <w:tcPr>
            <w:tcW w:type="dxa" w:w="2493"/>
          </w:tcPr>
          <w:p>
            <w:pPr>
              <w:spacing w:after="0" w:line="240" w:lineRule="auto"/>
              <w:ind w:firstLine="0"/>
              <w:jc w:val="center"/>
            </w:pPr>
            <w:r>
              <w:rPr>
                <w:b w:val="0"/>
                <w:i w:val="0"/>
                <w:sz w:val="20"/>
              </w:rPr>
              <w:t>частично</w:t>
            </w:r>
          </w:p>
        </w:tc>
        <w:tc>
          <w:tcPr>
            <w:tcW w:type="dxa" w:w="2493"/>
          </w:tcPr>
          <w:p>
            <w:pPr>
              <w:spacing w:after="0" w:line="240" w:lineRule="auto"/>
              <w:ind w:firstLine="0"/>
              <w:jc w:val="center"/>
            </w:pPr>
            <w:r>
              <w:rPr>
                <w:b w:val="0"/>
                <w:i w:val="0"/>
                <w:sz w:val="20"/>
              </w:rPr>
              <w:t>отсутствие сбыта</w:t>
            </w:r>
          </w:p>
        </w:tc>
      </w:tr>
      <w:tr>
        <w:tc>
          <w:tcPr>
            <w:tcW w:type="dxa" w:w="2493"/>
          </w:tcPr>
          <w:p>
            <w:pPr>
              <w:spacing w:after="0" w:line="240" w:lineRule="auto"/>
              <w:ind w:firstLine="0"/>
              <w:jc w:val="left"/>
            </w:pPr>
            <w:r>
              <w:rPr>
                <w:b w:val="0"/>
                <w:i w:val="0"/>
                <w:sz w:val="20"/>
              </w:rPr>
              <w:t>Решение по сбыту церия и лантана</w:t>
            </w:r>
          </w:p>
        </w:tc>
        <w:tc>
          <w:tcPr>
            <w:tcW w:type="dxa" w:w="2493"/>
          </w:tcPr>
          <w:p>
            <w:pPr>
              <w:spacing w:after="0" w:line="240" w:lineRule="auto"/>
              <w:ind w:firstLine="0"/>
              <w:jc w:val="center"/>
            </w:pPr>
            <w:r>
              <w:rPr>
                <w:b w:val="0"/>
                <w:i w:val="0"/>
                <w:sz w:val="20"/>
              </w:rPr>
              <w:t>2028–2030</w:t>
            </w:r>
          </w:p>
        </w:tc>
        <w:tc>
          <w:tcPr>
            <w:tcW w:type="dxa" w:w="2493"/>
          </w:tcPr>
          <w:p>
            <w:pPr>
              <w:spacing w:after="0" w:line="240" w:lineRule="auto"/>
              <w:ind w:firstLine="0"/>
              <w:jc w:val="center"/>
            </w:pPr>
            <w:r>
              <w:rPr>
                <w:b w:val="0"/>
                <w:i w:val="0"/>
                <w:sz w:val="20"/>
              </w:rPr>
              <w:t>не проработано</w:t>
            </w:r>
          </w:p>
        </w:tc>
        <w:tc>
          <w:tcPr>
            <w:tcW w:type="dxa" w:w="2493"/>
          </w:tcPr>
          <w:p>
            <w:pPr>
              <w:spacing w:after="0" w:line="240" w:lineRule="auto"/>
              <w:ind w:firstLine="0"/>
              <w:jc w:val="center"/>
            </w:pPr>
            <w:r>
              <w:rPr>
                <w:b w:val="0"/>
                <w:i w:val="0"/>
                <w:sz w:val="20"/>
              </w:rPr>
              <w:t>накопление неликвидов</w:t>
            </w:r>
          </w:p>
        </w:tc>
      </w:tr>
      <w:tr>
        <w:tc>
          <w:tcPr>
            <w:tcW w:type="dxa" w:w="2493"/>
          </w:tcPr>
          <w:p>
            <w:pPr>
              <w:spacing w:after="0" w:line="240" w:lineRule="auto"/>
              <w:ind w:firstLine="0"/>
              <w:jc w:val="left"/>
            </w:pPr>
            <w:r>
              <w:rPr>
                <w:b w:val="0"/>
                <w:i w:val="0"/>
                <w:sz w:val="20"/>
              </w:rPr>
              <w:t>Кадровое обеспечение</w:t>
            </w:r>
          </w:p>
        </w:tc>
        <w:tc>
          <w:tcPr>
            <w:tcW w:type="dxa" w:w="2493"/>
          </w:tcPr>
          <w:p>
            <w:pPr>
              <w:spacing w:after="0" w:line="240" w:lineRule="auto"/>
              <w:ind w:firstLine="0"/>
              <w:jc w:val="center"/>
            </w:pPr>
            <w:r>
              <w:rPr>
                <w:b w:val="0"/>
                <w:i w:val="0"/>
                <w:sz w:val="20"/>
              </w:rPr>
              <w:t>2026–2030</w:t>
            </w:r>
          </w:p>
        </w:tc>
        <w:tc>
          <w:tcPr>
            <w:tcW w:type="dxa" w:w="2493"/>
          </w:tcPr>
          <w:p>
            <w:pPr>
              <w:spacing w:after="0" w:line="240" w:lineRule="auto"/>
              <w:ind w:firstLine="0"/>
              <w:jc w:val="center"/>
            </w:pPr>
            <w:r>
              <w:rPr>
                <w:b w:val="0"/>
                <w:i w:val="0"/>
                <w:sz w:val="20"/>
              </w:rPr>
              <w:t>дефицит</w:t>
            </w:r>
          </w:p>
        </w:tc>
        <w:tc>
          <w:tcPr>
            <w:tcW w:type="dxa" w:w="2493"/>
          </w:tcPr>
          <w:p>
            <w:pPr>
              <w:spacing w:after="0" w:line="240" w:lineRule="auto"/>
              <w:ind w:firstLine="0"/>
              <w:jc w:val="center"/>
            </w:pPr>
            <w:r>
              <w:rPr>
                <w:b w:val="0"/>
                <w:i w:val="0"/>
                <w:sz w:val="20"/>
              </w:rPr>
              <w:t>срыв сроков пуска</w:t>
            </w:r>
          </w:p>
        </w:tc>
      </w:tr>
      <w:tr>
        <w:tc>
          <w:tcPr>
            <w:tcW w:type="dxa" w:w="2493"/>
          </w:tcPr>
          <w:p>
            <w:pPr>
              <w:spacing w:after="0" w:line="240" w:lineRule="auto"/>
              <w:ind w:firstLine="0"/>
              <w:jc w:val="left"/>
            </w:pPr>
            <w:r>
              <w:rPr>
                <w:b w:val="0"/>
                <w:i w:val="0"/>
                <w:sz w:val="20"/>
              </w:rPr>
              <w:t>Доступ к технологическому оборудованию</w:t>
            </w:r>
          </w:p>
        </w:tc>
        <w:tc>
          <w:tcPr>
            <w:tcW w:type="dxa" w:w="2493"/>
          </w:tcPr>
          <w:p>
            <w:pPr>
              <w:spacing w:after="0" w:line="240" w:lineRule="auto"/>
              <w:ind w:firstLine="0"/>
              <w:jc w:val="center"/>
            </w:pPr>
            <w:r>
              <w:rPr>
                <w:b w:val="0"/>
                <w:i w:val="0"/>
                <w:sz w:val="20"/>
              </w:rPr>
              <w:t>постоянно</w:t>
            </w:r>
          </w:p>
        </w:tc>
        <w:tc>
          <w:tcPr>
            <w:tcW w:type="dxa" w:w="2493"/>
          </w:tcPr>
          <w:p>
            <w:pPr>
              <w:spacing w:after="0" w:line="240" w:lineRule="auto"/>
              <w:ind w:firstLine="0"/>
              <w:jc w:val="center"/>
            </w:pPr>
            <w:r>
              <w:rPr>
                <w:b w:val="0"/>
                <w:i w:val="0"/>
                <w:sz w:val="20"/>
              </w:rPr>
              <w:t>ограничен</w:t>
            </w:r>
          </w:p>
        </w:tc>
        <w:tc>
          <w:tcPr>
            <w:tcW w:type="dxa" w:w="2493"/>
          </w:tcPr>
          <w:p>
            <w:pPr>
              <w:spacing w:after="0" w:line="240" w:lineRule="auto"/>
              <w:ind w:firstLine="0"/>
              <w:jc w:val="center"/>
            </w:pPr>
            <w:r>
              <w:rPr>
                <w:b w:val="0"/>
                <w:i w:val="0"/>
                <w:sz w:val="20"/>
              </w:rPr>
              <w:t>удорожание, сдвиг сроков</w:t>
            </w:r>
          </w:p>
        </w:tc>
      </w:tr>
      <w:tr>
        <w:tc>
          <w:tcPr>
            <w:tcW w:type="dxa" w:w="2493"/>
          </w:tcPr>
          <w:p>
            <w:pPr>
              <w:spacing w:after="0" w:line="240" w:lineRule="auto"/>
              <w:ind w:firstLine="0"/>
              <w:jc w:val="left"/>
            </w:pPr>
            <w:r>
              <w:rPr>
                <w:b w:val="0"/>
                <w:i w:val="0"/>
                <w:sz w:val="20"/>
              </w:rPr>
              <w:t>Транспортная схема Томтора</w:t>
            </w:r>
          </w:p>
        </w:tc>
        <w:tc>
          <w:tcPr>
            <w:tcW w:type="dxa" w:w="2493"/>
          </w:tcPr>
          <w:p>
            <w:pPr>
              <w:spacing w:after="0" w:line="240" w:lineRule="auto"/>
              <w:ind w:firstLine="0"/>
              <w:jc w:val="center"/>
            </w:pPr>
            <w:r>
              <w:rPr>
                <w:b w:val="0"/>
                <w:i w:val="0"/>
                <w:sz w:val="20"/>
              </w:rPr>
              <w:t>2027–2029</w:t>
            </w:r>
          </w:p>
        </w:tc>
        <w:tc>
          <w:tcPr>
            <w:tcW w:type="dxa" w:w="2493"/>
          </w:tcPr>
          <w:p>
            <w:pPr>
              <w:spacing w:after="0" w:line="240" w:lineRule="auto"/>
              <w:ind w:firstLine="0"/>
              <w:jc w:val="center"/>
            </w:pPr>
            <w:r>
              <w:rPr>
                <w:b w:val="0"/>
                <w:i w:val="0"/>
                <w:sz w:val="20"/>
              </w:rPr>
              <w:t>не утверждена</w:t>
            </w:r>
          </w:p>
        </w:tc>
        <w:tc>
          <w:tcPr>
            <w:tcW w:type="dxa" w:w="2493"/>
          </w:tcPr>
          <w:p>
            <w:pPr>
              <w:spacing w:after="0" w:line="240" w:lineRule="auto"/>
              <w:ind w:firstLine="0"/>
              <w:jc w:val="center"/>
            </w:pPr>
            <w:r>
              <w:rPr>
                <w:b w:val="0"/>
                <w:i w:val="0"/>
                <w:sz w:val="20"/>
              </w:rPr>
              <w:t>невозможность вывоза</w:t>
            </w:r>
          </w:p>
        </w:tc>
      </w:tr>
      <w:tr>
        <w:tc>
          <w:tcPr>
            <w:tcW w:type="dxa" w:w="2493"/>
          </w:tcPr>
          <w:p>
            <w:pPr>
              <w:spacing w:after="0" w:line="240" w:lineRule="auto"/>
              <w:ind w:firstLine="0"/>
              <w:jc w:val="left"/>
            </w:pPr>
            <w:r>
              <w:rPr>
                <w:b w:val="0"/>
                <w:i w:val="0"/>
                <w:sz w:val="20"/>
              </w:rPr>
              <w:t>Обращение с торием</w:t>
            </w:r>
          </w:p>
        </w:tc>
        <w:tc>
          <w:tcPr>
            <w:tcW w:type="dxa" w:w="2493"/>
          </w:tcPr>
          <w:p>
            <w:pPr>
              <w:spacing w:after="0" w:line="240" w:lineRule="auto"/>
              <w:ind w:firstLine="0"/>
              <w:jc w:val="center"/>
            </w:pPr>
            <w:r>
              <w:rPr>
                <w:b w:val="0"/>
                <w:i w:val="0"/>
                <w:sz w:val="20"/>
              </w:rPr>
              <w:t>2028–2030</w:t>
            </w:r>
          </w:p>
        </w:tc>
        <w:tc>
          <w:tcPr>
            <w:tcW w:type="dxa" w:w="2493"/>
          </w:tcPr>
          <w:p>
            <w:pPr>
              <w:spacing w:after="0" w:line="240" w:lineRule="auto"/>
              <w:ind w:firstLine="0"/>
              <w:jc w:val="center"/>
            </w:pPr>
            <w:r>
              <w:rPr>
                <w:b w:val="0"/>
                <w:i w:val="0"/>
                <w:sz w:val="20"/>
              </w:rPr>
              <w:t>не решено</w:t>
            </w:r>
          </w:p>
        </w:tc>
        <w:tc>
          <w:tcPr>
            <w:tcW w:type="dxa" w:w="2493"/>
          </w:tcPr>
          <w:p>
            <w:pPr>
              <w:spacing w:after="0" w:line="240" w:lineRule="auto"/>
              <w:ind w:firstLine="0"/>
              <w:jc w:val="center"/>
            </w:pPr>
            <w:r>
              <w:rPr>
                <w:b w:val="0"/>
                <w:i w:val="0"/>
                <w:sz w:val="20"/>
              </w:rPr>
              <w:t>остановка проектов</w:t>
            </w:r>
          </w:p>
        </w:tc>
      </w:tr>
    </w:tbl>
    <w:p>
      <w:pPr>
        <w:spacing w:after="180"/>
        <w:ind w:firstLine="0"/>
      </w:pPr>
      <w:r>
        <w:rPr>
          <w:i/>
          <w:sz w:val="20"/>
        </w:rPr>
        <w:t>Источник: оценка аналитического центра</w:t>
      </w:r>
    </w:p>
    <w:p>
      <w:pPr>
        <w:keepNext/>
        <w:spacing w:before="160" w:after="60"/>
        <w:ind w:firstLine="0"/>
        <w:jc w:val="left"/>
      </w:pPr>
      <w:r>
        <w:rPr>
          <w:b/>
          <w:sz w:val="22"/>
        </w:rPr>
        <w:t>Рисунок 87. Оценка выполнимости критических условий развития отрасли, % готовности</w:t>
      </w:r>
    </w:p>
    <w:p>
      <w:pPr>
        <w:ind w:firstLine="0"/>
        <w:jc w:val="center"/>
      </w:pPr>
      <w:r>
        <w:drawing>
          <wp:inline xmlns:a="http://schemas.openxmlformats.org/drawingml/2006/main" xmlns:pic="http://schemas.openxmlformats.org/drawingml/2006/picture">
            <wp:extent cx="5580000" cy="2767615"/>
            <wp:docPr id="87" name="Picture 87"/>
            <wp:cNvGraphicFramePr>
              <a:graphicFrameLocks noChangeAspect="1"/>
            </wp:cNvGraphicFramePr>
            <a:graphic>
              <a:graphicData uri="http://schemas.openxmlformats.org/drawingml/2006/picture">
                <pic:pic>
                  <pic:nvPicPr>
                    <pic:cNvPr id="0" name="fig87.png"/>
                    <pic:cNvPicPr/>
                  </pic:nvPicPr>
                  <pic:blipFill>
                    <a:blip r:embed="rId97"/>
                    <a:stretch>
                      <a:fillRect/>
                    </a:stretch>
                  </pic:blipFill>
                  <pic:spPr>
                    <a:xfrm>
                      <a:off x="0" y="0"/>
                      <a:ext cx="5580000" cy="2767615"/>
                    </a:xfrm>
                    <a:prstGeom prst="rect"/>
                  </pic:spPr>
                </pic:pic>
              </a:graphicData>
            </a:graphic>
          </wp:inline>
        </w:drawing>
      </w:r>
    </w:p>
    <w:p>
      <w:pPr>
        <w:spacing w:after="180"/>
        <w:ind w:firstLine="0"/>
      </w:pPr>
      <w:r>
        <w:rPr>
          <w:i/>
          <w:sz w:val="20"/>
        </w:rPr>
        <w:t>Источник: оценка аналитического центра (табл. 118)</w:t>
      </w:r>
    </w:p>
    <w:p>
      <w:pPr>
        <w:pStyle w:val="Heading2"/>
      </w:pPr>
      <w:r>
        <w:rPr>
          <w:b w:val="0"/>
          <w:i w:val="0"/>
        </w:rPr>
        <w:t>16.7. Итоговая оценка перспектив</w:t>
      </w:r>
    </w:p>
    <w:p>
      <w:r>
        <w:rPr>
          <w:b w:val="0"/>
          <w:i w:val="0"/>
        </w:rPr>
        <w:t>Проведённый анализ позволяет сформулировать следующую итоговую оценку.</w:t>
      </w:r>
    </w:p>
    <w:p>
      <w:r>
        <w:rPr>
          <w:b/>
          <w:i w:val="0"/>
        </w:rPr>
        <w:t>Достижимо с высокой вероятностью (к 2030 г.):</w:t>
      </w:r>
    </w:p>
    <w:p>
      <w:pPr>
        <w:pStyle w:val="ListBullet"/>
        <w:spacing w:after="20"/>
        <w:ind w:firstLine="0"/>
      </w:pPr>
      <w:r>
        <w:rPr>
          <w:b w:val="0"/>
          <w:i w:val="0"/>
        </w:rPr>
        <w:t>увеличение производства редкоземельного сырья до 8–12 тыс. т TREO за счёт расширения Ловозёрского ГОКа, освоения фосфогипсовой технологии и запуска Африкандского проекта;</w:t>
      </w:r>
    </w:p>
    <w:p>
      <w:pPr>
        <w:pStyle w:val="ListBullet"/>
        <w:spacing w:after="20"/>
        <w:ind w:firstLine="0"/>
      </w:pPr>
      <w:r>
        <w:rPr>
          <w:b w:val="0"/>
          <w:i w:val="0"/>
        </w:rPr>
        <w:t>создание полномасштабного разделительного производства по лёгкой и средней группам мощностью 5–8 тыс. т;</w:t>
      </w:r>
    </w:p>
    <w:p>
      <w:pPr>
        <w:pStyle w:val="ListBullet"/>
        <w:spacing w:after="20"/>
        <w:ind w:firstLine="0"/>
      </w:pPr>
      <w:r>
        <w:rPr>
          <w:b w:val="0"/>
          <w:i w:val="0"/>
        </w:rPr>
        <w:t>достижение самообеспеченности по неодиму и празеодиму;</w:t>
      </w:r>
    </w:p>
    <w:p>
      <w:pPr>
        <w:pStyle w:val="ListBullet"/>
        <w:spacing w:after="20"/>
        <w:ind w:firstLine="0"/>
      </w:pPr>
      <w:r>
        <w:rPr>
          <w:b w:val="0"/>
          <w:i w:val="0"/>
        </w:rPr>
        <w:t>создание производства магнитов мощностью 1–3 тыс. т в год классов N/M/H.</w:t>
      </w:r>
    </w:p>
    <w:p>
      <w:r>
        <w:rPr>
          <w:b/>
          <w:i w:val="0"/>
        </w:rPr>
        <w:t>Достижимо при выполнении дополнительных условий (к 2033–2035 гг.):</w:t>
      </w:r>
    </w:p>
    <w:p>
      <w:pPr>
        <w:pStyle w:val="ListBullet"/>
        <w:spacing w:after="20"/>
        <w:ind w:firstLine="0"/>
      </w:pPr>
      <w:r>
        <w:rPr>
          <w:b w:val="0"/>
          <w:i w:val="0"/>
        </w:rPr>
        <w:t>освоение Томторского месторождения и выход на 25–35 тыс. т TREO;</w:t>
      </w:r>
    </w:p>
    <w:p>
      <w:pPr>
        <w:pStyle w:val="ListBullet"/>
        <w:spacing w:after="20"/>
        <w:ind w:firstLine="0"/>
      </w:pPr>
      <w:r>
        <w:rPr>
          <w:b w:val="0"/>
          <w:i w:val="0"/>
        </w:rPr>
        <w:t>освоение разделения тяжёлой группы и достижение самообеспеченности по диспрозию и тербию;</w:t>
      </w:r>
    </w:p>
    <w:p>
      <w:pPr>
        <w:pStyle w:val="ListBullet"/>
        <w:spacing w:after="20"/>
        <w:ind w:firstLine="0"/>
      </w:pPr>
      <w:r>
        <w:rPr>
          <w:b w:val="0"/>
          <w:i w:val="0"/>
        </w:rPr>
        <w:t>производство магнитов высокотемпературных классов в объёме 5–9 тыс. т;</w:t>
      </w:r>
    </w:p>
    <w:p>
      <w:pPr>
        <w:pStyle w:val="ListBullet"/>
        <w:spacing w:after="20"/>
        <w:ind w:firstLine="0"/>
      </w:pPr>
      <w:r>
        <w:rPr>
          <w:b w:val="0"/>
          <w:i w:val="0"/>
        </w:rPr>
        <w:t>формирование экспортной позиции на рынках Азии и Ближнего Востока.</w:t>
      </w:r>
    </w:p>
    <w:p>
      <w:r>
        <w:rPr>
          <w:b/>
          <w:i w:val="0"/>
        </w:rPr>
        <w:t>Маловероятно в рассматриваемом горизонте:</w:t>
      </w:r>
    </w:p>
    <w:p>
      <w:pPr>
        <w:pStyle w:val="ListBullet"/>
        <w:spacing w:after="20"/>
        <w:ind w:firstLine="0"/>
      </w:pPr>
      <w:r>
        <w:rPr>
          <w:b w:val="0"/>
          <w:i w:val="0"/>
        </w:rPr>
        <w:t>достижение доли 10–12% мирового производства (для этого требуется 45–55 тыс. т TREO при прогнозируемом мировом объёме, что превышает даже оптимистический сценарий);</w:t>
      </w:r>
    </w:p>
    <w:p>
      <w:pPr>
        <w:pStyle w:val="ListBullet"/>
        <w:spacing w:after="20"/>
        <w:ind w:firstLine="0"/>
      </w:pPr>
      <w:r>
        <w:rPr>
          <w:b w:val="0"/>
          <w:i w:val="0"/>
        </w:rPr>
        <w:t>полное вытеснение импорта постоянных магнитов;</w:t>
      </w:r>
    </w:p>
    <w:p>
      <w:pPr>
        <w:pStyle w:val="ListBullet"/>
        <w:spacing w:after="20"/>
        <w:ind w:firstLine="0"/>
      </w:pPr>
      <w:r>
        <w:rPr>
          <w:b w:val="0"/>
          <w:i w:val="0"/>
        </w:rPr>
        <w:t>формирование конкурентоспособных позиций на рынках лёгких редких земель без механизмов ценовой защиты.</w:t>
      </w:r>
    </w:p>
    <w:p>
      <w:r>
        <w:rPr>
          <w:b/>
          <w:i w:val="0"/>
        </w:rPr>
        <w:t>Ключевая рекомендация</w:t>
      </w:r>
      <w:r>
        <w:rPr>
          <w:b w:val="0"/>
          <w:i w:val="0"/>
        </w:rPr>
        <w:t>, следующая из анализа: приоритетом программы должно быть не наращивание физических объёмов сырья, а форсированное закрытие технологического разрыва на конечных переделах — прежде всего в части технологии зернограничной диффузии и разделения тяжёлой группы. Производство 5 тыс. т TREO с полным переделом до магнитов создаёт большую добавленную стоимость, обеспечивает большую технологическую независимость и несёт меньшие рыночные риски, чем производство 20 тыс. т сырья без переделов. Смещение акцента программы в эту сторону представляется наиболее содержательным выводом настоящего исследования применительно к российской ситуации.</w:t>
      </w:r>
    </w:p>
    <w:p>
      <w:pPr>
        <w:keepNext/>
        <w:spacing w:before="160" w:after="60"/>
        <w:ind w:firstLine="0"/>
        <w:jc w:val="left"/>
      </w:pPr>
      <w:r>
        <w:rPr>
          <w:b/>
          <w:sz w:val="22"/>
        </w:rPr>
        <w:t>Таблица 119. Сводный прогноз ключевых показателей редкоземельной отрасли РФ до 2035 г.</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Показатель</w:t>
            </w:r>
          </w:p>
        </w:tc>
        <w:tc>
          <w:tcPr>
            <w:tcW w:type="dxa" w:w="1662"/>
            <w:shd w:val="clear" w:fill="DCE6F1"/>
          </w:tcPr>
          <w:p>
            <w:pPr>
              <w:spacing w:after="0" w:line="240" w:lineRule="auto"/>
              <w:ind w:firstLine="0"/>
              <w:jc w:val="center"/>
            </w:pPr>
            <w:r>
              <w:rPr>
                <w:b/>
                <w:i w:val="0"/>
                <w:sz w:val="20"/>
              </w:rPr>
              <w:t>2025</w:t>
            </w:r>
          </w:p>
        </w:tc>
        <w:tc>
          <w:tcPr>
            <w:tcW w:type="dxa" w:w="1662"/>
            <w:shd w:val="clear" w:fill="DCE6F1"/>
          </w:tcPr>
          <w:p>
            <w:pPr>
              <w:spacing w:after="0" w:line="240" w:lineRule="auto"/>
              <w:ind w:firstLine="0"/>
              <w:jc w:val="center"/>
            </w:pPr>
            <w:r>
              <w:rPr>
                <w:b/>
                <w:i w:val="0"/>
                <w:sz w:val="20"/>
              </w:rPr>
              <w:t>2027</w:t>
            </w:r>
          </w:p>
        </w:tc>
        <w:tc>
          <w:tcPr>
            <w:tcW w:type="dxa" w:w="1662"/>
            <w:shd w:val="clear" w:fill="DCE6F1"/>
          </w:tcPr>
          <w:p>
            <w:pPr>
              <w:spacing w:after="0" w:line="240" w:lineRule="auto"/>
              <w:ind w:firstLine="0"/>
              <w:jc w:val="center"/>
            </w:pPr>
            <w:r>
              <w:rPr>
                <w:b/>
                <w:i w:val="0"/>
                <w:sz w:val="20"/>
              </w:rPr>
              <w:t>2030</w:t>
            </w:r>
          </w:p>
        </w:tc>
        <w:tc>
          <w:tcPr>
            <w:tcW w:type="dxa" w:w="1662"/>
            <w:shd w:val="clear" w:fill="DCE6F1"/>
          </w:tcPr>
          <w:p>
            <w:pPr>
              <w:spacing w:after="0" w:line="240" w:lineRule="auto"/>
              <w:ind w:firstLine="0"/>
              <w:jc w:val="center"/>
            </w:pPr>
            <w:r>
              <w:rPr>
                <w:b/>
                <w:i w:val="0"/>
                <w:sz w:val="20"/>
              </w:rPr>
              <w:t>2033</w:t>
            </w:r>
          </w:p>
        </w:tc>
        <w:tc>
          <w:tcPr>
            <w:tcW w:type="dxa" w:w="1662"/>
            <w:shd w:val="clear" w:fill="DCE6F1"/>
          </w:tcPr>
          <w:p>
            <w:pPr>
              <w:spacing w:after="0" w:line="240" w:lineRule="auto"/>
              <w:ind w:firstLine="0"/>
              <w:jc w:val="center"/>
            </w:pPr>
            <w:r>
              <w:rPr>
                <w:b/>
                <w:i w:val="0"/>
                <w:sz w:val="20"/>
              </w:rPr>
              <w:t>2035</w:t>
            </w:r>
          </w:p>
        </w:tc>
      </w:tr>
      <w:tr>
        <w:tc>
          <w:tcPr>
            <w:tcW w:type="dxa" w:w="1662"/>
          </w:tcPr>
          <w:p>
            <w:pPr>
              <w:spacing w:after="0" w:line="240" w:lineRule="auto"/>
              <w:ind w:firstLine="0"/>
              <w:jc w:val="left"/>
            </w:pPr>
            <w:r>
              <w:rPr>
                <w:b w:val="0"/>
                <w:i w:val="0"/>
                <w:sz w:val="20"/>
              </w:rPr>
              <w:t>Производство TREO, тыс. т</w:t>
            </w:r>
          </w:p>
        </w:tc>
        <w:tc>
          <w:tcPr>
            <w:tcW w:type="dxa" w:w="1662"/>
          </w:tcPr>
          <w:p>
            <w:pPr>
              <w:spacing w:after="0" w:line="240" w:lineRule="auto"/>
              <w:ind w:firstLine="0"/>
              <w:jc w:val="center"/>
            </w:pPr>
            <w:r>
              <w:rPr>
                <w:b w:val="0"/>
                <w:i w:val="0"/>
                <w:sz w:val="20"/>
              </w:rPr>
              <w:t>2,7</w:t>
            </w:r>
          </w:p>
        </w:tc>
        <w:tc>
          <w:tcPr>
            <w:tcW w:type="dxa" w:w="1662"/>
          </w:tcPr>
          <w:p>
            <w:pPr>
              <w:spacing w:after="0" w:line="240" w:lineRule="auto"/>
              <w:ind w:firstLine="0"/>
              <w:jc w:val="center"/>
            </w:pPr>
            <w:r>
              <w:rPr>
                <w:b w:val="0"/>
                <w:i w:val="0"/>
                <w:sz w:val="20"/>
              </w:rPr>
              <w:t>4,2</w:t>
            </w:r>
          </w:p>
        </w:tc>
        <w:tc>
          <w:tcPr>
            <w:tcW w:type="dxa" w:w="1662"/>
          </w:tcPr>
          <w:p>
            <w:pPr>
              <w:spacing w:after="0" w:line="240" w:lineRule="auto"/>
              <w:ind w:firstLine="0"/>
              <w:jc w:val="center"/>
            </w:pPr>
            <w:r>
              <w:rPr>
                <w:b w:val="0"/>
                <w:i w:val="0"/>
                <w:sz w:val="20"/>
              </w:rPr>
              <w:t>12,2</w:t>
            </w:r>
          </w:p>
        </w:tc>
        <w:tc>
          <w:tcPr>
            <w:tcW w:type="dxa" w:w="1662"/>
          </w:tcPr>
          <w:p>
            <w:pPr>
              <w:spacing w:after="0" w:line="240" w:lineRule="auto"/>
              <w:ind w:firstLine="0"/>
              <w:jc w:val="center"/>
            </w:pPr>
            <w:r>
              <w:rPr>
                <w:b w:val="0"/>
                <w:i w:val="0"/>
                <w:sz w:val="20"/>
              </w:rPr>
              <w:t>27,1</w:t>
            </w:r>
          </w:p>
        </w:tc>
        <w:tc>
          <w:tcPr>
            <w:tcW w:type="dxa" w:w="1662"/>
          </w:tcPr>
          <w:p>
            <w:pPr>
              <w:spacing w:after="0" w:line="240" w:lineRule="auto"/>
              <w:ind w:firstLine="0"/>
              <w:jc w:val="center"/>
            </w:pPr>
            <w:r>
              <w:rPr>
                <w:b w:val="0"/>
                <w:i w:val="0"/>
                <w:sz w:val="20"/>
              </w:rPr>
              <w:t>36,0</w:t>
            </w:r>
          </w:p>
        </w:tc>
      </w:tr>
      <w:tr>
        <w:tc>
          <w:tcPr>
            <w:tcW w:type="dxa" w:w="1662"/>
          </w:tcPr>
          <w:p>
            <w:pPr>
              <w:spacing w:after="0" w:line="240" w:lineRule="auto"/>
              <w:ind w:firstLine="0"/>
              <w:jc w:val="left"/>
            </w:pPr>
            <w:r>
              <w:rPr>
                <w:b w:val="0"/>
                <w:i w:val="0"/>
                <w:sz w:val="20"/>
              </w:rPr>
              <w:t>Доля в мировом производстве, %</w:t>
            </w:r>
          </w:p>
        </w:tc>
        <w:tc>
          <w:tcPr>
            <w:tcW w:type="dxa" w:w="1662"/>
          </w:tcPr>
          <w:p>
            <w:pPr>
              <w:spacing w:after="0" w:line="240" w:lineRule="auto"/>
              <w:ind w:firstLine="0"/>
              <w:jc w:val="center"/>
            </w:pPr>
            <w:r>
              <w:rPr>
                <w:b w:val="0"/>
                <w:i w:val="0"/>
                <w:sz w:val="20"/>
              </w:rPr>
              <w:t>0,6</w:t>
            </w:r>
          </w:p>
        </w:tc>
        <w:tc>
          <w:tcPr>
            <w:tcW w:type="dxa" w:w="1662"/>
          </w:tcPr>
          <w:p>
            <w:pPr>
              <w:spacing w:after="0" w:line="240" w:lineRule="auto"/>
              <w:ind w:firstLine="0"/>
              <w:jc w:val="center"/>
            </w:pPr>
            <w:r>
              <w:rPr>
                <w:b w:val="0"/>
                <w:i w:val="0"/>
                <w:sz w:val="20"/>
              </w:rPr>
              <w:t>0,9</w:t>
            </w:r>
          </w:p>
        </w:tc>
        <w:tc>
          <w:tcPr>
            <w:tcW w:type="dxa" w:w="1662"/>
          </w:tcPr>
          <w:p>
            <w:pPr>
              <w:spacing w:after="0" w:line="240" w:lineRule="auto"/>
              <w:ind w:firstLine="0"/>
              <w:jc w:val="center"/>
            </w:pPr>
            <w:r>
              <w:rPr>
                <w:b w:val="0"/>
                <w:i w:val="0"/>
                <w:sz w:val="20"/>
              </w:rPr>
              <w:t>2,0</w:t>
            </w:r>
          </w:p>
        </w:tc>
        <w:tc>
          <w:tcPr>
            <w:tcW w:type="dxa" w:w="1662"/>
          </w:tcPr>
          <w:p>
            <w:pPr>
              <w:spacing w:after="0" w:line="240" w:lineRule="auto"/>
              <w:ind w:firstLine="0"/>
              <w:jc w:val="center"/>
            </w:pPr>
            <w:r>
              <w:rPr>
                <w:b w:val="0"/>
                <w:i w:val="0"/>
                <w:sz w:val="20"/>
              </w:rPr>
              <w:t>3,9</w:t>
            </w:r>
          </w:p>
        </w:tc>
        <w:tc>
          <w:tcPr>
            <w:tcW w:type="dxa" w:w="1662"/>
          </w:tcPr>
          <w:p>
            <w:pPr>
              <w:spacing w:after="0" w:line="240" w:lineRule="auto"/>
              <w:ind w:firstLine="0"/>
              <w:jc w:val="center"/>
            </w:pPr>
            <w:r>
              <w:rPr>
                <w:b w:val="0"/>
                <w:i w:val="0"/>
                <w:sz w:val="20"/>
              </w:rPr>
              <w:t>4,8</w:t>
            </w:r>
          </w:p>
        </w:tc>
      </w:tr>
      <w:tr>
        <w:tc>
          <w:tcPr>
            <w:tcW w:type="dxa" w:w="1662"/>
          </w:tcPr>
          <w:p>
            <w:pPr>
              <w:spacing w:after="0" w:line="240" w:lineRule="auto"/>
              <w:ind w:firstLine="0"/>
              <w:jc w:val="left"/>
            </w:pPr>
            <w:r>
              <w:rPr>
                <w:b w:val="0"/>
                <w:i w:val="0"/>
                <w:sz w:val="20"/>
              </w:rPr>
              <w:t>Разделённая продукция, т</w:t>
            </w:r>
          </w:p>
        </w:tc>
        <w:tc>
          <w:tcPr>
            <w:tcW w:type="dxa" w:w="1662"/>
          </w:tcPr>
          <w:p>
            <w:pPr>
              <w:spacing w:after="0" w:line="240" w:lineRule="auto"/>
              <w:ind w:firstLine="0"/>
              <w:jc w:val="center"/>
            </w:pPr>
            <w:r>
              <w:rPr>
                <w:b w:val="0"/>
                <w:i w:val="0"/>
                <w:sz w:val="20"/>
              </w:rPr>
              <w:t>450</w:t>
            </w:r>
          </w:p>
        </w:tc>
        <w:tc>
          <w:tcPr>
            <w:tcW w:type="dxa" w:w="1662"/>
          </w:tcPr>
          <w:p>
            <w:pPr>
              <w:spacing w:after="0" w:line="240" w:lineRule="auto"/>
              <w:ind w:firstLine="0"/>
              <w:jc w:val="center"/>
            </w:pPr>
            <w:r>
              <w:rPr>
                <w:b w:val="0"/>
                <w:i w:val="0"/>
                <w:sz w:val="20"/>
              </w:rPr>
              <w:t>1 400</w:t>
            </w:r>
          </w:p>
        </w:tc>
        <w:tc>
          <w:tcPr>
            <w:tcW w:type="dxa" w:w="1662"/>
          </w:tcPr>
          <w:p>
            <w:pPr>
              <w:spacing w:after="0" w:line="240" w:lineRule="auto"/>
              <w:ind w:firstLine="0"/>
              <w:jc w:val="center"/>
            </w:pPr>
            <w:r>
              <w:rPr>
                <w:b w:val="0"/>
                <w:i w:val="0"/>
                <w:sz w:val="20"/>
              </w:rPr>
              <w:t>7 950</w:t>
            </w:r>
          </w:p>
        </w:tc>
        <w:tc>
          <w:tcPr>
            <w:tcW w:type="dxa" w:w="1662"/>
          </w:tcPr>
          <w:p>
            <w:pPr>
              <w:spacing w:after="0" w:line="240" w:lineRule="auto"/>
              <w:ind w:firstLine="0"/>
              <w:jc w:val="center"/>
            </w:pPr>
            <w:r>
              <w:rPr>
                <w:b w:val="0"/>
                <w:i w:val="0"/>
                <w:sz w:val="20"/>
              </w:rPr>
              <w:t>21 100</w:t>
            </w:r>
          </w:p>
        </w:tc>
        <w:tc>
          <w:tcPr>
            <w:tcW w:type="dxa" w:w="1662"/>
          </w:tcPr>
          <w:p>
            <w:pPr>
              <w:spacing w:after="0" w:line="240" w:lineRule="auto"/>
              <w:ind w:firstLine="0"/>
              <w:jc w:val="center"/>
            </w:pPr>
            <w:r>
              <w:rPr>
                <w:b w:val="0"/>
                <w:i w:val="0"/>
                <w:sz w:val="20"/>
              </w:rPr>
              <w:t>29 000</w:t>
            </w:r>
          </w:p>
        </w:tc>
      </w:tr>
      <w:tr>
        <w:tc>
          <w:tcPr>
            <w:tcW w:type="dxa" w:w="1662"/>
          </w:tcPr>
          <w:p>
            <w:pPr>
              <w:spacing w:after="0" w:line="240" w:lineRule="auto"/>
              <w:ind w:firstLine="0"/>
              <w:jc w:val="left"/>
            </w:pPr>
            <w:r>
              <w:rPr>
                <w:b w:val="0"/>
                <w:i w:val="0"/>
                <w:sz w:val="20"/>
              </w:rPr>
              <w:t>Производство магнитов, т</w:t>
            </w:r>
          </w:p>
        </w:tc>
        <w:tc>
          <w:tcPr>
            <w:tcW w:type="dxa" w:w="1662"/>
          </w:tcPr>
          <w:p>
            <w:pPr>
              <w:spacing w:after="0" w:line="240" w:lineRule="auto"/>
              <w:ind w:firstLine="0"/>
              <w:jc w:val="center"/>
            </w:pPr>
            <w:r>
              <w:rPr>
                <w:b w:val="0"/>
                <w:i w:val="0"/>
                <w:sz w:val="20"/>
              </w:rPr>
              <w:t>60</w:t>
            </w:r>
          </w:p>
        </w:tc>
        <w:tc>
          <w:tcPr>
            <w:tcW w:type="dxa" w:w="1662"/>
          </w:tcPr>
          <w:p>
            <w:pPr>
              <w:spacing w:after="0" w:line="240" w:lineRule="auto"/>
              <w:ind w:firstLine="0"/>
              <w:jc w:val="center"/>
            </w:pPr>
            <w:r>
              <w:rPr>
                <w:b w:val="0"/>
                <w:i w:val="0"/>
                <w:sz w:val="20"/>
              </w:rPr>
              <w:t>600</w:t>
            </w:r>
          </w:p>
        </w:tc>
        <w:tc>
          <w:tcPr>
            <w:tcW w:type="dxa" w:w="1662"/>
          </w:tcPr>
          <w:p>
            <w:pPr>
              <w:spacing w:after="0" w:line="240" w:lineRule="auto"/>
              <w:ind w:firstLine="0"/>
              <w:jc w:val="center"/>
            </w:pPr>
            <w:r>
              <w:rPr>
                <w:b w:val="0"/>
                <w:i w:val="0"/>
                <w:sz w:val="20"/>
              </w:rPr>
              <w:t>3 000</w:t>
            </w:r>
          </w:p>
        </w:tc>
        <w:tc>
          <w:tcPr>
            <w:tcW w:type="dxa" w:w="1662"/>
          </w:tcPr>
          <w:p>
            <w:pPr>
              <w:spacing w:after="0" w:line="240" w:lineRule="auto"/>
              <w:ind w:firstLine="0"/>
              <w:jc w:val="center"/>
            </w:pPr>
            <w:r>
              <w:rPr>
                <w:b w:val="0"/>
                <w:i w:val="0"/>
                <w:sz w:val="20"/>
              </w:rPr>
              <w:t>6 500</w:t>
            </w:r>
          </w:p>
        </w:tc>
        <w:tc>
          <w:tcPr>
            <w:tcW w:type="dxa" w:w="1662"/>
          </w:tcPr>
          <w:p>
            <w:pPr>
              <w:spacing w:after="0" w:line="240" w:lineRule="auto"/>
              <w:ind w:firstLine="0"/>
              <w:jc w:val="center"/>
            </w:pPr>
            <w:r>
              <w:rPr>
                <w:b w:val="0"/>
                <w:i w:val="0"/>
                <w:sz w:val="20"/>
              </w:rPr>
              <w:t>9 000</w:t>
            </w:r>
          </w:p>
        </w:tc>
      </w:tr>
      <w:tr>
        <w:tc>
          <w:tcPr>
            <w:tcW w:type="dxa" w:w="1662"/>
          </w:tcPr>
          <w:p>
            <w:pPr>
              <w:spacing w:after="0" w:line="240" w:lineRule="auto"/>
              <w:ind w:firstLine="0"/>
              <w:jc w:val="left"/>
            </w:pPr>
            <w:r>
              <w:rPr>
                <w:b w:val="0"/>
                <w:i w:val="0"/>
                <w:sz w:val="20"/>
              </w:rPr>
              <w:t>Внутреннее потребление, т TREO</w:t>
            </w:r>
          </w:p>
        </w:tc>
        <w:tc>
          <w:tcPr>
            <w:tcW w:type="dxa" w:w="1662"/>
          </w:tcPr>
          <w:p>
            <w:pPr>
              <w:spacing w:after="0" w:line="240" w:lineRule="auto"/>
              <w:ind w:firstLine="0"/>
              <w:jc w:val="center"/>
            </w:pPr>
            <w:r>
              <w:rPr>
                <w:b w:val="0"/>
                <w:i w:val="0"/>
                <w:sz w:val="20"/>
              </w:rPr>
              <w:t>3 080</w:t>
            </w:r>
          </w:p>
        </w:tc>
        <w:tc>
          <w:tcPr>
            <w:tcW w:type="dxa" w:w="1662"/>
          </w:tcPr>
          <w:p>
            <w:pPr>
              <w:spacing w:after="0" w:line="240" w:lineRule="auto"/>
              <w:ind w:firstLine="0"/>
              <w:jc w:val="center"/>
            </w:pPr>
            <w:r>
              <w:rPr>
                <w:b w:val="0"/>
                <w:i w:val="0"/>
                <w:sz w:val="20"/>
              </w:rPr>
              <w:t>3 920</w:t>
            </w:r>
          </w:p>
        </w:tc>
        <w:tc>
          <w:tcPr>
            <w:tcW w:type="dxa" w:w="1662"/>
          </w:tcPr>
          <w:p>
            <w:pPr>
              <w:spacing w:after="0" w:line="240" w:lineRule="auto"/>
              <w:ind w:firstLine="0"/>
              <w:jc w:val="center"/>
            </w:pPr>
            <w:r>
              <w:rPr>
                <w:b w:val="0"/>
                <w:i w:val="0"/>
                <w:sz w:val="20"/>
              </w:rPr>
              <w:t>4 640</w:t>
            </w:r>
          </w:p>
        </w:tc>
        <w:tc>
          <w:tcPr>
            <w:tcW w:type="dxa" w:w="1662"/>
          </w:tcPr>
          <w:p>
            <w:pPr>
              <w:spacing w:after="0" w:line="240" w:lineRule="auto"/>
              <w:ind w:firstLine="0"/>
              <w:jc w:val="center"/>
            </w:pPr>
            <w:r>
              <w:rPr>
                <w:b w:val="0"/>
                <w:i w:val="0"/>
                <w:sz w:val="20"/>
              </w:rPr>
              <w:t>5 690</w:t>
            </w:r>
          </w:p>
        </w:tc>
        <w:tc>
          <w:tcPr>
            <w:tcW w:type="dxa" w:w="1662"/>
          </w:tcPr>
          <w:p>
            <w:pPr>
              <w:spacing w:after="0" w:line="240" w:lineRule="auto"/>
              <w:ind w:firstLine="0"/>
              <w:jc w:val="center"/>
            </w:pPr>
            <w:r>
              <w:rPr>
                <w:b w:val="0"/>
                <w:i w:val="0"/>
                <w:sz w:val="20"/>
              </w:rPr>
              <w:t>6 315</w:t>
            </w:r>
          </w:p>
        </w:tc>
      </w:tr>
      <w:tr>
        <w:tc>
          <w:tcPr>
            <w:tcW w:type="dxa" w:w="1662"/>
          </w:tcPr>
          <w:p>
            <w:pPr>
              <w:spacing w:after="0" w:line="240" w:lineRule="auto"/>
              <w:ind w:firstLine="0"/>
              <w:jc w:val="left"/>
            </w:pPr>
            <w:r>
              <w:rPr>
                <w:b w:val="0"/>
                <w:i w:val="0"/>
                <w:sz w:val="20"/>
              </w:rPr>
              <w:t>Самообеспеченность по NdPr, %</w:t>
            </w:r>
          </w:p>
        </w:tc>
        <w:tc>
          <w:tcPr>
            <w:tcW w:type="dxa" w:w="1662"/>
          </w:tcPr>
          <w:p>
            <w:pPr>
              <w:spacing w:after="0" w:line="240" w:lineRule="auto"/>
              <w:ind w:firstLine="0"/>
              <w:jc w:val="center"/>
            </w:pPr>
            <w:r>
              <w:rPr>
                <w:b w:val="0"/>
                <w:i w:val="0"/>
                <w:sz w:val="20"/>
              </w:rPr>
              <w:t>35</w:t>
            </w:r>
          </w:p>
        </w:tc>
        <w:tc>
          <w:tcPr>
            <w:tcW w:type="dxa" w:w="1662"/>
          </w:tcPr>
          <w:p>
            <w:pPr>
              <w:spacing w:after="0" w:line="240" w:lineRule="auto"/>
              <w:ind w:firstLine="0"/>
              <w:jc w:val="center"/>
            </w:pPr>
            <w:r>
              <w:rPr>
                <w:b w:val="0"/>
                <w:i w:val="0"/>
                <w:sz w:val="20"/>
              </w:rPr>
              <w:t>52</w:t>
            </w:r>
          </w:p>
        </w:tc>
        <w:tc>
          <w:tcPr>
            <w:tcW w:type="dxa" w:w="1662"/>
          </w:tcPr>
          <w:p>
            <w:pPr>
              <w:spacing w:after="0" w:line="240" w:lineRule="auto"/>
              <w:ind w:firstLine="0"/>
              <w:jc w:val="center"/>
            </w:pPr>
            <w:r>
              <w:rPr>
                <w:b w:val="0"/>
                <w:i w:val="0"/>
                <w:sz w:val="20"/>
              </w:rPr>
              <w:t>140</w:t>
            </w:r>
          </w:p>
        </w:tc>
        <w:tc>
          <w:tcPr>
            <w:tcW w:type="dxa" w:w="1662"/>
          </w:tcPr>
          <w:p>
            <w:pPr>
              <w:spacing w:after="0" w:line="240" w:lineRule="auto"/>
              <w:ind w:firstLine="0"/>
              <w:jc w:val="center"/>
            </w:pPr>
            <w:r>
              <w:rPr>
                <w:b w:val="0"/>
                <w:i w:val="0"/>
                <w:sz w:val="20"/>
              </w:rPr>
              <w:t>209</w:t>
            </w:r>
          </w:p>
        </w:tc>
        <w:tc>
          <w:tcPr>
            <w:tcW w:type="dxa" w:w="1662"/>
          </w:tcPr>
          <w:p>
            <w:pPr>
              <w:spacing w:after="0" w:line="240" w:lineRule="auto"/>
              <w:ind w:firstLine="0"/>
              <w:jc w:val="center"/>
            </w:pPr>
            <w:r>
              <w:rPr>
                <w:b w:val="0"/>
                <w:i w:val="0"/>
                <w:sz w:val="20"/>
              </w:rPr>
              <w:t>233</w:t>
            </w:r>
          </w:p>
        </w:tc>
      </w:tr>
      <w:tr>
        <w:tc>
          <w:tcPr>
            <w:tcW w:type="dxa" w:w="1662"/>
          </w:tcPr>
          <w:p>
            <w:pPr>
              <w:spacing w:after="0" w:line="240" w:lineRule="auto"/>
              <w:ind w:firstLine="0"/>
              <w:jc w:val="left"/>
            </w:pPr>
            <w:r>
              <w:rPr>
                <w:b w:val="0"/>
                <w:i w:val="0"/>
                <w:sz w:val="20"/>
              </w:rPr>
              <w:t>Самообеспеченность по Dy, Tb, %</w:t>
            </w:r>
          </w:p>
        </w:tc>
        <w:tc>
          <w:tcPr>
            <w:tcW w:type="dxa" w:w="1662"/>
          </w:tcPr>
          <w:p>
            <w:pPr>
              <w:spacing w:after="0" w:line="240" w:lineRule="auto"/>
              <w:ind w:firstLine="0"/>
              <w:jc w:val="center"/>
            </w:pPr>
            <w:r>
              <w:rPr>
                <w:b w:val="0"/>
                <w:i w:val="0"/>
                <w:sz w:val="20"/>
              </w:rPr>
              <w:t>0</w:t>
            </w:r>
          </w:p>
        </w:tc>
        <w:tc>
          <w:tcPr>
            <w:tcW w:type="dxa" w:w="1662"/>
          </w:tcPr>
          <w:p>
            <w:pPr>
              <w:spacing w:after="0" w:line="240" w:lineRule="auto"/>
              <w:ind w:firstLine="0"/>
              <w:jc w:val="center"/>
            </w:pPr>
            <w:r>
              <w:rPr>
                <w:b w:val="0"/>
                <w:i w:val="0"/>
                <w:sz w:val="20"/>
              </w:rPr>
              <w:t>0</w:t>
            </w:r>
          </w:p>
        </w:tc>
        <w:tc>
          <w:tcPr>
            <w:tcW w:type="dxa" w:w="1662"/>
          </w:tcPr>
          <w:p>
            <w:pPr>
              <w:spacing w:after="0" w:line="240" w:lineRule="auto"/>
              <w:ind w:firstLine="0"/>
              <w:jc w:val="center"/>
            </w:pPr>
            <w:r>
              <w:rPr>
                <w:b w:val="0"/>
                <w:i w:val="0"/>
                <w:sz w:val="20"/>
              </w:rPr>
              <w:t>56</w:t>
            </w:r>
          </w:p>
        </w:tc>
        <w:tc>
          <w:tcPr>
            <w:tcW w:type="dxa" w:w="1662"/>
          </w:tcPr>
          <w:p>
            <w:pPr>
              <w:spacing w:after="0" w:line="240" w:lineRule="auto"/>
              <w:ind w:firstLine="0"/>
              <w:jc w:val="center"/>
            </w:pPr>
            <w:r>
              <w:rPr>
                <w:b w:val="0"/>
                <w:i w:val="0"/>
                <w:sz w:val="20"/>
              </w:rPr>
              <w:t>99</w:t>
            </w:r>
          </w:p>
        </w:tc>
        <w:tc>
          <w:tcPr>
            <w:tcW w:type="dxa" w:w="1662"/>
          </w:tcPr>
          <w:p>
            <w:pPr>
              <w:spacing w:after="0" w:line="240" w:lineRule="auto"/>
              <w:ind w:firstLine="0"/>
              <w:jc w:val="center"/>
            </w:pPr>
            <w:r>
              <w:rPr>
                <w:b w:val="0"/>
                <w:i w:val="0"/>
                <w:sz w:val="20"/>
              </w:rPr>
              <w:t>110</w:t>
            </w:r>
          </w:p>
        </w:tc>
      </w:tr>
      <w:tr>
        <w:tc>
          <w:tcPr>
            <w:tcW w:type="dxa" w:w="1662"/>
          </w:tcPr>
          <w:p>
            <w:pPr>
              <w:spacing w:after="0" w:line="240" w:lineRule="auto"/>
              <w:ind w:firstLine="0"/>
              <w:jc w:val="left"/>
            </w:pPr>
            <w:r>
              <w:rPr>
                <w:b w:val="0"/>
                <w:i w:val="0"/>
                <w:sz w:val="20"/>
              </w:rPr>
              <w:t>Импортозависимость по магнитам, %</w:t>
            </w:r>
          </w:p>
        </w:tc>
        <w:tc>
          <w:tcPr>
            <w:tcW w:type="dxa" w:w="1662"/>
          </w:tcPr>
          <w:p>
            <w:pPr>
              <w:spacing w:after="0" w:line="240" w:lineRule="auto"/>
              <w:ind w:firstLine="0"/>
              <w:jc w:val="center"/>
            </w:pPr>
            <w:r>
              <w:rPr>
                <w:b w:val="0"/>
                <w:i w:val="0"/>
                <w:sz w:val="20"/>
              </w:rPr>
              <w:t>99</w:t>
            </w:r>
          </w:p>
        </w:tc>
        <w:tc>
          <w:tcPr>
            <w:tcW w:type="dxa" w:w="1662"/>
          </w:tcPr>
          <w:p>
            <w:pPr>
              <w:spacing w:after="0" w:line="240" w:lineRule="auto"/>
              <w:ind w:firstLine="0"/>
              <w:jc w:val="center"/>
            </w:pPr>
            <w:r>
              <w:rPr>
                <w:b w:val="0"/>
                <w:i w:val="0"/>
                <w:sz w:val="20"/>
              </w:rPr>
              <w:t>74</w:t>
            </w:r>
          </w:p>
        </w:tc>
        <w:tc>
          <w:tcPr>
            <w:tcW w:type="dxa" w:w="1662"/>
          </w:tcPr>
          <w:p>
            <w:pPr>
              <w:spacing w:after="0" w:line="240" w:lineRule="auto"/>
              <w:ind w:firstLine="0"/>
              <w:jc w:val="center"/>
            </w:pPr>
            <w:r>
              <w:rPr>
                <w:b w:val="0"/>
                <w:i w:val="0"/>
                <w:sz w:val="20"/>
              </w:rPr>
              <w:t>44</w:t>
            </w:r>
          </w:p>
        </w:tc>
        <w:tc>
          <w:tcPr>
            <w:tcW w:type="dxa" w:w="1662"/>
          </w:tcPr>
          <w:p>
            <w:pPr>
              <w:spacing w:after="0" w:line="240" w:lineRule="auto"/>
              <w:ind w:firstLine="0"/>
              <w:jc w:val="center"/>
            </w:pPr>
            <w:r>
              <w:rPr>
                <w:b w:val="0"/>
                <w:i w:val="0"/>
                <w:sz w:val="20"/>
              </w:rPr>
              <w:t>18</w:t>
            </w:r>
          </w:p>
        </w:tc>
        <w:tc>
          <w:tcPr>
            <w:tcW w:type="dxa" w:w="1662"/>
          </w:tcPr>
          <w:p>
            <w:pPr>
              <w:spacing w:after="0" w:line="240" w:lineRule="auto"/>
              <w:ind w:firstLine="0"/>
              <w:jc w:val="center"/>
            </w:pPr>
            <w:r>
              <w:rPr>
                <w:b w:val="0"/>
                <w:i w:val="0"/>
                <w:sz w:val="20"/>
              </w:rPr>
              <w:t>8</w:t>
            </w:r>
          </w:p>
        </w:tc>
      </w:tr>
      <w:tr>
        <w:tc>
          <w:tcPr>
            <w:tcW w:type="dxa" w:w="1662"/>
          </w:tcPr>
          <w:p>
            <w:pPr>
              <w:spacing w:after="0" w:line="240" w:lineRule="auto"/>
              <w:ind w:firstLine="0"/>
              <w:jc w:val="left"/>
            </w:pPr>
            <w:r>
              <w:rPr>
                <w:b w:val="0"/>
                <w:i w:val="0"/>
                <w:sz w:val="20"/>
              </w:rPr>
              <w:t>Объём рынка, млрд руб.</w:t>
            </w:r>
          </w:p>
        </w:tc>
        <w:tc>
          <w:tcPr>
            <w:tcW w:type="dxa" w:w="1662"/>
          </w:tcPr>
          <w:p>
            <w:pPr>
              <w:spacing w:after="0" w:line="240" w:lineRule="auto"/>
              <w:ind w:firstLine="0"/>
              <w:jc w:val="center"/>
            </w:pPr>
            <w:r>
              <w:rPr>
                <w:b w:val="0"/>
                <w:i w:val="0"/>
                <w:sz w:val="20"/>
              </w:rPr>
              <w:t>14,5</w:t>
            </w:r>
          </w:p>
        </w:tc>
        <w:tc>
          <w:tcPr>
            <w:tcW w:type="dxa" w:w="1662"/>
          </w:tcPr>
          <w:p>
            <w:pPr>
              <w:spacing w:after="0" w:line="240" w:lineRule="auto"/>
              <w:ind w:firstLine="0"/>
              <w:jc w:val="center"/>
            </w:pPr>
            <w:r>
              <w:rPr>
                <w:b w:val="0"/>
                <w:i w:val="0"/>
                <w:sz w:val="20"/>
              </w:rPr>
              <w:t>27,0</w:t>
            </w:r>
          </w:p>
        </w:tc>
        <w:tc>
          <w:tcPr>
            <w:tcW w:type="dxa" w:w="1662"/>
          </w:tcPr>
          <w:p>
            <w:pPr>
              <w:spacing w:after="0" w:line="240" w:lineRule="auto"/>
              <w:ind w:firstLine="0"/>
              <w:jc w:val="center"/>
            </w:pPr>
            <w:r>
              <w:rPr>
                <w:b w:val="0"/>
                <w:i w:val="0"/>
                <w:sz w:val="20"/>
              </w:rPr>
              <w:t>96,0</w:t>
            </w:r>
          </w:p>
        </w:tc>
        <w:tc>
          <w:tcPr>
            <w:tcW w:type="dxa" w:w="1662"/>
          </w:tcPr>
          <w:p>
            <w:pPr>
              <w:spacing w:after="0" w:line="240" w:lineRule="auto"/>
              <w:ind w:firstLine="0"/>
              <w:jc w:val="center"/>
            </w:pPr>
            <w:r>
              <w:rPr>
                <w:b w:val="0"/>
                <w:i w:val="0"/>
                <w:sz w:val="20"/>
              </w:rPr>
              <w:t>285,0</w:t>
            </w:r>
          </w:p>
        </w:tc>
        <w:tc>
          <w:tcPr>
            <w:tcW w:type="dxa" w:w="1662"/>
          </w:tcPr>
          <w:p>
            <w:pPr>
              <w:spacing w:after="0" w:line="240" w:lineRule="auto"/>
              <w:ind w:firstLine="0"/>
              <w:jc w:val="center"/>
            </w:pPr>
            <w:r>
              <w:rPr>
                <w:b w:val="0"/>
                <w:i w:val="0"/>
                <w:sz w:val="20"/>
              </w:rPr>
              <w:t>420,0</w:t>
            </w:r>
          </w:p>
        </w:tc>
      </w:tr>
    </w:tbl>
    <w:p>
      <w:pPr>
        <w:spacing w:after="180"/>
        <w:ind w:firstLine="0"/>
      </w:pPr>
      <w:r>
        <w:rPr>
          <w:i/>
          <w:sz w:val="20"/>
        </w:rPr>
        <w:t>Источник: прогноз аналитического центра (базовый сценарий)</w:t>
      </w:r>
    </w:p>
    <w:p>
      <w:r>
        <w:br w:type="page"/>
      </w:r>
    </w:p>
    <w:p>
      <w:pPr>
        <w:pStyle w:val="Heading1"/>
      </w:pPr>
      <w:r>
        <w:rPr>
          <w:b w:val="0"/>
          <w:i w:val="0"/>
        </w:rPr>
        <w:t>17. Инвестиционный анализ, риски и стратегические выводы</w:t>
      </w:r>
    </w:p>
    <w:p>
      <w:pPr>
        <w:pStyle w:val="Heading2"/>
      </w:pPr>
      <w:r>
        <w:rPr>
          <w:b w:val="0"/>
          <w:i w:val="0"/>
        </w:rPr>
        <w:t>17.1. Капиталоёмкость редкоземельных проектов</w:t>
      </w:r>
    </w:p>
    <w:p>
      <w:r>
        <w:rPr>
          <w:b w:val="0"/>
          <w:i w:val="0"/>
        </w:rPr>
        <w:t>Редкоземельная отрасль относится к числу наиболее капиталоёмких в расчёте на единицу продукции. Удельные капитальные затраты существенно различаются по переделам и типам сырья.</w:t>
      </w:r>
    </w:p>
    <w:p>
      <w:pPr>
        <w:keepNext/>
        <w:spacing w:before="160" w:after="60"/>
        <w:ind w:firstLine="0"/>
        <w:jc w:val="left"/>
      </w:pPr>
      <w:r>
        <w:rPr>
          <w:b/>
          <w:sz w:val="22"/>
        </w:rPr>
        <w:t>Таблица 120. Удельные капитальные затраты на создание редкоземельных мощностей по переделам</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Передел</w:t>
            </w:r>
          </w:p>
        </w:tc>
        <w:tc>
          <w:tcPr>
            <w:tcW w:type="dxa" w:w="2493"/>
            <w:shd w:val="clear" w:fill="DCE6F1"/>
          </w:tcPr>
          <w:p>
            <w:pPr>
              <w:spacing w:after="0" w:line="240" w:lineRule="auto"/>
              <w:ind w:firstLine="0"/>
              <w:jc w:val="center"/>
            </w:pPr>
            <w:r>
              <w:rPr>
                <w:b/>
                <w:i w:val="0"/>
                <w:sz w:val="20"/>
              </w:rPr>
              <w:t>Уд. CAPEX, $/кг годовой мощности</w:t>
            </w:r>
          </w:p>
        </w:tc>
        <w:tc>
          <w:tcPr>
            <w:tcW w:type="dxa" w:w="2493"/>
            <w:shd w:val="clear" w:fill="DCE6F1"/>
          </w:tcPr>
          <w:p>
            <w:pPr>
              <w:spacing w:after="0" w:line="240" w:lineRule="auto"/>
              <w:ind w:firstLine="0"/>
              <w:jc w:val="center"/>
            </w:pPr>
            <w:r>
              <w:rPr>
                <w:b/>
                <w:i w:val="0"/>
                <w:sz w:val="20"/>
              </w:rPr>
              <w:t>Срок строительства, лет</w:t>
            </w:r>
          </w:p>
        </w:tc>
        <w:tc>
          <w:tcPr>
            <w:tcW w:type="dxa" w:w="2493"/>
            <w:shd w:val="clear" w:fill="DCE6F1"/>
          </w:tcPr>
          <w:p>
            <w:pPr>
              <w:spacing w:after="0" w:line="240" w:lineRule="auto"/>
              <w:ind w:firstLine="0"/>
              <w:jc w:val="center"/>
            </w:pPr>
            <w:r>
              <w:rPr>
                <w:b/>
                <w:i w:val="0"/>
                <w:sz w:val="20"/>
              </w:rPr>
              <w:t>Основные факторы стоимости</w:t>
            </w:r>
          </w:p>
        </w:tc>
      </w:tr>
      <w:tr>
        <w:tc>
          <w:tcPr>
            <w:tcW w:type="dxa" w:w="2493"/>
          </w:tcPr>
          <w:p>
            <w:pPr>
              <w:spacing w:after="0" w:line="240" w:lineRule="auto"/>
              <w:ind w:firstLine="0"/>
              <w:jc w:val="left"/>
            </w:pPr>
            <w:r>
              <w:rPr>
                <w:b w:val="0"/>
                <w:i w:val="0"/>
                <w:sz w:val="20"/>
              </w:rPr>
              <w:t>Добыча и обогащение</w:t>
            </w:r>
          </w:p>
        </w:tc>
        <w:tc>
          <w:tcPr>
            <w:tcW w:type="dxa" w:w="2493"/>
          </w:tcPr>
          <w:p>
            <w:pPr>
              <w:spacing w:after="0" w:line="240" w:lineRule="auto"/>
              <w:ind w:firstLine="0"/>
              <w:jc w:val="center"/>
            </w:pPr>
            <w:r>
              <w:rPr>
                <w:b w:val="0"/>
                <w:i w:val="0"/>
                <w:sz w:val="20"/>
              </w:rPr>
              <w:t>8–25</w:t>
            </w:r>
          </w:p>
        </w:tc>
        <w:tc>
          <w:tcPr>
            <w:tcW w:type="dxa" w:w="2493"/>
          </w:tcPr>
          <w:p>
            <w:pPr>
              <w:spacing w:after="0" w:line="240" w:lineRule="auto"/>
              <w:ind w:firstLine="0"/>
              <w:jc w:val="center"/>
            </w:pPr>
            <w:r>
              <w:rPr>
                <w:b w:val="0"/>
                <w:i w:val="0"/>
                <w:sz w:val="20"/>
              </w:rPr>
              <w:t>2–4</w:t>
            </w:r>
          </w:p>
        </w:tc>
        <w:tc>
          <w:tcPr>
            <w:tcW w:type="dxa" w:w="2493"/>
          </w:tcPr>
          <w:p>
            <w:pPr>
              <w:spacing w:after="0" w:line="240" w:lineRule="auto"/>
              <w:ind w:firstLine="0"/>
              <w:jc w:val="center"/>
            </w:pPr>
            <w:r>
              <w:rPr>
                <w:b w:val="0"/>
                <w:i w:val="0"/>
                <w:sz w:val="20"/>
              </w:rPr>
              <w:t>инфраструктура, вскрыша</w:t>
            </w:r>
          </w:p>
        </w:tc>
      </w:tr>
      <w:tr>
        <w:tc>
          <w:tcPr>
            <w:tcW w:type="dxa" w:w="2493"/>
          </w:tcPr>
          <w:p>
            <w:pPr>
              <w:spacing w:after="0" w:line="240" w:lineRule="auto"/>
              <w:ind w:firstLine="0"/>
              <w:jc w:val="left"/>
            </w:pPr>
            <w:r>
              <w:rPr>
                <w:b w:val="0"/>
                <w:i w:val="0"/>
                <w:sz w:val="20"/>
              </w:rPr>
              <w:t>Добыча в удалённых районах</w:t>
            </w:r>
          </w:p>
        </w:tc>
        <w:tc>
          <w:tcPr>
            <w:tcW w:type="dxa" w:w="2493"/>
          </w:tcPr>
          <w:p>
            <w:pPr>
              <w:spacing w:after="0" w:line="240" w:lineRule="auto"/>
              <w:ind w:firstLine="0"/>
              <w:jc w:val="center"/>
            </w:pPr>
            <w:r>
              <w:rPr>
                <w:b w:val="0"/>
                <w:i w:val="0"/>
                <w:sz w:val="20"/>
              </w:rPr>
              <w:t>35–90</w:t>
            </w:r>
          </w:p>
        </w:tc>
        <w:tc>
          <w:tcPr>
            <w:tcW w:type="dxa" w:w="2493"/>
          </w:tcPr>
          <w:p>
            <w:pPr>
              <w:spacing w:after="0" w:line="240" w:lineRule="auto"/>
              <w:ind w:firstLine="0"/>
              <w:jc w:val="center"/>
            </w:pPr>
            <w:r>
              <w:rPr>
                <w:b w:val="0"/>
                <w:i w:val="0"/>
                <w:sz w:val="20"/>
              </w:rPr>
              <w:t>4–7</w:t>
            </w:r>
          </w:p>
        </w:tc>
        <w:tc>
          <w:tcPr>
            <w:tcW w:type="dxa" w:w="2493"/>
          </w:tcPr>
          <w:p>
            <w:pPr>
              <w:spacing w:after="0" w:line="240" w:lineRule="auto"/>
              <w:ind w:firstLine="0"/>
              <w:jc w:val="center"/>
            </w:pPr>
            <w:r>
              <w:rPr>
                <w:b w:val="0"/>
                <w:i w:val="0"/>
                <w:sz w:val="20"/>
              </w:rPr>
              <w:t>логистика, энергетика, вахта</w:t>
            </w:r>
          </w:p>
        </w:tc>
      </w:tr>
      <w:tr>
        <w:tc>
          <w:tcPr>
            <w:tcW w:type="dxa" w:w="2493"/>
          </w:tcPr>
          <w:p>
            <w:pPr>
              <w:spacing w:after="0" w:line="240" w:lineRule="auto"/>
              <w:ind w:firstLine="0"/>
              <w:jc w:val="left"/>
            </w:pPr>
            <w:r>
              <w:rPr>
                <w:b w:val="0"/>
                <w:i w:val="0"/>
                <w:sz w:val="20"/>
              </w:rPr>
              <w:t>Вскрытие концентратов</w:t>
            </w:r>
          </w:p>
        </w:tc>
        <w:tc>
          <w:tcPr>
            <w:tcW w:type="dxa" w:w="2493"/>
          </w:tcPr>
          <w:p>
            <w:pPr>
              <w:spacing w:after="0" w:line="240" w:lineRule="auto"/>
              <w:ind w:firstLine="0"/>
              <w:jc w:val="center"/>
            </w:pPr>
            <w:r>
              <w:rPr>
                <w:b w:val="0"/>
                <w:i w:val="0"/>
                <w:sz w:val="20"/>
              </w:rPr>
              <w:t>12–30</w:t>
            </w:r>
          </w:p>
        </w:tc>
        <w:tc>
          <w:tcPr>
            <w:tcW w:type="dxa" w:w="2493"/>
          </w:tcPr>
          <w:p>
            <w:pPr>
              <w:spacing w:after="0" w:line="240" w:lineRule="auto"/>
              <w:ind w:firstLine="0"/>
              <w:jc w:val="center"/>
            </w:pPr>
            <w:r>
              <w:rPr>
                <w:b w:val="0"/>
                <w:i w:val="0"/>
                <w:sz w:val="20"/>
              </w:rPr>
              <w:t>2–4</w:t>
            </w:r>
          </w:p>
        </w:tc>
        <w:tc>
          <w:tcPr>
            <w:tcW w:type="dxa" w:w="2493"/>
          </w:tcPr>
          <w:p>
            <w:pPr>
              <w:spacing w:after="0" w:line="240" w:lineRule="auto"/>
              <w:ind w:firstLine="0"/>
              <w:jc w:val="center"/>
            </w:pPr>
            <w:r>
              <w:rPr>
                <w:b w:val="0"/>
                <w:i w:val="0"/>
                <w:sz w:val="20"/>
              </w:rPr>
              <w:t>автоклавы, кислотное хозяйство</w:t>
            </w:r>
          </w:p>
        </w:tc>
      </w:tr>
      <w:tr>
        <w:tc>
          <w:tcPr>
            <w:tcW w:type="dxa" w:w="2493"/>
          </w:tcPr>
          <w:p>
            <w:pPr>
              <w:spacing w:after="0" w:line="240" w:lineRule="auto"/>
              <w:ind w:firstLine="0"/>
              <w:jc w:val="left"/>
            </w:pPr>
            <w:r>
              <w:rPr>
                <w:b w:val="0"/>
                <w:i w:val="0"/>
                <w:sz w:val="20"/>
              </w:rPr>
              <w:t>Разделение (лёгкая группа)</w:t>
            </w:r>
          </w:p>
        </w:tc>
        <w:tc>
          <w:tcPr>
            <w:tcW w:type="dxa" w:w="2493"/>
          </w:tcPr>
          <w:p>
            <w:pPr>
              <w:spacing w:after="0" w:line="240" w:lineRule="auto"/>
              <w:ind w:firstLine="0"/>
              <w:jc w:val="center"/>
            </w:pPr>
            <w:r>
              <w:rPr>
                <w:b w:val="0"/>
                <w:i w:val="0"/>
                <w:sz w:val="20"/>
              </w:rPr>
              <w:t>25–55</w:t>
            </w:r>
          </w:p>
        </w:tc>
        <w:tc>
          <w:tcPr>
            <w:tcW w:type="dxa" w:w="2493"/>
          </w:tcPr>
          <w:p>
            <w:pPr>
              <w:spacing w:after="0" w:line="240" w:lineRule="auto"/>
              <w:ind w:firstLine="0"/>
              <w:jc w:val="center"/>
            </w:pPr>
            <w:r>
              <w:rPr>
                <w:b w:val="0"/>
                <w:i w:val="0"/>
                <w:sz w:val="20"/>
              </w:rPr>
              <w:t>3–5</w:t>
            </w:r>
          </w:p>
        </w:tc>
        <w:tc>
          <w:tcPr>
            <w:tcW w:type="dxa" w:w="2493"/>
          </w:tcPr>
          <w:p>
            <w:pPr>
              <w:spacing w:after="0" w:line="240" w:lineRule="auto"/>
              <w:ind w:firstLine="0"/>
              <w:jc w:val="center"/>
            </w:pPr>
            <w:r>
              <w:rPr>
                <w:b w:val="0"/>
                <w:i w:val="0"/>
                <w:sz w:val="20"/>
              </w:rPr>
              <w:t>каскады, реагентное хозяйство</w:t>
            </w:r>
          </w:p>
        </w:tc>
      </w:tr>
      <w:tr>
        <w:tc>
          <w:tcPr>
            <w:tcW w:type="dxa" w:w="2493"/>
          </w:tcPr>
          <w:p>
            <w:pPr>
              <w:spacing w:after="0" w:line="240" w:lineRule="auto"/>
              <w:ind w:firstLine="0"/>
              <w:jc w:val="left"/>
            </w:pPr>
            <w:r>
              <w:rPr>
                <w:b w:val="0"/>
                <w:i w:val="0"/>
                <w:sz w:val="20"/>
              </w:rPr>
              <w:t>Разделение (тяжёлая группа)</w:t>
            </w:r>
          </w:p>
        </w:tc>
        <w:tc>
          <w:tcPr>
            <w:tcW w:type="dxa" w:w="2493"/>
          </w:tcPr>
          <w:p>
            <w:pPr>
              <w:spacing w:after="0" w:line="240" w:lineRule="auto"/>
              <w:ind w:firstLine="0"/>
              <w:jc w:val="center"/>
            </w:pPr>
            <w:r>
              <w:rPr>
                <w:b w:val="0"/>
                <w:i w:val="0"/>
                <w:sz w:val="20"/>
              </w:rPr>
              <w:t>60–140</w:t>
            </w:r>
          </w:p>
        </w:tc>
        <w:tc>
          <w:tcPr>
            <w:tcW w:type="dxa" w:w="2493"/>
          </w:tcPr>
          <w:p>
            <w:pPr>
              <w:spacing w:after="0" w:line="240" w:lineRule="auto"/>
              <w:ind w:firstLine="0"/>
              <w:jc w:val="center"/>
            </w:pPr>
            <w:r>
              <w:rPr>
                <w:b w:val="0"/>
                <w:i w:val="0"/>
                <w:sz w:val="20"/>
              </w:rPr>
              <w:t>4–6</w:t>
            </w:r>
          </w:p>
        </w:tc>
        <w:tc>
          <w:tcPr>
            <w:tcW w:type="dxa" w:w="2493"/>
          </w:tcPr>
          <w:p>
            <w:pPr>
              <w:spacing w:after="0" w:line="240" w:lineRule="auto"/>
              <w:ind w:firstLine="0"/>
              <w:jc w:val="center"/>
            </w:pPr>
            <w:r>
              <w:rPr>
                <w:b w:val="0"/>
                <w:i w:val="0"/>
                <w:sz w:val="20"/>
              </w:rPr>
              <w:t>число ступеней, чистота</w:t>
            </w:r>
          </w:p>
        </w:tc>
      </w:tr>
      <w:tr>
        <w:tc>
          <w:tcPr>
            <w:tcW w:type="dxa" w:w="2493"/>
          </w:tcPr>
          <w:p>
            <w:pPr>
              <w:spacing w:after="0" w:line="240" w:lineRule="auto"/>
              <w:ind w:firstLine="0"/>
              <w:jc w:val="left"/>
            </w:pPr>
            <w:r>
              <w:rPr>
                <w:b w:val="0"/>
                <w:i w:val="0"/>
                <w:sz w:val="20"/>
              </w:rPr>
              <w:t>Металлургический передел</w:t>
            </w:r>
          </w:p>
        </w:tc>
        <w:tc>
          <w:tcPr>
            <w:tcW w:type="dxa" w:w="2493"/>
          </w:tcPr>
          <w:p>
            <w:pPr>
              <w:spacing w:after="0" w:line="240" w:lineRule="auto"/>
              <w:ind w:firstLine="0"/>
              <w:jc w:val="center"/>
            </w:pPr>
            <w:r>
              <w:rPr>
                <w:b w:val="0"/>
                <w:i w:val="0"/>
                <w:sz w:val="20"/>
              </w:rPr>
              <w:t>45–95</w:t>
            </w:r>
          </w:p>
        </w:tc>
        <w:tc>
          <w:tcPr>
            <w:tcW w:type="dxa" w:w="2493"/>
          </w:tcPr>
          <w:p>
            <w:pPr>
              <w:spacing w:after="0" w:line="240" w:lineRule="auto"/>
              <w:ind w:firstLine="0"/>
              <w:jc w:val="center"/>
            </w:pPr>
            <w:r>
              <w:rPr>
                <w:b w:val="0"/>
                <w:i w:val="0"/>
                <w:sz w:val="20"/>
              </w:rPr>
              <w:t>2–4</w:t>
            </w:r>
          </w:p>
        </w:tc>
        <w:tc>
          <w:tcPr>
            <w:tcW w:type="dxa" w:w="2493"/>
          </w:tcPr>
          <w:p>
            <w:pPr>
              <w:spacing w:after="0" w:line="240" w:lineRule="auto"/>
              <w:ind w:firstLine="0"/>
              <w:jc w:val="center"/>
            </w:pPr>
            <w:r>
              <w:rPr>
                <w:b w:val="0"/>
                <w:i w:val="0"/>
                <w:sz w:val="20"/>
              </w:rPr>
              <w:t>электролиз, вакуумная техника</w:t>
            </w:r>
          </w:p>
        </w:tc>
      </w:tr>
      <w:tr>
        <w:tc>
          <w:tcPr>
            <w:tcW w:type="dxa" w:w="2493"/>
          </w:tcPr>
          <w:p>
            <w:pPr>
              <w:spacing w:after="0" w:line="240" w:lineRule="auto"/>
              <w:ind w:firstLine="0"/>
              <w:jc w:val="left"/>
            </w:pPr>
            <w:r>
              <w:rPr>
                <w:b w:val="0"/>
                <w:i w:val="0"/>
                <w:sz w:val="20"/>
              </w:rPr>
              <w:t>Производство магнитов</w:t>
            </w:r>
          </w:p>
        </w:tc>
        <w:tc>
          <w:tcPr>
            <w:tcW w:type="dxa" w:w="2493"/>
          </w:tcPr>
          <w:p>
            <w:pPr>
              <w:spacing w:after="0" w:line="240" w:lineRule="auto"/>
              <w:ind w:firstLine="0"/>
              <w:jc w:val="center"/>
            </w:pPr>
            <w:r>
              <w:rPr>
                <w:b w:val="0"/>
                <w:i w:val="0"/>
                <w:sz w:val="20"/>
              </w:rPr>
              <w:t>90–180</w:t>
            </w:r>
          </w:p>
        </w:tc>
        <w:tc>
          <w:tcPr>
            <w:tcW w:type="dxa" w:w="2493"/>
          </w:tcPr>
          <w:p>
            <w:pPr>
              <w:spacing w:after="0" w:line="240" w:lineRule="auto"/>
              <w:ind w:firstLine="0"/>
              <w:jc w:val="center"/>
            </w:pPr>
            <w:r>
              <w:rPr>
                <w:b w:val="0"/>
                <w:i w:val="0"/>
                <w:sz w:val="20"/>
              </w:rPr>
              <w:t>2–4</w:t>
            </w:r>
          </w:p>
        </w:tc>
        <w:tc>
          <w:tcPr>
            <w:tcW w:type="dxa" w:w="2493"/>
          </w:tcPr>
          <w:p>
            <w:pPr>
              <w:spacing w:after="0" w:line="240" w:lineRule="auto"/>
              <w:ind w:firstLine="0"/>
              <w:jc w:val="center"/>
            </w:pPr>
            <w:r>
              <w:rPr>
                <w:b w:val="0"/>
                <w:i w:val="0"/>
                <w:sz w:val="20"/>
              </w:rPr>
              <w:t>прессы, вакуумные печи, покрытия</w:t>
            </w:r>
          </w:p>
        </w:tc>
      </w:tr>
      <w:tr>
        <w:tc>
          <w:tcPr>
            <w:tcW w:type="dxa" w:w="2493"/>
          </w:tcPr>
          <w:p>
            <w:pPr>
              <w:spacing w:after="0" w:line="240" w:lineRule="auto"/>
              <w:ind w:firstLine="0"/>
              <w:jc w:val="left"/>
            </w:pPr>
            <w:r>
              <w:rPr>
                <w:b w:val="0"/>
                <w:i w:val="0"/>
                <w:sz w:val="20"/>
              </w:rPr>
              <w:t>Рециклинг магнитов</w:t>
            </w:r>
          </w:p>
        </w:tc>
        <w:tc>
          <w:tcPr>
            <w:tcW w:type="dxa" w:w="2493"/>
          </w:tcPr>
          <w:p>
            <w:pPr>
              <w:spacing w:after="0" w:line="240" w:lineRule="auto"/>
              <w:ind w:firstLine="0"/>
              <w:jc w:val="center"/>
            </w:pPr>
            <w:r>
              <w:rPr>
                <w:b w:val="0"/>
                <w:i w:val="0"/>
                <w:sz w:val="20"/>
              </w:rPr>
              <w:t>55–110</w:t>
            </w:r>
          </w:p>
        </w:tc>
        <w:tc>
          <w:tcPr>
            <w:tcW w:type="dxa" w:w="2493"/>
          </w:tcPr>
          <w:p>
            <w:pPr>
              <w:spacing w:after="0" w:line="240" w:lineRule="auto"/>
              <w:ind w:firstLine="0"/>
              <w:jc w:val="center"/>
            </w:pPr>
            <w:r>
              <w:rPr>
                <w:b w:val="0"/>
                <w:i w:val="0"/>
                <w:sz w:val="20"/>
              </w:rPr>
              <w:t>2–3</w:t>
            </w:r>
          </w:p>
        </w:tc>
        <w:tc>
          <w:tcPr>
            <w:tcW w:type="dxa" w:w="2493"/>
          </w:tcPr>
          <w:p>
            <w:pPr>
              <w:spacing w:after="0" w:line="240" w:lineRule="auto"/>
              <w:ind w:firstLine="0"/>
              <w:jc w:val="center"/>
            </w:pPr>
            <w:r>
              <w:rPr>
                <w:b w:val="0"/>
                <w:i w:val="0"/>
                <w:sz w:val="20"/>
              </w:rPr>
              <w:t>подготовка сырья, разделение</w:t>
            </w:r>
          </w:p>
        </w:tc>
      </w:tr>
    </w:tbl>
    <w:p>
      <w:pPr>
        <w:spacing w:after="180"/>
        <w:ind w:firstLine="0"/>
      </w:pPr>
      <w:r>
        <w:rPr>
          <w:i/>
          <w:sz w:val="20"/>
        </w:rPr>
        <w:t>Источник: аналитический центр по данным реализованных проектов (Lynas, MP Materials, Iluka, Arafura, Serra Verde) и проектных оценок</w:t>
      </w:r>
    </w:p>
    <w:p>
      <w:pPr>
        <w:keepNext/>
        <w:spacing w:before="160" w:after="60"/>
        <w:ind w:firstLine="0"/>
        <w:jc w:val="left"/>
      </w:pPr>
      <w:r>
        <w:rPr>
          <w:b/>
          <w:sz w:val="22"/>
        </w:rPr>
        <w:t>Рисунок 88. Удельные капитальные затраты по переделам редкоземельной цепочки, $/кг годовой мощности</w:t>
      </w:r>
    </w:p>
    <w:p>
      <w:pPr>
        <w:ind w:firstLine="0"/>
        <w:jc w:val="center"/>
      </w:pPr>
      <w:r>
        <w:drawing>
          <wp:inline xmlns:a="http://schemas.openxmlformats.org/drawingml/2006/main" xmlns:pic="http://schemas.openxmlformats.org/drawingml/2006/picture">
            <wp:extent cx="5580000" cy="2585656"/>
            <wp:docPr id="88" name="Picture 88"/>
            <wp:cNvGraphicFramePr>
              <a:graphicFrameLocks noChangeAspect="1"/>
            </wp:cNvGraphicFramePr>
            <a:graphic>
              <a:graphicData uri="http://schemas.openxmlformats.org/drawingml/2006/picture">
                <pic:pic>
                  <pic:nvPicPr>
                    <pic:cNvPr id="0" name="fig88.png"/>
                    <pic:cNvPicPr/>
                  </pic:nvPicPr>
                  <pic:blipFill>
                    <a:blip r:embed="rId98"/>
                    <a:stretch>
                      <a:fillRect/>
                    </a:stretch>
                  </pic:blipFill>
                  <pic:spPr>
                    <a:xfrm>
                      <a:off x="0" y="0"/>
                      <a:ext cx="5580000" cy="2585656"/>
                    </a:xfrm>
                    <a:prstGeom prst="rect"/>
                  </pic:spPr>
                </pic:pic>
              </a:graphicData>
            </a:graphic>
          </wp:inline>
        </w:drawing>
      </w:r>
    </w:p>
    <w:p>
      <w:pPr>
        <w:spacing w:after="180"/>
        <w:ind w:firstLine="0"/>
      </w:pPr>
      <w:r>
        <w:rPr>
          <w:i/>
          <w:sz w:val="20"/>
        </w:rPr>
        <w:t>Источник: аналитический центр (табл. 120)</w:t>
      </w:r>
    </w:p>
    <w:p>
      <w:r>
        <w:rPr>
          <w:b w:val="0"/>
          <w:i w:val="0"/>
        </w:rPr>
        <w:t>Расчёт совокупной потребности в капитале для реализации российской программы приведён в таблице 121. При достижении целевого показателя 20 тыс. т TREO с полным переделом до магнитов совокупные капитальные затраты оцениваются в 480–760 млрд руб. (5,3–8,4 млрд долл. по курсу 90 руб./долл.), что сопоставимо с объявленной государственной поддержкой отрасли в США.</w:t>
      </w:r>
    </w:p>
    <w:p>
      <w:pPr>
        <w:keepNext/>
        <w:spacing w:before="160" w:after="60"/>
        <w:ind w:firstLine="0"/>
        <w:jc w:val="left"/>
      </w:pPr>
      <w:r>
        <w:rPr>
          <w:b/>
          <w:sz w:val="22"/>
        </w:rPr>
        <w:t>Таблица 121. Оценка потребности в капитале для реализации российской редкоземельной программы, млрд руб.</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Направление</w:t>
            </w:r>
          </w:p>
        </w:tc>
        <w:tc>
          <w:tcPr>
            <w:tcW w:type="dxa" w:w="1995"/>
            <w:shd w:val="clear" w:fill="DCE6F1"/>
          </w:tcPr>
          <w:p>
            <w:pPr>
              <w:spacing w:after="0" w:line="240" w:lineRule="auto"/>
              <w:ind w:firstLine="0"/>
              <w:jc w:val="center"/>
            </w:pPr>
            <w:r>
              <w:rPr>
                <w:b/>
                <w:i w:val="0"/>
                <w:sz w:val="20"/>
              </w:rPr>
              <w:t>Мощность</w:t>
            </w:r>
          </w:p>
        </w:tc>
        <w:tc>
          <w:tcPr>
            <w:tcW w:type="dxa" w:w="1995"/>
            <w:shd w:val="clear" w:fill="DCE6F1"/>
          </w:tcPr>
          <w:p>
            <w:pPr>
              <w:spacing w:after="0" w:line="240" w:lineRule="auto"/>
              <w:ind w:firstLine="0"/>
              <w:jc w:val="center"/>
            </w:pPr>
            <w:r>
              <w:rPr>
                <w:b/>
                <w:i w:val="0"/>
                <w:sz w:val="20"/>
              </w:rPr>
              <w:t>Нижняя оценка</w:t>
            </w:r>
          </w:p>
        </w:tc>
        <w:tc>
          <w:tcPr>
            <w:tcW w:type="dxa" w:w="1995"/>
            <w:shd w:val="clear" w:fill="DCE6F1"/>
          </w:tcPr>
          <w:p>
            <w:pPr>
              <w:spacing w:after="0" w:line="240" w:lineRule="auto"/>
              <w:ind w:firstLine="0"/>
              <w:jc w:val="center"/>
            </w:pPr>
            <w:r>
              <w:rPr>
                <w:b/>
                <w:i w:val="0"/>
                <w:sz w:val="20"/>
              </w:rPr>
              <w:t>Верхняя оценка</w:t>
            </w:r>
          </w:p>
        </w:tc>
        <w:tc>
          <w:tcPr>
            <w:tcW w:type="dxa" w:w="1995"/>
            <w:shd w:val="clear" w:fill="DCE6F1"/>
          </w:tcPr>
          <w:p>
            <w:pPr>
              <w:spacing w:after="0" w:line="240" w:lineRule="auto"/>
              <w:ind w:firstLine="0"/>
              <w:jc w:val="center"/>
            </w:pPr>
            <w:r>
              <w:rPr>
                <w:b/>
                <w:i w:val="0"/>
                <w:sz w:val="20"/>
              </w:rPr>
              <w:t>Комментарий</w:t>
            </w:r>
          </w:p>
        </w:tc>
      </w:tr>
      <w:tr>
        <w:tc>
          <w:tcPr>
            <w:tcW w:type="dxa" w:w="1995"/>
          </w:tcPr>
          <w:p>
            <w:pPr>
              <w:spacing w:after="0" w:line="240" w:lineRule="auto"/>
              <w:ind w:firstLine="0"/>
              <w:jc w:val="left"/>
            </w:pPr>
            <w:r>
              <w:rPr>
                <w:b w:val="0"/>
                <w:i w:val="0"/>
                <w:sz w:val="20"/>
              </w:rPr>
              <w:t>Расширение Ловозёрского ГОКа</w:t>
            </w:r>
          </w:p>
        </w:tc>
        <w:tc>
          <w:tcPr>
            <w:tcW w:type="dxa" w:w="1995"/>
          </w:tcPr>
          <w:p>
            <w:pPr>
              <w:spacing w:after="0" w:line="240" w:lineRule="auto"/>
              <w:ind w:firstLine="0"/>
              <w:jc w:val="center"/>
            </w:pPr>
            <w:r>
              <w:rPr>
                <w:b w:val="0"/>
                <w:i w:val="0"/>
                <w:sz w:val="20"/>
              </w:rPr>
              <w:t>4,5 тыс. т TREO</w:t>
            </w:r>
          </w:p>
        </w:tc>
        <w:tc>
          <w:tcPr>
            <w:tcW w:type="dxa" w:w="1995"/>
          </w:tcPr>
          <w:p>
            <w:pPr>
              <w:spacing w:after="0" w:line="240" w:lineRule="auto"/>
              <w:ind w:firstLine="0"/>
              <w:jc w:val="center"/>
            </w:pPr>
            <w:r>
              <w:rPr>
                <w:b w:val="0"/>
                <w:i w:val="0"/>
                <w:sz w:val="20"/>
              </w:rPr>
              <w:t>18</w:t>
            </w:r>
          </w:p>
        </w:tc>
        <w:tc>
          <w:tcPr>
            <w:tcW w:type="dxa" w:w="1995"/>
          </w:tcPr>
          <w:p>
            <w:pPr>
              <w:spacing w:after="0" w:line="240" w:lineRule="auto"/>
              <w:ind w:firstLine="0"/>
              <w:jc w:val="center"/>
            </w:pPr>
            <w:r>
              <w:rPr>
                <w:b w:val="0"/>
                <w:i w:val="0"/>
                <w:sz w:val="20"/>
              </w:rPr>
              <w:t>28</w:t>
            </w:r>
          </w:p>
        </w:tc>
        <w:tc>
          <w:tcPr>
            <w:tcW w:type="dxa" w:w="1995"/>
          </w:tcPr>
          <w:p>
            <w:pPr>
              <w:spacing w:after="0" w:line="240" w:lineRule="auto"/>
              <w:ind w:firstLine="0"/>
              <w:jc w:val="center"/>
            </w:pPr>
            <w:r>
              <w:rPr>
                <w:b w:val="0"/>
                <w:i w:val="0"/>
                <w:sz w:val="20"/>
              </w:rPr>
              <w:t>вкл. рудник «Умбозеро»</w:t>
            </w:r>
          </w:p>
        </w:tc>
      </w:tr>
      <w:tr>
        <w:tc>
          <w:tcPr>
            <w:tcW w:type="dxa" w:w="1995"/>
          </w:tcPr>
          <w:p>
            <w:pPr>
              <w:spacing w:after="0" w:line="240" w:lineRule="auto"/>
              <w:ind w:firstLine="0"/>
              <w:jc w:val="left"/>
            </w:pPr>
            <w:r>
              <w:rPr>
                <w:b w:val="0"/>
                <w:i w:val="0"/>
                <w:sz w:val="20"/>
              </w:rPr>
              <w:t>Освоение Томтора (добыча)</w:t>
            </w:r>
          </w:p>
        </w:tc>
        <w:tc>
          <w:tcPr>
            <w:tcW w:type="dxa" w:w="1995"/>
          </w:tcPr>
          <w:p>
            <w:pPr>
              <w:spacing w:after="0" w:line="240" w:lineRule="auto"/>
              <w:ind w:firstLine="0"/>
              <w:jc w:val="center"/>
            </w:pPr>
            <w:r>
              <w:rPr>
                <w:b w:val="0"/>
                <w:i w:val="0"/>
                <w:sz w:val="20"/>
              </w:rPr>
              <w:t>17 тыс. т TREO</w:t>
            </w:r>
          </w:p>
        </w:tc>
        <w:tc>
          <w:tcPr>
            <w:tcW w:type="dxa" w:w="1995"/>
          </w:tcPr>
          <w:p>
            <w:pPr>
              <w:spacing w:after="0" w:line="240" w:lineRule="auto"/>
              <w:ind w:firstLine="0"/>
              <w:jc w:val="center"/>
            </w:pPr>
            <w:r>
              <w:rPr>
                <w:b w:val="0"/>
                <w:i w:val="0"/>
                <w:sz w:val="20"/>
              </w:rPr>
              <w:t>55</w:t>
            </w:r>
          </w:p>
        </w:tc>
        <w:tc>
          <w:tcPr>
            <w:tcW w:type="dxa" w:w="1995"/>
          </w:tcPr>
          <w:p>
            <w:pPr>
              <w:spacing w:after="0" w:line="240" w:lineRule="auto"/>
              <w:ind w:firstLine="0"/>
              <w:jc w:val="center"/>
            </w:pPr>
            <w:r>
              <w:rPr>
                <w:b w:val="0"/>
                <w:i w:val="0"/>
                <w:sz w:val="20"/>
              </w:rPr>
              <w:t>90</w:t>
            </w:r>
          </w:p>
        </w:tc>
        <w:tc>
          <w:tcPr>
            <w:tcW w:type="dxa" w:w="1995"/>
          </w:tcPr>
          <w:p>
            <w:pPr>
              <w:spacing w:after="0" w:line="240" w:lineRule="auto"/>
              <w:ind w:firstLine="0"/>
              <w:jc w:val="center"/>
            </w:pPr>
            <w:r>
              <w:rPr>
                <w:b w:val="0"/>
                <w:i w:val="0"/>
                <w:sz w:val="20"/>
              </w:rPr>
              <w:t>вкл. инфраструктуру</w:t>
            </w:r>
          </w:p>
        </w:tc>
      </w:tr>
      <w:tr>
        <w:tc>
          <w:tcPr>
            <w:tcW w:type="dxa" w:w="1995"/>
          </w:tcPr>
          <w:p>
            <w:pPr>
              <w:spacing w:after="0" w:line="240" w:lineRule="auto"/>
              <w:ind w:firstLine="0"/>
              <w:jc w:val="left"/>
            </w:pPr>
            <w:r>
              <w:rPr>
                <w:b w:val="0"/>
                <w:i w:val="0"/>
                <w:sz w:val="20"/>
              </w:rPr>
              <w:t>Гидрометаллургический комбинат (Томтор)</w:t>
            </w:r>
          </w:p>
        </w:tc>
        <w:tc>
          <w:tcPr>
            <w:tcW w:type="dxa" w:w="1995"/>
          </w:tcPr>
          <w:p>
            <w:pPr>
              <w:spacing w:after="0" w:line="240" w:lineRule="auto"/>
              <w:ind w:firstLine="0"/>
              <w:jc w:val="center"/>
            </w:pPr>
            <w:r>
              <w:rPr>
                <w:b w:val="0"/>
                <w:i w:val="0"/>
                <w:sz w:val="20"/>
              </w:rPr>
              <w:t>17 тыс. т TREO</w:t>
            </w:r>
          </w:p>
        </w:tc>
        <w:tc>
          <w:tcPr>
            <w:tcW w:type="dxa" w:w="1995"/>
          </w:tcPr>
          <w:p>
            <w:pPr>
              <w:spacing w:after="0" w:line="240" w:lineRule="auto"/>
              <w:ind w:firstLine="0"/>
              <w:jc w:val="center"/>
            </w:pPr>
            <w:r>
              <w:rPr>
                <w:b w:val="0"/>
                <w:i w:val="0"/>
                <w:sz w:val="20"/>
              </w:rPr>
              <w:t>90</w:t>
            </w:r>
          </w:p>
        </w:tc>
        <w:tc>
          <w:tcPr>
            <w:tcW w:type="dxa" w:w="1995"/>
          </w:tcPr>
          <w:p>
            <w:pPr>
              <w:spacing w:after="0" w:line="240" w:lineRule="auto"/>
              <w:ind w:firstLine="0"/>
              <w:jc w:val="center"/>
            </w:pPr>
            <w:r>
              <w:rPr>
                <w:b w:val="0"/>
                <w:i w:val="0"/>
                <w:sz w:val="20"/>
              </w:rPr>
              <w:t>145</w:t>
            </w:r>
          </w:p>
        </w:tc>
        <w:tc>
          <w:tcPr>
            <w:tcW w:type="dxa" w:w="1995"/>
          </w:tcPr>
          <w:p>
            <w:pPr>
              <w:spacing w:after="0" w:line="240" w:lineRule="auto"/>
              <w:ind w:firstLine="0"/>
              <w:jc w:val="center"/>
            </w:pPr>
            <w:r>
              <w:rPr>
                <w:b w:val="0"/>
                <w:i w:val="0"/>
                <w:sz w:val="20"/>
              </w:rPr>
              <w:t>вскрытие и разделение</w:t>
            </w:r>
          </w:p>
        </w:tc>
      </w:tr>
      <w:tr>
        <w:tc>
          <w:tcPr>
            <w:tcW w:type="dxa" w:w="1995"/>
          </w:tcPr>
          <w:p>
            <w:pPr>
              <w:spacing w:after="0" w:line="240" w:lineRule="auto"/>
              <w:ind w:firstLine="0"/>
              <w:jc w:val="left"/>
            </w:pPr>
            <w:r>
              <w:rPr>
                <w:b w:val="0"/>
                <w:i w:val="0"/>
                <w:sz w:val="20"/>
              </w:rPr>
              <w:t>Извлечение из фосфогипса</w:t>
            </w:r>
          </w:p>
        </w:tc>
        <w:tc>
          <w:tcPr>
            <w:tcW w:type="dxa" w:w="1995"/>
          </w:tcPr>
          <w:p>
            <w:pPr>
              <w:spacing w:after="0" w:line="240" w:lineRule="auto"/>
              <w:ind w:firstLine="0"/>
              <w:jc w:val="center"/>
            </w:pPr>
            <w:r>
              <w:rPr>
                <w:b w:val="0"/>
                <w:i w:val="0"/>
                <w:sz w:val="20"/>
              </w:rPr>
              <w:t>5 тыс. т TREO</w:t>
            </w:r>
          </w:p>
        </w:tc>
        <w:tc>
          <w:tcPr>
            <w:tcW w:type="dxa" w:w="1995"/>
          </w:tcPr>
          <w:p>
            <w:pPr>
              <w:spacing w:after="0" w:line="240" w:lineRule="auto"/>
              <w:ind w:firstLine="0"/>
              <w:jc w:val="center"/>
            </w:pPr>
            <w:r>
              <w:rPr>
                <w:b w:val="0"/>
                <w:i w:val="0"/>
                <w:sz w:val="20"/>
              </w:rPr>
              <w:t>28</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2–3 площадки</w:t>
            </w:r>
          </w:p>
        </w:tc>
      </w:tr>
      <w:tr>
        <w:tc>
          <w:tcPr>
            <w:tcW w:type="dxa" w:w="1995"/>
          </w:tcPr>
          <w:p>
            <w:pPr>
              <w:spacing w:after="0" w:line="240" w:lineRule="auto"/>
              <w:ind w:firstLine="0"/>
              <w:jc w:val="left"/>
            </w:pPr>
            <w:r>
              <w:rPr>
                <w:b w:val="0"/>
                <w:i w:val="0"/>
                <w:sz w:val="20"/>
              </w:rPr>
              <w:t>Африканда</w:t>
            </w:r>
          </w:p>
        </w:tc>
        <w:tc>
          <w:tcPr>
            <w:tcW w:type="dxa" w:w="1995"/>
          </w:tcPr>
          <w:p>
            <w:pPr>
              <w:spacing w:after="0" w:line="240" w:lineRule="auto"/>
              <w:ind w:firstLine="0"/>
              <w:jc w:val="center"/>
            </w:pPr>
            <w:r>
              <w:rPr>
                <w:b w:val="0"/>
                <w:i w:val="0"/>
                <w:sz w:val="20"/>
              </w:rPr>
              <w:t>2 тыс. т TREO</w:t>
            </w:r>
          </w:p>
        </w:tc>
        <w:tc>
          <w:tcPr>
            <w:tcW w:type="dxa" w:w="1995"/>
          </w:tcPr>
          <w:p>
            <w:pPr>
              <w:spacing w:after="0" w:line="240" w:lineRule="auto"/>
              <w:ind w:firstLine="0"/>
              <w:jc w:val="center"/>
            </w:pPr>
            <w:r>
              <w:rPr>
                <w:b w:val="0"/>
                <w:i w:val="0"/>
                <w:sz w:val="20"/>
              </w:rPr>
              <w:t>32</w:t>
            </w:r>
          </w:p>
        </w:tc>
        <w:tc>
          <w:tcPr>
            <w:tcW w:type="dxa" w:w="1995"/>
          </w:tcPr>
          <w:p>
            <w:pPr>
              <w:spacing w:after="0" w:line="240" w:lineRule="auto"/>
              <w:ind w:firstLine="0"/>
              <w:jc w:val="center"/>
            </w:pPr>
            <w:r>
              <w:rPr>
                <w:b w:val="0"/>
                <w:i w:val="0"/>
                <w:sz w:val="20"/>
              </w:rPr>
              <w:t>48</w:t>
            </w:r>
          </w:p>
        </w:tc>
        <w:tc>
          <w:tcPr>
            <w:tcW w:type="dxa" w:w="1995"/>
          </w:tcPr>
          <w:p>
            <w:pPr>
              <w:spacing w:after="0" w:line="240" w:lineRule="auto"/>
              <w:ind w:firstLine="0"/>
              <w:jc w:val="center"/>
            </w:pPr>
            <w:r>
              <w:rPr>
                <w:b w:val="0"/>
                <w:i w:val="0"/>
                <w:sz w:val="20"/>
              </w:rPr>
              <w:t>вкл. титановое произв.</w:t>
            </w:r>
          </w:p>
        </w:tc>
      </w:tr>
      <w:tr>
        <w:tc>
          <w:tcPr>
            <w:tcW w:type="dxa" w:w="1995"/>
          </w:tcPr>
          <w:p>
            <w:pPr>
              <w:spacing w:after="0" w:line="240" w:lineRule="auto"/>
              <w:ind w:firstLine="0"/>
              <w:jc w:val="left"/>
            </w:pPr>
            <w:r>
              <w:rPr>
                <w:b w:val="0"/>
                <w:i w:val="0"/>
                <w:sz w:val="20"/>
              </w:rPr>
              <w:t>Зашихинское</w:t>
            </w:r>
          </w:p>
        </w:tc>
        <w:tc>
          <w:tcPr>
            <w:tcW w:type="dxa" w:w="1995"/>
          </w:tcPr>
          <w:p>
            <w:pPr>
              <w:spacing w:after="0" w:line="240" w:lineRule="auto"/>
              <w:ind w:firstLine="0"/>
              <w:jc w:val="center"/>
            </w:pPr>
            <w:r>
              <w:rPr>
                <w:b w:val="0"/>
                <w:i w:val="0"/>
                <w:sz w:val="20"/>
              </w:rPr>
              <w:t>1 тыс. т TREO</w:t>
            </w:r>
          </w:p>
        </w:tc>
        <w:tc>
          <w:tcPr>
            <w:tcW w:type="dxa" w:w="1995"/>
          </w:tcPr>
          <w:p>
            <w:pPr>
              <w:spacing w:after="0" w:line="240" w:lineRule="auto"/>
              <w:ind w:firstLine="0"/>
              <w:jc w:val="center"/>
            </w:pPr>
            <w:r>
              <w:rPr>
                <w:b w:val="0"/>
                <w:i w:val="0"/>
                <w:sz w:val="20"/>
              </w:rPr>
              <w:t>22</w:t>
            </w:r>
          </w:p>
        </w:tc>
        <w:tc>
          <w:tcPr>
            <w:tcW w:type="dxa" w:w="1995"/>
          </w:tcPr>
          <w:p>
            <w:pPr>
              <w:spacing w:after="0" w:line="240" w:lineRule="auto"/>
              <w:ind w:firstLine="0"/>
              <w:jc w:val="center"/>
            </w:pPr>
            <w:r>
              <w:rPr>
                <w:b w:val="0"/>
                <w:i w:val="0"/>
                <w:sz w:val="20"/>
              </w:rPr>
              <w:t>34</w:t>
            </w:r>
          </w:p>
        </w:tc>
        <w:tc>
          <w:tcPr>
            <w:tcW w:type="dxa" w:w="1995"/>
          </w:tcPr>
          <w:p>
            <w:pPr>
              <w:spacing w:after="0" w:line="240" w:lineRule="auto"/>
              <w:ind w:firstLine="0"/>
              <w:jc w:val="center"/>
            </w:pPr>
            <w:r>
              <w:rPr>
                <w:b w:val="0"/>
                <w:i w:val="0"/>
                <w:sz w:val="20"/>
              </w:rPr>
              <w:t>ГОК</w:t>
            </w:r>
          </w:p>
        </w:tc>
      </w:tr>
      <w:tr>
        <w:tc>
          <w:tcPr>
            <w:tcW w:type="dxa" w:w="1995"/>
          </w:tcPr>
          <w:p>
            <w:pPr>
              <w:spacing w:after="0" w:line="240" w:lineRule="auto"/>
              <w:ind w:firstLine="0"/>
              <w:jc w:val="left"/>
            </w:pPr>
            <w:r>
              <w:rPr>
                <w:b w:val="0"/>
                <w:i w:val="0"/>
                <w:sz w:val="20"/>
              </w:rPr>
              <w:t>Расширение разделения СМЗ</w:t>
            </w:r>
          </w:p>
        </w:tc>
        <w:tc>
          <w:tcPr>
            <w:tcW w:type="dxa" w:w="1995"/>
          </w:tcPr>
          <w:p>
            <w:pPr>
              <w:spacing w:after="0" w:line="240" w:lineRule="auto"/>
              <w:ind w:firstLine="0"/>
              <w:jc w:val="center"/>
            </w:pPr>
            <w:r>
              <w:rPr>
                <w:b w:val="0"/>
                <w:i w:val="0"/>
                <w:sz w:val="20"/>
              </w:rPr>
              <w:t>3 тыс. т TREO</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42</w:t>
            </w:r>
          </w:p>
        </w:tc>
        <w:tc>
          <w:tcPr>
            <w:tcW w:type="dxa" w:w="1995"/>
          </w:tcPr>
          <w:p>
            <w:pPr>
              <w:spacing w:after="0" w:line="240" w:lineRule="auto"/>
              <w:ind w:firstLine="0"/>
              <w:jc w:val="center"/>
            </w:pPr>
            <w:r>
              <w:rPr>
                <w:b w:val="0"/>
                <w:i w:val="0"/>
                <w:sz w:val="20"/>
              </w:rPr>
              <w:t>модернизация</w:t>
            </w:r>
          </w:p>
        </w:tc>
      </w:tr>
      <w:tr>
        <w:tc>
          <w:tcPr>
            <w:tcW w:type="dxa" w:w="1995"/>
          </w:tcPr>
          <w:p>
            <w:pPr>
              <w:spacing w:after="0" w:line="240" w:lineRule="auto"/>
              <w:ind w:firstLine="0"/>
              <w:jc w:val="left"/>
            </w:pPr>
            <w:r>
              <w:rPr>
                <w:b w:val="0"/>
                <w:i w:val="0"/>
                <w:sz w:val="20"/>
              </w:rPr>
              <w:t>Металлургический передел</w:t>
            </w:r>
          </w:p>
        </w:tc>
        <w:tc>
          <w:tcPr>
            <w:tcW w:type="dxa" w:w="1995"/>
          </w:tcPr>
          <w:p>
            <w:pPr>
              <w:spacing w:after="0" w:line="240" w:lineRule="auto"/>
              <w:ind w:firstLine="0"/>
              <w:jc w:val="center"/>
            </w:pPr>
            <w:r>
              <w:rPr>
                <w:b w:val="0"/>
                <w:i w:val="0"/>
                <w:sz w:val="20"/>
              </w:rPr>
              <w:t>5 тыс. т</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62</w:t>
            </w:r>
          </w:p>
        </w:tc>
        <w:tc>
          <w:tcPr>
            <w:tcW w:type="dxa" w:w="1995"/>
          </w:tcPr>
          <w:p>
            <w:pPr>
              <w:spacing w:after="0" w:line="240" w:lineRule="auto"/>
              <w:ind w:firstLine="0"/>
              <w:jc w:val="center"/>
            </w:pPr>
            <w:r>
              <w:rPr>
                <w:b w:val="0"/>
                <w:i w:val="0"/>
                <w:sz w:val="20"/>
              </w:rPr>
              <w:t>электролиз, металлотермия</w:t>
            </w:r>
          </w:p>
        </w:tc>
      </w:tr>
      <w:tr>
        <w:tc>
          <w:tcPr>
            <w:tcW w:type="dxa" w:w="1995"/>
          </w:tcPr>
          <w:p>
            <w:pPr>
              <w:spacing w:after="0" w:line="240" w:lineRule="auto"/>
              <w:ind w:firstLine="0"/>
              <w:jc w:val="left"/>
            </w:pPr>
            <w:r>
              <w:rPr>
                <w:b w:val="0"/>
                <w:i w:val="0"/>
                <w:sz w:val="20"/>
              </w:rPr>
              <w:t>Производство магнитов</w:t>
            </w:r>
          </w:p>
        </w:tc>
        <w:tc>
          <w:tcPr>
            <w:tcW w:type="dxa" w:w="1995"/>
          </w:tcPr>
          <w:p>
            <w:pPr>
              <w:spacing w:after="0" w:line="240" w:lineRule="auto"/>
              <w:ind w:firstLine="0"/>
              <w:jc w:val="center"/>
            </w:pPr>
            <w:r>
              <w:rPr>
                <w:b w:val="0"/>
                <w:i w:val="0"/>
                <w:sz w:val="20"/>
              </w:rPr>
              <w:t>9 тыс. т</w:t>
            </w:r>
          </w:p>
        </w:tc>
        <w:tc>
          <w:tcPr>
            <w:tcW w:type="dxa" w:w="1995"/>
          </w:tcPr>
          <w:p>
            <w:pPr>
              <w:spacing w:after="0" w:line="240" w:lineRule="auto"/>
              <w:ind w:firstLine="0"/>
              <w:jc w:val="center"/>
            </w:pPr>
            <w:r>
              <w:rPr>
                <w:b w:val="0"/>
                <w:i w:val="0"/>
                <w:sz w:val="20"/>
              </w:rPr>
              <w:t>105</w:t>
            </w:r>
          </w:p>
        </w:tc>
        <w:tc>
          <w:tcPr>
            <w:tcW w:type="dxa" w:w="1995"/>
          </w:tcPr>
          <w:p>
            <w:pPr>
              <w:spacing w:after="0" w:line="240" w:lineRule="auto"/>
              <w:ind w:firstLine="0"/>
              <w:jc w:val="center"/>
            </w:pPr>
            <w:r>
              <w:rPr>
                <w:b w:val="0"/>
                <w:i w:val="0"/>
                <w:sz w:val="20"/>
              </w:rPr>
              <w:t>175</w:t>
            </w:r>
          </w:p>
        </w:tc>
        <w:tc>
          <w:tcPr>
            <w:tcW w:type="dxa" w:w="1995"/>
          </w:tcPr>
          <w:p>
            <w:pPr>
              <w:spacing w:after="0" w:line="240" w:lineRule="auto"/>
              <w:ind w:firstLine="0"/>
              <w:jc w:val="center"/>
            </w:pPr>
            <w:r>
              <w:rPr>
                <w:b w:val="0"/>
                <w:i w:val="0"/>
                <w:sz w:val="20"/>
              </w:rPr>
              <w:t>3 очереди</w:t>
            </w:r>
          </w:p>
        </w:tc>
      </w:tr>
      <w:tr>
        <w:tc>
          <w:tcPr>
            <w:tcW w:type="dxa" w:w="1995"/>
          </w:tcPr>
          <w:p>
            <w:pPr>
              <w:spacing w:after="0" w:line="240" w:lineRule="auto"/>
              <w:ind w:firstLine="0"/>
              <w:jc w:val="left"/>
            </w:pPr>
            <w:r>
              <w:rPr>
                <w:b w:val="0"/>
                <w:i w:val="0"/>
                <w:sz w:val="20"/>
              </w:rPr>
              <w:t>НИОКР и опытные производства</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все направления</w:t>
            </w:r>
          </w:p>
        </w:tc>
      </w:tr>
      <w:tr>
        <w:tc>
          <w:tcPr>
            <w:tcW w:type="dxa" w:w="1995"/>
          </w:tcPr>
          <w:p>
            <w:pPr>
              <w:spacing w:after="0" w:line="240" w:lineRule="auto"/>
              <w:ind w:firstLine="0"/>
              <w:jc w:val="left"/>
            </w:pPr>
            <w:r>
              <w:rPr>
                <w:b w:val="0"/>
                <w:i w:val="0"/>
                <w:sz w:val="20"/>
              </w:rPr>
              <w:t>Инфраструктура (транспорт, энергетика)</w:t>
            </w:r>
          </w:p>
        </w:tc>
        <w:tc>
          <w:tcPr>
            <w:tcW w:type="dxa" w:w="1995"/>
          </w:tcPr>
          <w:p>
            <w:pPr>
              <w:spacing w:after="0" w:line="240" w:lineRule="auto"/>
              <w:ind w:firstLine="0"/>
              <w:jc w:val="center"/>
            </w:pPr>
            <w:r>
              <w:rPr>
                <w:b w:val="0"/>
                <w:i w:val="0"/>
                <w:sz w:val="20"/>
              </w:rPr>
              <w:t>—</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85</w:t>
            </w:r>
          </w:p>
        </w:tc>
        <w:tc>
          <w:tcPr>
            <w:tcW w:type="dxa" w:w="1995"/>
          </w:tcPr>
          <w:p>
            <w:pPr>
              <w:spacing w:after="0" w:line="240" w:lineRule="auto"/>
              <w:ind w:firstLine="0"/>
              <w:jc w:val="center"/>
            </w:pPr>
            <w:r>
              <w:rPr>
                <w:b w:val="0"/>
                <w:i w:val="0"/>
                <w:sz w:val="20"/>
              </w:rPr>
              <w:t>преимущ. Томтор</w:t>
            </w:r>
          </w:p>
        </w:tc>
      </w:tr>
      <w:tr>
        <w:tc>
          <w:tcPr>
            <w:tcW w:type="dxa" w:w="1995"/>
          </w:tcPr>
          <w:p>
            <w:pPr>
              <w:spacing w:after="0" w:line="240" w:lineRule="auto"/>
              <w:ind w:firstLine="0"/>
              <w:jc w:val="left"/>
            </w:pPr>
            <w:r>
              <w:rPr>
                <w:b/>
                <w:i w:val="0"/>
                <w:sz w:val="20"/>
              </w:rPr>
              <w:t>Всего</w:t>
            </w:r>
          </w:p>
        </w:tc>
        <w:tc>
          <w:tcPr>
            <w:tcW w:type="dxa" w:w="1995"/>
          </w:tcPr>
          <w:p>
            <w:pPr>
              <w:spacing w:after="0" w:line="240" w:lineRule="auto"/>
              <w:ind w:firstLine="0"/>
              <w:jc w:val="center"/>
            </w:pPr>
          </w:p>
        </w:tc>
        <w:tc>
          <w:tcPr>
            <w:tcW w:type="dxa" w:w="1995"/>
          </w:tcPr>
          <w:p>
            <w:pPr>
              <w:spacing w:after="0" w:line="240" w:lineRule="auto"/>
              <w:ind w:firstLine="0"/>
              <w:jc w:val="center"/>
            </w:pPr>
            <w:r>
              <w:rPr>
                <w:b/>
                <w:i w:val="0"/>
                <w:sz w:val="20"/>
              </w:rPr>
              <w:t>480</w:t>
            </w:r>
          </w:p>
        </w:tc>
        <w:tc>
          <w:tcPr>
            <w:tcW w:type="dxa" w:w="1995"/>
          </w:tcPr>
          <w:p>
            <w:pPr>
              <w:spacing w:after="0" w:line="240" w:lineRule="auto"/>
              <w:ind w:firstLine="0"/>
              <w:jc w:val="center"/>
            </w:pPr>
            <w:r>
              <w:rPr>
                <w:b/>
                <w:i w:val="0"/>
                <w:sz w:val="20"/>
              </w:rPr>
              <w:t>799</w:t>
            </w:r>
          </w:p>
        </w:tc>
        <w:tc>
          <w:tcPr>
            <w:tcW w:type="dxa" w:w="1995"/>
          </w:tcPr>
          <w:p>
            <w:pPr>
              <w:spacing w:after="0" w:line="240" w:lineRule="auto"/>
              <w:ind w:firstLine="0"/>
              <w:jc w:val="center"/>
            </w:pPr>
          </w:p>
        </w:tc>
      </w:tr>
    </w:tbl>
    <w:p>
      <w:pPr>
        <w:spacing w:after="180"/>
        <w:ind w:firstLine="0"/>
      </w:pPr>
      <w:r>
        <w:rPr>
          <w:i/>
          <w:sz w:val="20"/>
        </w:rPr>
        <w:t>Источник: расчёт аналитического центра</w:t>
      </w:r>
    </w:p>
    <w:p>
      <w:pPr>
        <w:keepNext/>
        <w:spacing w:before="160" w:after="60"/>
        <w:ind w:firstLine="0"/>
        <w:jc w:val="left"/>
      </w:pPr>
      <w:r>
        <w:rPr>
          <w:b/>
          <w:sz w:val="22"/>
        </w:rPr>
        <w:t>Рисунок 89. Структура потребности в капитале для реализации российской редкоземельной программы, %</w:t>
      </w:r>
    </w:p>
    <w:p>
      <w:pPr>
        <w:ind w:firstLine="0"/>
        <w:jc w:val="center"/>
      </w:pPr>
      <w:r>
        <w:drawing>
          <wp:inline xmlns:a="http://schemas.openxmlformats.org/drawingml/2006/main" xmlns:pic="http://schemas.openxmlformats.org/drawingml/2006/picture">
            <wp:extent cx="5580000" cy="3600000"/>
            <wp:docPr id="89" name="Picture 89"/>
            <wp:cNvGraphicFramePr>
              <a:graphicFrameLocks noChangeAspect="1"/>
            </wp:cNvGraphicFramePr>
            <a:graphic>
              <a:graphicData uri="http://schemas.openxmlformats.org/drawingml/2006/picture">
                <pic:pic>
                  <pic:nvPicPr>
                    <pic:cNvPr id="0" name="fig89.png"/>
                    <pic:cNvPicPr/>
                  </pic:nvPicPr>
                  <pic:blipFill>
                    <a:blip r:embed="rId99"/>
                    <a:stretch>
                      <a:fillRect/>
                    </a:stretch>
                  </pic:blipFill>
                  <pic:spPr>
                    <a:xfrm>
                      <a:off x="0" y="0"/>
                      <a:ext cx="5580000" cy="3600000"/>
                    </a:xfrm>
                    <a:prstGeom prst="rect"/>
                  </pic:spPr>
                </pic:pic>
              </a:graphicData>
            </a:graphic>
          </wp:inline>
        </w:drawing>
      </w:r>
    </w:p>
    <w:p>
      <w:pPr>
        <w:spacing w:after="180"/>
        <w:ind w:firstLine="0"/>
      </w:pPr>
      <w:r>
        <w:rPr>
          <w:i/>
          <w:sz w:val="20"/>
        </w:rPr>
        <w:t>Источник: расчёт аналитического центра (табл. 121, средние значения)</w:t>
      </w:r>
    </w:p>
    <w:p>
      <w:pPr>
        <w:pStyle w:val="Heading2"/>
      </w:pPr>
      <w:r>
        <w:rPr>
          <w:b w:val="0"/>
          <w:i w:val="0"/>
        </w:rPr>
        <w:t>17.2. Экономика переделов</w:t>
      </w:r>
    </w:p>
    <w:p>
      <w:r>
        <w:rPr>
          <w:b w:val="0"/>
          <w:i w:val="0"/>
        </w:rPr>
        <w:t>Для оценки инвестиционной привлекательности различных стратегий развития выполнен сопоставительный расчёт по трём моделям, различающимся глубиной передела.</w:t>
      </w:r>
    </w:p>
    <w:p>
      <w:pPr>
        <w:keepNext/>
        <w:spacing w:before="160" w:after="60"/>
        <w:ind w:firstLine="0"/>
        <w:jc w:val="left"/>
      </w:pPr>
      <w:r>
        <w:rPr>
          <w:b/>
          <w:sz w:val="22"/>
        </w:rPr>
        <w:t>Таблица 122. Сопоставительная экономика моделей развития редкоземельного производства (расчёт на 5 тыс. т TREO сырья)</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Показатель</w:t>
            </w:r>
          </w:p>
        </w:tc>
        <w:tc>
          <w:tcPr>
            <w:tcW w:type="dxa" w:w="2493"/>
            <w:shd w:val="clear" w:fill="DCE6F1"/>
          </w:tcPr>
          <w:p>
            <w:pPr>
              <w:spacing w:after="0" w:line="240" w:lineRule="auto"/>
              <w:ind w:firstLine="0"/>
              <w:jc w:val="center"/>
            </w:pPr>
            <w:r>
              <w:rPr>
                <w:b/>
                <w:i w:val="0"/>
                <w:sz w:val="20"/>
              </w:rPr>
              <w:t>Модель А: сырьё</w:t>
            </w:r>
          </w:p>
        </w:tc>
        <w:tc>
          <w:tcPr>
            <w:tcW w:type="dxa" w:w="2493"/>
            <w:shd w:val="clear" w:fill="DCE6F1"/>
          </w:tcPr>
          <w:p>
            <w:pPr>
              <w:spacing w:after="0" w:line="240" w:lineRule="auto"/>
              <w:ind w:firstLine="0"/>
              <w:jc w:val="center"/>
            </w:pPr>
            <w:r>
              <w:rPr>
                <w:b/>
                <w:i w:val="0"/>
                <w:sz w:val="20"/>
              </w:rPr>
              <w:t>Модель Б: разделение</w:t>
            </w:r>
          </w:p>
        </w:tc>
        <w:tc>
          <w:tcPr>
            <w:tcW w:type="dxa" w:w="2493"/>
            <w:shd w:val="clear" w:fill="DCE6F1"/>
          </w:tcPr>
          <w:p>
            <w:pPr>
              <w:spacing w:after="0" w:line="240" w:lineRule="auto"/>
              <w:ind w:firstLine="0"/>
              <w:jc w:val="center"/>
            </w:pPr>
            <w:r>
              <w:rPr>
                <w:b/>
                <w:i w:val="0"/>
                <w:sz w:val="20"/>
              </w:rPr>
              <w:t>Модель В: полный цикл</w:t>
            </w:r>
          </w:p>
        </w:tc>
      </w:tr>
      <w:tr>
        <w:tc>
          <w:tcPr>
            <w:tcW w:type="dxa" w:w="2493"/>
          </w:tcPr>
          <w:p>
            <w:pPr>
              <w:spacing w:after="0" w:line="240" w:lineRule="auto"/>
              <w:ind w:firstLine="0"/>
              <w:jc w:val="left"/>
            </w:pPr>
            <w:r>
              <w:rPr>
                <w:b w:val="0"/>
                <w:i w:val="0"/>
                <w:sz w:val="20"/>
              </w:rPr>
              <w:t>Объём сырья, т TREO</w:t>
            </w:r>
          </w:p>
        </w:tc>
        <w:tc>
          <w:tcPr>
            <w:tcW w:type="dxa" w:w="2493"/>
          </w:tcPr>
          <w:p>
            <w:pPr>
              <w:spacing w:after="0" w:line="240" w:lineRule="auto"/>
              <w:ind w:firstLine="0"/>
              <w:jc w:val="center"/>
            </w:pPr>
            <w:r>
              <w:rPr>
                <w:b w:val="0"/>
                <w:i w:val="0"/>
                <w:sz w:val="20"/>
              </w:rPr>
              <w:t>5 000</w:t>
            </w:r>
          </w:p>
        </w:tc>
        <w:tc>
          <w:tcPr>
            <w:tcW w:type="dxa" w:w="2493"/>
          </w:tcPr>
          <w:p>
            <w:pPr>
              <w:spacing w:after="0" w:line="240" w:lineRule="auto"/>
              <w:ind w:firstLine="0"/>
              <w:jc w:val="center"/>
            </w:pPr>
            <w:r>
              <w:rPr>
                <w:b w:val="0"/>
                <w:i w:val="0"/>
                <w:sz w:val="20"/>
              </w:rPr>
              <w:t>5 000</w:t>
            </w:r>
          </w:p>
        </w:tc>
        <w:tc>
          <w:tcPr>
            <w:tcW w:type="dxa" w:w="2493"/>
          </w:tcPr>
          <w:p>
            <w:pPr>
              <w:spacing w:after="0" w:line="240" w:lineRule="auto"/>
              <w:ind w:firstLine="0"/>
              <w:jc w:val="center"/>
            </w:pPr>
            <w:r>
              <w:rPr>
                <w:b w:val="0"/>
                <w:i w:val="0"/>
                <w:sz w:val="20"/>
              </w:rPr>
              <w:t>5 000</w:t>
            </w:r>
          </w:p>
        </w:tc>
      </w:tr>
      <w:tr>
        <w:tc>
          <w:tcPr>
            <w:tcW w:type="dxa" w:w="2493"/>
          </w:tcPr>
          <w:p>
            <w:pPr>
              <w:spacing w:after="0" w:line="240" w:lineRule="auto"/>
              <w:ind w:firstLine="0"/>
              <w:jc w:val="left"/>
            </w:pPr>
            <w:r>
              <w:rPr>
                <w:b w:val="0"/>
                <w:i w:val="0"/>
                <w:sz w:val="20"/>
              </w:rPr>
              <w:t>Товарная продукция</w:t>
            </w:r>
          </w:p>
        </w:tc>
        <w:tc>
          <w:tcPr>
            <w:tcW w:type="dxa" w:w="2493"/>
          </w:tcPr>
          <w:p>
            <w:pPr>
              <w:spacing w:after="0" w:line="240" w:lineRule="auto"/>
              <w:ind w:firstLine="0"/>
              <w:jc w:val="center"/>
            </w:pPr>
            <w:r>
              <w:rPr>
                <w:b w:val="0"/>
                <w:i w:val="0"/>
                <w:sz w:val="20"/>
              </w:rPr>
              <w:t>карбонат</w:t>
            </w:r>
          </w:p>
        </w:tc>
        <w:tc>
          <w:tcPr>
            <w:tcW w:type="dxa" w:w="2493"/>
          </w:tcPr>
          <w:p>
            <w:pPr>
              <w:spacing w:after="0" w:line="240" w:lineRule="auto"/>
              <w:ind w:firstLine="0"/>
              <w:jc w:val="center"/>
            </w:pPr>
            <w:r>
              <w:rPr>
                <w:b w:val="0"/>
                <w:i w:val="0"/>
                <w:sz w:val="20"/>
              </w:rPr>
              <w:t>оксиды</w:t>
            </w:r>
          </w:p>
        </w:tc>
        <w:tc>
          <w:tcPr>
            <w:tcW w:type="dxa" w:w="2493"/>
          </w:tcPr>
          <w:p>
            <w:pPr>
              <w:spacing w:after="0" w:line="240" w:lineRule="auto"/>
              <w:ind w:firstLine="0"/>
              <w:jc w:val="center"/>
            </w:pPr>
            <w:r>
              <w:rPr>
                <w:b w:val="0"/>
                <w:i w:val="0"/>
                <w:sz w:val="20"/>
              </w:rPr>
              <w:t>магниты + оксиды</w:t>
            </w:r>
          </w:p>
        </w:tc>
      </w:tr>
      <w:tr>
        <w:tc>
          <w:tcPr>
            <w:tcW w:type="dxa" w:w="2493"/>
          </w:tcPr>
          <w:p>
            <w:pPr>
              <w:spacing w:after="0" w:line="240" w:lineRule="auto"/>
              <w:ind w:firstLine="0"/>
              <w:jc w:val="left"/>
            </w:pPr>
            <w:r>
              <w:rPr>
                <w:b w:val="0"/>
                <w:i w:val="0"/>
                <w:sz w:val="20"/>
              </w:rPr>
              <w:t>Выручка, млн $</w:t>
            </w:r>
          </w:p>
        </w:tc>
        <w:tc>
          <w:tcPr>
            <w:tcW w:type="dxa" w:w="2493"/>
          </w:tcPr>
          <w:p>
            <w:pPr>
              <w:spacing w:after="0" w:line="240" w:lineRule="auto"/>
              <w:ind w:firstLine="0"/>
              <w:jc w:val="center"/>
            </w:pPr>
            <w:r>
              <w:rPr>
                <w:b w:val="0"/>
                <w:i w:val="0"/>
                <w:sz w:val="20"/>
              </w:rPr>
              <w:t>60</w:t>
            </w:r>
          </w:p>
        </w:tc>
        <w:tc>
          <w:tcPr>
            <w:tcW w:type="dxa" w:w="2493"/>
          </w:tcPr>
          <w:p>
            <w:pPr>
              <w:spacing w:after="0" w:line="240" w:lineRule="auto"/>
              <w:ind w:firstLine="0"/>
              <w:jc w:val="center"/>
            </w:pPr>
            <w:r>
              <w:rPr>
                <w:b w:val="0"/>
                <w:i w:val="0"/>
                <w:sz w:val="20"/>
              </w:rPr>
              <w:t>185</w:t>
            </w:r>
          </w:p>
        </w:tc>
        <w:tc>
          <w:tcPr>
            <w:tcW w:type="dxa" w:w="2493"/>
          </w:tcPr>
          <w:p>
            <w:pPr>
              <w:spacing w:after="0" w:line="240" w:lineRule="auto"/>
              <w:ind w:firstLine="0"/>
              <w:jc w:val="center"/>
            </w:pPr>
            <w:r>
              <w:rPr>
                <w:b w:val="0"/>
                <w:i w:val="0"/>
                <w:sz w:val="20"/>
              </w:rPr>
              <w:t>430</w:t>
            </w:r>
          </w:p>
        </w:tc>
      </w:tr>
      <w:tr>
        <w:tc>
          <w:tcPr>
            <w:tcW w:type="dxa" w:w="2493"/>
          </w:tcPr>
          <w:p>
            <w:pPr>
              <w:spacing w:after="0" w:line="240" w:lineRule="auto"/>
              <w:ind w:firstLine="0"/>
              <w:jc w:val="left"/>
            </w:pPr>
            <w:r>
              <w:rPr>
                <w:b w:val="0"/>
                <w:i w:val="0"/>
                <w:sz w:val="20"/>
              </w:rPr>
              <w:t>CAPEX, млн $</w:t>
            </w:r>
          </w:p>
        </w:tc>
        <w:tc>
          <w:tcPr>
            <w:tcW w:type="dxa" w:w="2493"/>
          </w:tcPr>
          <w:p>
            <w:pPr>
              <w:spacing w:after="0" w:line="240" w:lineRule="auto"/>
              <w:ind w:firstLine="0"/>
              <w:jc w:val="center"/>
            </w:pPr>
            <w:r>
              <w:rPr>
                <w:b w:val="0"/>
                <w:i w:val="0"/>
                <w:sz w:val="20"/>
              </w:rPr>
              <w:t>180</w:t>
            </w:r>
          </w:p>
        </w:tc>
        <w:tc>
          <w:tcPr>
            <w:tcW w:type="dxa" w:w="2493"/>
          </w:tcPr>
          <w:p>
            <w:pPr>
              <w:spacing w:after="0" w:line="240" w:lineRule="auto"/>
              <w:ind w:firstLine="0"/>
              <w:jc w:val="center"/>
            </w:pPr>
            <w:r>
              <w:rPr>
                <w:b w:val="0"/>
                <w:i w:val="0"/>
                <w:sz w:val="20"/>
              </w:rPr>
              <w:t>420</w:t>
            </w:r>
          </w:p>
        </w:tc>
        <w:tc>
          <w:tcPr>
            <w:tcW w:type="dxa" w:w="2493"/>
          </w:tcPr>
          <w:p>
            <w:pPr>
              <w:spacing w:after="0" w:line="240" w:lineRule="auto"/>
              <w:ind w:firstLine="0"/>
              <w:jc w:val="center"/>
            </w:pPr>
            <w:r>
              <w:rPr>
                <w:b w:val="0"/>
                <w:i w:val="0"/>
                <w:sz w:val="20"/>
              </w:rPr>
              <w:t>890</w:t>
            </w:r>
          </w:p>
        </w:tc>
      </w:tr>
      <w:tr>
        <w:tc>
          <w:tcPr>
            <w:tcW w:type="dxa" w:w="2493"/>
          </w:tcPr>
          <w:p>
            <w:pPr>
              <w:spacing w:after="0" w:line="240" w:lineRule="auto"/>
              <w:ind w:firstLine="0"/>
              <w:jc w:val="left"/>
            </w:pPr>
            <w:r>
              <w:rPr>
                <w:b w:val="0"/>
                <w:i w:val="0"/>
                <w:sz w:val="20"/>
              </w:rPr>
              <w:t>OPEX, млн $/год</w:t>
            </w:r>
          </w:p>
        </w:tc>
        <w:tc>
          <w:tcPr>
            <w:tcW w:type="dxa" w:w="2493"/>
          </w:tcPr>
          <w:p>
            <w:pPr>
              <w:spacing w:after="0" w:line="240" w:lineRule="auto"/>
              <w:ind w:firstLine="0"/>
              <w:jc w:val="center"/>
            </w:pPr>
            <w:r>
              <w:rPr>
                <w:b w:val="0"/>
                <w:i w:val="0"/>
                <w:sz w:val="20"/>
              </w:rPr>
              <w:t>42</w:t>
            </w:r>
          </w:p>
        </w:tc>
        <w:tc>
          <w:tcPr>
            <w:tcW w:type="dxa" w:w="2493"/>
          </w:tcPr>
          <w:p>
            <w:pPr>
              <w:spacing w:after="0" w:line="240" w:lineRule="auto"/>
              <w:ind w:firstLine="0"/>
              <w:jc w:val="center"/>
            </w:pPr>
            <w:r>
              <w:rPr>
                <w:b w:val="0"/>
                <w:i w:val="0"/>
                <w:sz w:val="20"/>
              </w:rPr>
              <w:t>118</w:t>
            </w:r>
          </w:p>
        </w:tc>
        <w:tc>
          <w:tcPr>
            <w:tcW w:type="dxa" w:w="2493"/>
          </w:tcPr>
          <w:p>
            <w:pPr>
              <w:spacing w:after="0" w:line="240" w:lineRule="auto"/>
              <w:ind w:firstLine="0"/>
              <w:jc w:val="center"/>
            </w:pPr>
            <w:r>
              <w:rPr>
                <w:b w:val="0"/>
                <w:i w:val="0"/>
                <w:sz w:val="20"/>
              </w:rPr>
              <w:t>265</w:t>
            </w:r>
          </w:p>
        </w:tc>
      </w:tr>
      <w:tr>
        <w:tc>
          <w:tcPr>
            <w:tcW w:type="dxa" w:w="2493"/>
          </w:tcPr>
          <w:p>
            <w:pPr>
              <w:spacing w:after="0" w:line="240" w:lineRule="auto"/>
              <w:ind w:firstLine="0"/>
              <w:jc w:val="left"/>
            </w:pPr>
            <w:r>
              <w:rPr>
                <w:b w:val="0"/>
                <w:i w:val="0"/>
                <w:sz w:val="20"/>
              </w:rPr>
              <w:t>EBITDA, млн $/год</w:t>
            </w:r>
          </w:p>
        </w:tc>
        <w:tc>
          <w:tcPr>
            <w:tcW w:type="dxa" w:w="2493"/>
          </w:tcPr>
          <w:p>
            <w:pPr>
              <w:spacing w:after="0" w:line="240" w:lineRule="auto"/>
              <w:ind w:firstLine="0"/>
              <w:jc w:val="center"/>
            </w:pPr>
            <w:r>
              <w:rPr>
                <w:b w:val="0"/>
                <w:i w:val="0"/>
                <w:sz w:val="20"/>
              </w:rPr>
              <w:t>18</w:t>
            </w:r>
          </w:p>
        </w:tc>
        <w:tc>
          <w:tcPr>
            <w:tcW w:type="dxa" w:w="2493"/>
          </w:tcPr>
          <w:p>
            <w:pPr>
              <w:spacing w:after="0" w:line="240" w:lineRule="auto"/>
              <w:ind w:firstLine="0"/>
              <w:jc w:val="center"/>
            </w:pPr>
            <w:r>
              <w:rPr>
                <w:b w:val="0"/>
                <w:i w:val="0"/>
                <w:sz w:val="20"/>
              </w:rPr>
              <w:t>67</w:t>
            </w:r>
          </w:p>
        </w:tc>
        <w:tc>
          <w:tcPr>
            <w:tcW w:type="dxa" w:w="2493"/>
          </w:tcPr>
          <w:p>
            <w:pPr>
              <w:spacing w:after="0" w:line="240" w:lineRule="auto"/>
              <w:ind w:firstLine="0"/>
              <w:jc w:val="center"/>
            </w:pPr>
            <w:r>
              <w:rPr>
                <w:b w:val="0"/>
                <w:i w:val="0"/>
                <w:sz w:val="20"/>
              </w:rPr>
              <w:t>165</w:t>
            </w:r>
          </w:p>
        </w:tc>
      </w:tr>
      <w:tr>
        <w:tc>
          <w:tcPr>
            <w:tcW w:type="dxa" w:w="2493"/>
          </w:tcPr>
          <w:p>
            <w:pPr>
              <w:spacing w:after="0" w:line="240" w:lineRule="auto"/>
              <w:ind w:firstLine="0"/>
              <w:jc w:val="left"/>
            </w:pPr>
            <w:r>
              <w:rPr>
                <w:b w:val="0"/>
                <w:i w:val="0"/>
                <w:sz w:val="20"/>
              </w:rPr>
              <w:t>Рентабельность по EBITDA, %</w:t>
            </w:r>
          </w:p>
        </w:tc>
        <w:tc>
          <w:tcPr>
            <w:tcW w:type="dxa" w:w="2493"/>
          </w:tcPr>
          <w:p>
            <w:pPr>
              <w:spacing w:after="0" w:line="240" w:lineRule="auto"/>
              <w:ind w:firstLine="0"/>
              <w:jc w:val="center"/>
            </w:pPr>
            <w:r>
              <w:rPr>
                <w:b w:val="0"/>
                <w:i w:val="0"/>
                <w:sz w:val="20"/>
              </w:rPr>
              <w:t>30,0</w:t>
            </w:r>
          </w:p>
        </w:tc>
        <w:tc>
          <w:tcPr>
            <w:tcW w:type="dxa" w:w="2493"/>
          </w:tcPr>
          <w:p>
            <w:pPr>
              <w:spacing w:after="0" w:line="240" w:lineRule="auto"/>
              <w:ind w:firstLine="0"/>
              <w:jc w:val="center"/>
            </w:pPr>
            <w:r>
              <w:rPr>
                <w:b w:val="0"/>
                <w:i w:val="0"/>
                <w:sz w:val="20"/>
              </w:rPr>
              <w:t>36,2</w:t>
            </w:r>
          </w:p>
        </w:tc>
        <w:tc>
          <w:tcPr>
            <w:tcW w:type="dxa" w:w="2493"/>
          </w:tcPr>
          <w:p>
            <w:pPr>
              <w:spacing w:after="0" w:line="240" w:lineRule="auto"/>
              <w:ind w:firstLine="0"/>
              <w:jc w:val="center"/>
            </w:pPr>
            <w:r>
              <w:rPr>
                <w:b w:val="0"/>
                <w:i w:val="0"/>
                <w:sz w:val="20"/>
              </w:rPr>
              <w:t>38,4</w:t>
            </w:r>
          </w:p>
        </w:tc>
      </w:tr>
      <w:tr>
        <w:tc>
          <w:tcPr>
            <w:tcW w:type="dxa" w:w="2493"/>
          </w:tcPr>
          <w:p>
            <w:pPr>
              <w:spacing w:after="0" w:line="240" w:lineRule="auto"/>
              <w:ind w:firstLine="0"/>
              <w:jc w:val="left"/>
            </w:pPr>
            <w:r>
              <w:rPr>
                <w:b w:val="0"/>
                <w:i w:val="0"/>
                <w:sz w:val="20"/>
              </w:rPr>
              <w:t>Простой срок окупаемости, лет</w:t>
            </w:r>
          </w:p>
        </w:tc>
        <w:tc>
          <w:tcPr>
            <w:tcW w:type="dxa" w:w="2493"/>
          </w:tcPr>
          <w:p>
            <w:pPr>
              <w:spacing w:after="0" w:line="240" w:lineRule="auto"/>
              <w:ind w:firstLine="0"/>
              <w:jc w:val="center"/>
            </w:pPr>
            <w:r>
              <w:rPr>
                <w:b w:val="0"/>
                <w:i w:val="0"/>
                <w:sz w:val="20"/>
              </w:rPr>
              <w:t>10,0</w:t>
            </w:r>
          </w:p>
        </w:tc>
        <w:tc>
          <w:tcPr>
            <w:tcW w:type="dxa" w:w="2493"/>
          </w:tcPr>
          <w:p>
            <w:pPr>
              <w:spacing w:after="0" w:line="240" w:lineRule="auto"/>
              <w:ind w:firstLine="0"/>
              <w:jc w:val="center"/>
            </w:pPr>
            <w:r>
              <w:rPr>
                <w:b w:val="0"/>
                <w:i w:val="0"/>
                <w:sz w:val="20"/>
              </w:rPr>
              <w:t>6,3</w:t>
            </w:r>
          </w:p>
        </w:tc>
        <w:tc>
          <w:tcPr>
            <w:tcW w:type="dxa" w:w="2493"/>
          </w:tcPr>
          <w:p>
            <w:pPr>
              <w:spacing w:after="0" w:line="240" w:lineRule="auto"/>
              <w:ind w:firstLine="0"/>
              <w:jc w:val="center"/>
            </w:pPr>
            <w:r>
              <w:rPr>
                <w:b w:val="0"/>
                <w:i w:val="0"/>
                <w:sz w:val="20"/>
              </w:rPr>
              <w:t>5,4</w:t>
            </w:r>
          </w:p>
        </w:tc>
      </w:tr>
      <w:tr>
        <w:tc>
          <w:tcPr>
            <w:tcW w:type="dxa" w:w="2493"/>
          </w:tcPr>
          <w:p>
            <w:pPr>
              <w:spacing w:after="0" w:line="240" w:lineRule="auto"/>
              <w:ind w:firstLine="0"/>
              <w:jc w:val="left"/>
            </w:pPr>
            <w:r>
              <w:rPr>
                <w:b w:val="0"/>
                <w:i w:val="0"/>
                <w:sz w:val="20"/>
              </w:rPr>
              <w:t>Выручка на 1 руб. CAPEX</w:t>
            </w:r>
          </w:p>
        </w:tc>
        <w:tc>
          <w:tcPr>
            <w:tcW w:type="dxa" w:w="2493"/>
          </w:tcPr>
          <w:p>
            <w:pPr>
              <w:spacing w:after="0" w:line="240" w:lineRule="auto"/>
              <w:ind w:firstLine="0"/>
              <w:jc w:val="center"/>
            </w:pPr>
            <w:r>
              <w:rPr>
                <w:b w:val="0"/>
                <w:i w:val="0"/>
                <w:sz w:val="20"/>
              </w:rPr>
              <w:t>0,33</w:t>
            </w:r>
          </w:p>
        </w:tc>
        <w:tc>
          <w:tcPr>
            <w:tcW w:type="dxa" w:w="2493"/>
          </w:tcPr>
          <w:p>
            <w:pPr>
              <w:spacing w:after="0" w:line="240" w:lineRule="auto"/>
              <w:ind w:firstLine="0"/>
              <w:jc w:val="center"/>
            </w:pPr>
            <w:r>
              <w:rPr>
                <w:b w:val="0"/>
                <w:i w:val="0"/>
                <w:sz w:val="20"/>
              </w:rPr>
              <w:t>0,44</w:t>
            </w:r>
          </w:p>
        </w:tc>
        <w:tc>
          <w:tcPr>
            <w:tcW w:type="dxa" w:w="2493"/>
          </w:tcPr>
          <w:p>
            <w:pPr>
              <w:spacing w:after="0" w:line="240" w:lineRule="auto"/>
              <w:ind w:firstLine="0"/>
              <w:jc w:val="center"/>
            </w:pPr>
            <w:r>
              <w:rPr>
                <w:b w:val="0"/>
                <w:i w:val="0"/>
                <w:sz w:val="20"/>
              </w:rPr>
              <w:t>0,48</w:t>
            </w:r>
          </w:p>
        </w:tc>
      </w:tr>
      <w:tr>
        <w:tc>
          <w:tcPr>
            <w:tcW w:type="dxa" w:w="2493"/>
          </w:tcPr>
          <w:p>
            <w:pPr>
              <w:spacing w:after="0" w:line="240" w:lineRule="auto"/>
              <w:ind w:firstLine="0"/>
              <w:jc w:val="left"/>
            </w:pPr>
            <w:r>
              <w:rPr>
                <w:b w:val="0"/>
                <w:i w:val="0"/>
                <w:sz w:val="20"/>
              </w:rPr>
              <w:t>Число рабочих мест</w:t>
            </w:r>
          </w:p>
        </w:tc>
        <w:tc>
          <w:tcPr>
            <w:tcW w:type="dxa" w:w="2493"/>
          </w:tcPr>
          <w:p>
            <w:pPr>
              <w:spacing w:after="0" w:line="240" w:lineRule="auto"/>
              <w:ind w:firstLine="0"/>
              <w:jc w:val="center"/>
            </w:pPr>
            <w:r>
              <w:rPr>
                <w:b w:val="0"/>
                <w:i w:val="0"/>
                <w:sz w:val="20"/>
              </w:rPr>
              <w:t>850</w:t>
            </w:r>
          </w:p>
        </w:tc>
        <w:tc>
          <w:tcPr>
            <w:tcW w:type="dxa" w:w="2493"/>
          </w:tcPr>
          <w:p>
            <w:pPr>
              <w:spacing w:after="0" w:line="240" w:lineRule="auto"/>
              <w:ind w:firstLine="0"/>
              <w:jc w:val="center"/>
            </w:pPr>
            <w:r>
              <w:rPr>
                <w:b w:val="0"/>
                <w:i w:val="0"/>
                <w:sz w:val="20"/>
              </w:rPr>
              <w:t>1 450</w:t>
            </w:r>
          </w:p>
        </w:tc>
        <w:tc>
          <w:tcPr>
            <w:tcW w:type="dxa" w:w="2493"/>
          </w:tcPr>
          <w:p>
            <w:pPr>
              <w:spacing w:after="0" w:line="240" w:lineRule="auto"/>
              <w:ind w:firstLine="0"/>
              <w:jc w:val="center"/>
            </w:pPr>
            <w:r>
              <w:rPr>
                <w:b w:val="0"/>
                <w:i w:val="0"/>
                <w:sz w:val="20"/>
              </w:rPr>
              <w:t>2 900</w:t>
            </w:r>
          </w:p>
        </w:tc>
      </w:tr>
    </w:tbl>
    <w:p>
      <w:pPr>
        <w:spacing w:after="180"/>
        <w:ind w:firstLine="0"/>
      </w:pPr>
      <w:r>
        <w:rPr>
          <w:i/>
          <w:sz w:val="20"/>
        </w:rPr>
        <w:t>Источник: расчёт аналитического центра при ценах 2025 г.</w:t>
      </w:r>
    </w:p>
    <w:p>
      <w:pPr>
        <w:keepNext/>
        <w:spacing w:before="160" w:after="60"/>
        <w:ind w:firstLine="0"/>
        <w:jc w:val="left"/>
      </w:pPr>
      <w:r>
        <w:rPr>
          <w:b/>
          <w:sz w:val="22"/>
        </w:rPr>
        <w:t>Рисунок 90. Сопоставление экономических показателей моделей развития редкоземельного производства</w:t>
      </w:r>
    </w:p>
    <w:p>
      <w:pPr>
        <w:ind w:firstLine="0"/>
        <w:jc w:val="center"/>
      </w:pPr>
      <w:r>
        <w:drawing>
          <wp:inline xmlns:a="http://schemas.openxmlformats.org/drawingml/2006/main" xmlns:pic="http://schemas.openxmlformats.org/drawingml/2006/picture">
            <wp:extent cx="5580000" cy="2446304"/>
            <wp:docPr id="90" name="Picture 90"/>
            <wp:cNvGraphicFramePr>
              <a:graphicFrameLocks noChangeAspect="1"/>
            </wp:cNvGraphicFramePr>
            <a:graphic>
              <a:graphicData uri="http://schemas.openxmlformats.org/drawingml/2006/picture">
                <pic:pic>
                  <pic:nvPicPr>
                    <pic:cNvPr id="0" name="fig90.png"/>
                    <pic:cNvPicPr/>
                  </pic:nvPicPr>
                  <pic:blipFill>
                    <a:blip r:embed="rId100"/>
                    <a:stretch>
                      <a:fillRect/>
                    </a:stretch>
                  </pic:blipFill>
                  <pic:spPr>
                    <a:xfrm>
                      <a:off x="0" y="0"/>
                      <a:ext cx="5580000" cy="2446304"/>
                    </a:xfrm>
                    <a:prstGeom prst="rect"/>
                  </pic:spPr>
                </pic:pic>
              </a:graphicData>
            </a:graphic>
          </wp:inline>
        </w:drawing>
      </w:r>
    </w:p>
    <w:p>
      <w:pPr>
        <w:spacing w:after="180"/>
        <w:ind w:firstLine="0"/>
      </w:pPr>
      <w:r>
        <w:rPr>
          <w:i/>
          <w:sz w:val="20"/>
        </w:rPr>
        <w:t>Источник: расчёт аналитического центра (табл. 122)</w:t>
      </w:r>
    </w:p>
    <w:p>
      <w:r>
        <w:rPr>
          <w:b w:val="0"/>
          <w:i w:val="0"/>
        </w:rPr>
        <w:t>Расчёт подтверждает вывод, сформулированный в разделе 16.7: несмотря на кратно большие капитальные затраты, модель полного цикла обеспечивает лучшие показатели эффективности использования капитала и кратно больший вклад в занятость и налоговую базу. Соотношение «выручка на рубль капитальных вложений» улучшается с 0,33 до 0,48, срок окупаемости сокращается с 10 до 5,4 лет.</w:t>
      </w:r>
    </w:p>
    <w:p>
      <w:r>
        <w:rPr>
          <w:b w:val="0"/>
          <w:i w:val="0"/>
        </w:rPr>
        <w:t>Дополнительным, не отражённым в расчёте фактором является устойчивость к ценовым колебаниям. Производитель сырья полностью подвержен ценовому риску; производитель магнитов, у которого сырьевая составляющая формирует 45–60% себестоимости, а цена конечной продукции менее волатильна, обладает существенно большей устойчивостью.</w:t>
      </w:r>
    </w:p>
    <w:p>
      <w:pPr>
        <w:pStyle w:val="Heading2"/>
      </w:pPr>
      <w:r>
        <w:rPr>
          <w:b w:val="0"/>
          <w:i w:val="0"/>
        </w:rPr>
        <w:t>17.3. Анализ чувствительности</w:t>
      </w:r>
    </w:p>
    <w:p>
      <w:pPr>
        <w:keepNext/>
        <w:spacing w:before="160" w:after="60"/>
        <w:ind w:firstLine="0"/>
        <w:jc w:val="left"/>
      </w:pPr>
      <w:r>
        <w:rPr>
          <w:b/>
          <w:sz w:val="22"/>
        </w:rPr>
        <w:t>Таблица 123. Анализ чувствительности показателей проекта полного цикла к ключевым факторам</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Фактор</w:t>
            </w:r>
          </w:p>
        </w:tc>
        <w:tc>
          <w:tcPr>
            <w:tcW w:type="dxa" w:w="2493"/>
            <w:shd w:val="clear" w:fill="DCE6F1"/>
          </w:tcPr>
          <w:p>
            <w:pPr>
              <w:spacing w:after="0" w:line="240" w:lineRule="auto"/>
              <w:ind w:firstLine="0"/>
              <w:jc w:val="center"/>
            </w:pPr>
            <w:r>
              <w:rPr>
                <w:b/>
                <w:i w:val="0"/>
                <w:sz w:val="20"/>
              </w:rPr>
              <w:t>Изменение</w:t>
            </w:r>
          </w:p>
        </w:tc>
        <w:tc>
          <w:tcPr>
            <w:tcW w:type="dxa" w:w="2493"/>
            <w:shd w:val="clear" w:fill="DCE6F1"/>
          </w:tcPr>
          <w:p>
            <w:pPr>
              <w:spacing w:after="0" w:line="240" w:lineRule="auto"/>
              <w:ind w:firstLine="0"/>
              <w:jc w:val="center"/>
            </w:pPr>
            <w:r>
              <w:rPr>
                <w:b/>
                <w:i w:val="0"/>
                <w:sz w:val="20"/>
              </w:rPr>
              <w:t>Изменение EBITDA, %</w:t>
            </w:r>
          </w:p>
        </w:tc>
        <w:tc>
          <w:tcPr>
            <w:tcW w:type="dxa" w:w="2493"/>
            <w:shd w:val="clear" w:fill="DCE6F1"/>
          </w:tcPr>
          <w:p>
            <w:pPr>
              <w:spacing w:after="0" w:line="240" w:lineRule="auto"/>
              <w:ind w:firstLine="0"/>
              <w:jc w:val="center"/>
            </w:pPr>
            <w:r>
              <w:rPr>
                <w:b/>
                <w:i w:val="0"/>
                <w:sz w:val="20"/>
              </w:rPr>
              <w:t>Критичность</w:t>
            </w:r>
          </w:p>
        </w:tc>
      </w:tr>
      <w:tr>
        <w:tc>
          <w:tcPr>
            <w:tcW w:type="dxa" w:w="2493"/>
          </w:tcPr>
          <w:p>
            <w:pPr>
              <w:spacing w:after="0" w:line="240" w:lineRule="auto"/>
              <w:ind w:firstLine="0"/>
              <w:jc w:val="left"/>
            </w:pPr>
            <w:r>
              <w:rPr>
                <w:b w:val="0"/>
                <w:i w:val="0"/>
                <w:sz w:val="20"/>
              </w:rPr>
              <w:t>Цена NdPr</w:t>
            </w:r>
          </w:p>
        </w:tc>
        <w:tc>
          <w:tcPr>
            <w:tcW w:type="dxa" w:w="2493"/>
          </w:tcPr>
          <w:p>
            <w:pPr>
              <w:spacing w:after="0" w:line="240" w:lineRule="auto"/>
              <w:ind w:firstLine="0"/>
              <w:jc w:val="center"/>
            </w:pPr>
            <w:r>
              <w:rPr>
                <w:b w:val="0"/>
                <w:i w:val="0"/>
                <w:sz w:val="20"/>
              </w:rPr>
              <w:t>−20%</w:t>
            </w:r>
          </w:p>
        </w:tc>
        <w:tc>
          <w:tcPr>
            <w:tcW w:type="dxa" w:w="2493"/>
          </w:tcPr>
          <w:p>
            <w:pPr>
              <w:spacing w:after="0" w:line="240" w:lineRule="auto"/>
              <w:ind w:firstLine="0"/>
              <w:jc w:val="center"/>
            </w:pPr>
            <w:r>
              <w:rPr>
                <w:b w:val="0"/>
                <w:i w:val="0"/>
                <w:sz w:val="20"/>
              </w:rPr>
              <w:t>−34</w:t>
            </w:r>
          </w:p>
        </w:tc>
        <w:tc>
          <w:tcPr>
            <w:tcW w:type="dxa" w:w="2493"/>
          </w:tcPr>
          <w:p>
            <w:pPr>
              <w:spacing w:after="0" w:line="240" w:lineRule="auto"/>
              <w:ind w:firstLine="0"/>
              <w:jc w:val="center"/>
            </w:pPr>
            <w:r>
              <w:rPr>
                <w:b w:val="0"/>
                <w:i w:val="0"/>
                <w:sz w:val="20"/>
              </w:rPr>
              <w:t>очень высокая</w:t>
            </w:r>
          </w:p>
        </w:tc>
      </w:tr>
      <w:tr>
        <w:tc>
          <w:tcPr>
            <w:tcW w:type="dxa" w:w="2493"/>
          </w:tcPr>
          <w:p>
            <w:pPr>
              <w:spacing w:after="0" w:line="240" w:lineRule="auto"/>
              <w:ind w:firstLine="0"/>
              <w:jc w:val="left"/>
            </w:pPr>
            <w:r>
              <w:rPr>
                <w:b w:val="0"/>
                <w:i w:val="0"/>
                <w:sz w:val="20"/>
              </w:rPr>
              <w:t>Цена NdPr</w:t>
            </w:r>
          </w:p>
        </w:tc>
        <w:tc>
          <w:tcPr>
            <w:tcW w:type="dxa" w:w="2493"/>
          </w:tcPr>
          <w:p>
            <w:pPr>
              <w:spacing w:after="0" w:line="240" w:lineRule="auto"/>
              <w:ind w:firstLine="0"/>
              <w:jc w:val="center"/>
            </w:pPr>
            <w:r>
              <w:rPr>
                <w:b w:val="0"/>
                <w:i w:val="0"/>
                <w:sz w:val="20"/>
              </w:rPr>
              <w:t>+20%</w:t>
            </w:r>
          </w:p>
        </w:tc>
        <w:tc>
          <w:tcPr>
            <w:tcW w:type="dxa" w:w="2493"/>
          </w:tcPr>
          <w:p>
            <w:pPr>
              <w:spacing w:after="0" w:line="240" w:lineRule="auto"/>
              <w:ind w:firstLine="0"/>
              <w:jc w:val="center"/>
            </w:pPr>
            <w:r>
              <w:rPr>
                <w:b w:val="0"/>
                <w:i w:val="0"/>
                <w:sz w:val="20"/>
              </w:rPr>
              <w:t>+34</w:t>
            </w:r>
          </w:p>
        </w:tc>
        <w:tc>
          <w:tcPr>
            <w:tcW w:type="dxa" w:w="2493"/>
          </w:tcPr>
          <w:p>
            <w:pPr>
              <w:spacing w:after="0" w:line="240" w:lineRule="auto"/>
              <w:ind w:firstLine="0"/>
              <w:jc w:val="center"/>
            </w:pPr>
            <w:r>
              <w:rPr>
                <w:b w:val="0"/>
                <w:i w:val="0"/>
                <w:sz w:val="20"/>
              </w:rPr>
              <w:t>очень высокая</w:t>
            </w:r>
          </w:p>
        </w:tc>
      </w:tr>
      <w:tr>
        <w:tc>
          <w:tcPr>
            <w:tcW w:type="dxa" w:w="2493"/>
          </w:tcPr>
          <w:p>
            <w:pPr>
              <w:spacing w:after="0" w:line="240" w:lineRule="auto"/>
              <w:ind w:firstLine="0"/>
              <w:jc w:val="left"/>
            </w:pPr>
            <w:r>
              <w:rPr>
                <w:b w:val="0"/>
                <w:i w:val="0"/>
                <w:sz w:val="20"/>
              </w:rPr>
              <w:t>Цена магнитов</w:t>
            </w:r>
          </w:p>
        </w:tc>
        <w:tc>
          <w:tcPr>
            <w:tcW w:type="dxa" w:w="2493"/>
          </w:tcPr>
          <w:p>
            <w:pPr>
              <w:spacing w:after="0" w:line="240" w:lineRule="auto"/>
              <w:ind w:firstLine="0"/>
              <w:jc w:val="center"/>
            </w:pPr>
            <w:r>
              <w:rPr>
                <w:b w:val="0"/>
                <w:i w:val="0"/>
                <w:sz w:val="20"/>
              </w:rPr>
              <w:t>−15%</w:t>
            </w:r>
          </w:p>
        </w:tc>
        <w:tc>
          <w:tcPr>
            <w:tcW w:type="dxa" w:w="2493"/>
          </w:tcPr>
          <w:p>
            <w:pPr>
              <w:spacing w:after="0" w:line="240" w:lineRule="auto"/>
              <w:ind w:firstLine="0"/>
              <w:jc w:val="center"/>
            </w:pPr>
            <w:r>
              <w:rPr>
                <w:b w:val="0"/>
                <w:i w:val="0"/>
                <w:sz w:val="20"/>
              </w:rPr>
              <w:t>−29</w:t>
            </w:r>
          </w:p>
        </w:tc>
        <w:tc>
          <w:tcPr>
            <w:tcW w:type="dxa" w:w="2493"/>
          </w:tcPr>
          <w:p>
            <w:pPr>
              <w:spacing w:after="0" w:line="240" w:lineRule="auto"/>
              <w:ind w:firstLine="0"/>
              <w:jc w:val="center"/>
            </w:pPr>
            <w:r>
              <w:rPr>
                <w:b w:val="0"/>
                <w:i w:val="0"/>
                <w:sz w:val="20"/>
              </w:rPr>
              <w:t>очень высокая</w:t>
            </w:r>
          </w:p>
        </w:tc>
      </w:tr>
      <w:tr>
        <w:tc>
          <w:tcPr>
            <w:tcW w:type="dxa" w:w="2493"/>
          </w:tcPr>
          <w:p>
            <w:pPr>
              <w:spacing w:after="0" w:line="240" w:lineRule="auto"/>
              <w:ind w:firstLine="0"/>
              <w:jc w:val="left"/>
            </w:pPr>
            <w:r>
              <w:rPr>
                <w:b w:val="0"/>
                <w:i w:val="0"/>
                <w:sz w:val="20"/>
              </w:rPr>
              <w:t>Капитальные затраты</w:t>
            </w:r>
          </w:p>
        </w:tc>
        <w:tc>
          <w:tcPr>
            <w:tcW w:type="dxa" w:w="2493"/>
          </w:tcPr>
          <w:p>
            <w:pPr>
              <w:spacing w:after="0" w:line="240" w:lineRule="auto"/>
              <w:ind w:firstLine="0"/>
              <w:jc w:val="center"/>
            </w:pPr>
            <w:r>
              <w:rPr>
                <w:b w:val="0"/>
                <w:i w:val="0"/>
                <w:sz w:val="20"/>
              </w:rPr>
              <w:t>+30%</w:t>
            </w:r>
          </w:p>
        </w:tc>
        <w:tc>
          <w:tcPr>
            <w:tcW w:type="dxa" w:w="2493"/>
          </w:tcPr>
          <w:p>
            <w:pPr>
              <w:spacing w:after="0" w:line="240" w:lineRule="auto"/>
              <w:ind w:firstLine="0"/>
              <w:jc w:val="center"/>
            </w:pPr>
            <w:r>
              <w:rPr>
                <w:b w:val="0"/>
                <w:i w:val="0"/>
                <w:sz w:val="20"/>
              </w:rPr>
              <w:t>−6 (через амортизацию)</w:t>
            </w:r>
          </w:p>
        </w:tc>
        <w:tc>
          <w:tcPr>
            <w:tcW w:type="dxa" w:w="2493"/>
          </w:tcPr>
          <w:p>
            <w:pPr>
              <w:spacing w:after="0" w:line="240" w:lineRule="auto"/>
              <w:ind w:firstLine="0"/>
              <w:jc w:val="center"/>
            </w:pPr>
            <w:r>
              <w:rPr>
                <w:b w:val="0"/>
                <w:i w:val="0"/>
                <w:sz w:val="20"/>
              </w:rPr>
              <w:t>средняя</w:t>
            </w:r>
          </w:p>
        </w:tc>
      </w:tr>
      <w:tr>
        <w:tc>
          <w:tcPr>
            <w:tcW w:type="dxa" w:w="2493"/>
          </w:tcPr>
          <w:p>
            <w:pPr>
              <w:spacing w:after="0" w:line="240" w:lineRule="auto"/>
              <w:ind w:firstLine="0"/>
              <w:jc w:val="left"/>
            </w:pPr>
            <w:r>
              <w:rPr>
                <w:b w:val="0"/>
                <w:i w:val="0"/>
                <w:sz w:val="20"/>
              </w:rPr>
              <w:t>Курс рубля</w:t>
            </w:r>
          </w:p>
        </w:tc>
        <w:tc>
          <w:tcPr>
            <w:tcW w:type="dxa" w:w="2493"/>
          </w:tcPr>
          <w:p>
            <w:pPr>
              <w:spacing w:after="0" w:line="240" w:lineRule="auto"/>
              <w:ind w:firstLine="0"/>
              <w:jc w:val="center"/>
            </w:pPr>
            <w:r>
              <w:rPr>
                <w:b w:val="0"/>
                <w:i w:val="0"/>
                <w:sz w:val="20"/>
              </w:rPr>
              <w:t>−20%</w:t>
            </w:r>
          </w:p>
        </w:tc>
        <w:tc>
          <w:tcPr>
            <w:tcW w:type="dxa" w:w="2493"/>
          </w:tcPr>
          <w:p>
            <w:pPr>
              <w:spacing w:after="0" w:line="240" w:lineRule="auto"/>
              <w:ind w:firstLine="0"/>
              <w:jc w:val="center"/>
            </w:pPr>
            <w:r>
              <w:rPr>
                <w:b w:val="0"/>
                <w:i w:val="0"/>
                <w:sz w:val="20"/>
              </w:rPr>
              <w:t>+18</w:t>
            </w:r>
          </w:p>
        </w:tc>
        <w:tc>
          <w:tcPr>
            <w:tcW w:type="dxa" w:w="2493"/>
          </w:tcPr>
          <w:p>
            <w:pPr>
              <w:spacing w:after="0" w:line="240" w:lineRule="auto"/>
              <w:ind w:firstLine="0"/>
              <w:jc w:val="center"/>
            </w:pPr>
            <w:r>
              <w:rPr>
                <w:b w:val="0"/>
                <w:i w:val="0"/>
                <w:sz w:val="20"/>
              </w:rPr>
              <w:t>средняя</w:t>
            </w:r>
          </w:p>
        </w:tc>
      </w:tr>
      <w:tr>
        <w:tc>
          <w:tcPr>
            <w:tcW w:type="dxa" w:w="2493"/>
          </w:tcPr>
          <w:p>
            <w:pPr>
              <w:spacing w:after="0" w:line="240" w:lineRule="auto"/>
              <w:ind w:firstLine="0"/>
              <w:jc w:val="left"/>
            </w:pPr>
            <w:r>
              <w:rPr>
                <w:b w:val="0"/>
                <w:i w:val="0"/>
                <w:sz w:val="20"/>
              </w:rPr>
              <w:t>Стоимость реагентов</w:t>
            </w:r>
          </w:p>
        </w:tc>
        <w:tc>
          <w:tcPr>
            <w:tcW w:type="dxa" w:w="2493"/>
          </w:tcPr>
          <w:p>
            <w:pPr>
              <w:spacing w:after="0" w:line="240" w:lineRule="auto"/>
              <w:ind w:firstLine="0"/>
              <w:jc w:val="center"/>
            </w:pPr>
            <w:r>
              <w:rPr>
                <w:b w:val="0"/>
                <w:i w:val="0"/>
                <w:sz w:val="20"/>
              </w:rPr>
              <w:t>+25%</w:t>
            </w:r>
          </w:p>
        </w:tc>
        <w:tc>
          <w:tcPr>
            <w:tcW w:type="dxa" w:w="2493"/>
          </w:tcPr>
          <w:p>
            <w:pPr>
              <w:spacing w:after="0" w:line="240" w:lineRule="auto"/>
              <w:ind w:firstLine="0"/>
              <w:jc w:val="center"/>
            </w:pPr>
            <w:r>
              <w:rPr>
                <w:b w:val="0"/>
                <w:i w:val="0"/>
                <w:sz w:val="20"/>
              </w:rPr>
              <w:t>−11</w:t>
            </w:r>
          </w:p>
        </w:tc>
        <w:tc>
          <w:tcPr>
            <w:tcW w:type="dxa" w:w="2493"/>
          </w:tcPr>
          <w:p>
            <w:pPr>
              <w:spacing w:after="0" w:line="240" w:lineRule="auto"/>
              <w:ind w:firstLine="0"/>
              <w:jc w:val="center"/>
            </w:pPr>
            <w:r>
              <w:rPr>
                <w:b w:val="0"/>
                <w:i w:val="0"/>
                <w:sz w:val="20"/>
              </w:rPr>
              <w:t>средняя</w:t>
            </w:r>
          </w:p>
        </w:tc>
      </w:tr>
      <w:tr>
        <w:tc>
          <w:tcPr>
            <w:tcW w:type="dxa" w:w="2493"/>
          </w:tcPr>
          <w:p>
            <w:pPr>
              <w:spacing w:after="0" w:line="240" w:lineRule="auto"/>
              <w:ind w:firstLine="0"/>
              <w:jc w:val="left"/>
            </w:pPr>
            <w:r>
              <w:rPr>
                <w:b w:val="0"/>
                <w:i w:val="0"/>
                <w:sz w:val="20"/>
              </w:rPr>
              <w:t>Тариф на электроэнергию</w:t>
            </w:r>
          </w:p>
        </w:tc>
        <w:tc>
          <w:tcPr>
            <w:tcW w:type="dxa" w:w="2493"/>
          </w:tcPr>
          <w:p>
            <w:pPr>
              <w:spacing w:after="0" w:line="240" w:lineRule="auto"/>
              <w:ind w:firstLine="0"/>
              <w:jc w:val="center"/>
            </w:pPr>
            <w:r>
              <w:rPr>
                <w:b w:val="0"/>
                <w:i w:val="0"/>
                <w:sz w:val="20"/>
              </w:rPr>
              <w:t>+30%</w:t>
            </w:r>
          </w:p>
        </w:tc>
        <w:tc>
          <w:tcPr>
            <w:tcW w:type="dxa" w:w="2493"/>
          </w:tcPr>
          <w:p>
            <w:pPr>
              <w:spacing w:after="0" w:line="240" w:lineRule="auto"/>
              <w:ind w:firstLine="0"/>
              <w:jc w:val="center"/>
            </w:pPr>
            <w:r>
              <w:rPr>
                <w:b w:val="0"/>
                <w:i w:val="0"/>
                <w:sz w:val="20"/>
              </w:rPr>
              <w:t>−8</w:t>
            </w:r>
          </w:p>
        </w:tc>
        <w:tc>
          <w:tcPr>
            <w:tcW w:type="dxa" w:w="2493"/>
          </w:tcPr>
          <w:p>
            <w:pPr>
              <w:spacing w:after="0" w:line="240" w:lineRule="auto"/>
              <w:ind w:firstLine="0"/>
              <w:jc w:val="center"/>
            </w:pPr>
            <w:r>
              <w:rPr>
                <w:b w:val="0"/>
                <w:i w:val="0"/>
                <w:sz w:val="20"/>
              </w:rPr>
              <w:t>низкая</w:t>
            </w:r>
          </w:p>
        </w:tc>
      </w:tr>
      <w:tr>
        <w:tc>
          <w:tcPr>
            <w:tcW w:type="dxa" w:w="2493"/>
          </w:tcPr>
          <w:p>
            <w:pPr>
              <w:spacing w:after="0" w:line="240" w:lineRule="auto"/>
              <w:ind w:firstLine="0"/>
              <w:jc w:val="left"/>
            </w:pPr>
            <w:r>
              <w:rPr>
                <w:b w:val="0"/>
                <w:i w:val="0"/>
                <w:sz w:val="20"/>
              </w:rPr>
              <w:t>Извлечение по цепочке</w:t>
            </w:r>
          </w:p>
        </w:tc>
        <w:tc>
          <w:tcPr>
            <w:tcW w:type="dxa" w:w="2493"/>
          </w:tcPr>
          <w:p>
            <w:pPr>
              <w:spacing w:after="0" w:line="240" w:lineRule="auto"/>
              <w:ind w:firstLine="0"/>
              <w:jc w:val="center"/>
            </w:pPr>
            <w:r>
              <w:rPr>
                <w:b w:val="0"/>
                <w:i w:val="0"/>
                <w:sz w:val="20"/>
              </w:rPr>
              <w:t>−5 п. п.</w:t>
            </w:r>
          </w:p>
        </w:tc>
        <w:tc>
          <w:tcPr>
            <w:tcW w:type="dxa" w:w="2493"/>
          </w:tcPr>
          <w:p>
            <w:pPr>
              <w:spacing w:after="0" w:line="240" w:lineRule="auto"/>
              <w:ind w:firstLine="0"/>
              <w:jc w:val="center"/>
            </w:pPr>
            <w:r>
              <w:rPr>
                <w:b w:val="0"/>
                <w:i w:val="0"/>
                <w:sz w:val="20"/>
              </w:rPr>
              <w:t>−12</w:t>
            </w:r>
          </w:p>
        </w:tc>
        <w:tc>
          <w:tcPr>
            <w:tcW w:type="dxa" w:w="2493"/>
          </w:tcPr>
          <w:p>
            <w:pPr>
              <w:spacing w:after="0" w:line="240" w:lineRule="auto"/>
              <w:ind w:firstLine="0"/>
              <w:jc w:val="center"/>
            </w:pPr>
            <w:r>
              <w:rPr>
                <w:b w:val="0"/>
                <w:i w:val="0"/>
                <w:sz w:val="20"/>
              </w:rPr>
              <w:t>средняя</w:t>
            </w:r>
          </w:p>
        </w:tc>
      </w:tr>
      <w:tr>
        <w:tc>
          <w:tcPr>
            <w:tcW w:type="dxa" w:w="2493"/>
          </w:tcPr>
          <w:p>
            <w:pPr>
              <w:spacing w:after="0" w:line="240" w:lineRule="auto"/>
              <w:ind w:firstLine="0"/>
              <w:jc w:val="left"/>
            </w:pPr>
            <w:r>
              <w:rPr>
                <w:b w:val="0"/>
                <w:i w:val="0"/>
                <w:sz w:val="20"/>
              </w:rPr>
              <w:t>Срок выхода на мощность</w:t>
            </w:r>
          </w:p>
        </w:tc>
        <w:tc>
          <w:tcPr>
            <w:tcW w:type="dxa" w:w="2493"/>
          </w:tcPr>
          <w:p>
            <w:pPr>
              <w:spacing w:after="0" w:line="240" w:lineRule="auto"/>
              <w:ind w:firstLine="0"/>
              <w:jc w:val="center"/>
            </w:pPr>
            <w:r>
              <w:rPr>
                <w:b w:val="0"/>
                <w:i w:val="0"/>
                <w:sz w:val="20"/>
              </w:rPr>
              <w:t>+2 года</w:t>
            </w:r>
          </w:p>
        </w:tc>
        <w:tc>
          <w:tcPr>
            <w:tcW w:type="dxa" w:w="2493"/>
          </w:tcPr>
          <w:p>
            <w:pPr>
              <w:spacing w:after="0" w:line="240" w:lineRule="auto"/>
              <w:ind w:firstLine="0"/>
              <w:jc w:val="center"/>
            </w:pPr>
            <w:r>
              <w:rPr>
                <w:b w:val="0"/>
                <w:i w:val="0"/>
                <w:sz w:val="20"/>
              </w:rPr>
              <w:t>−22 (NPV)</w:t>
            </w:r>
          </w:p>
        </w:tc>
        <w:tc>
          <w:tcPr>
            <w:tcW w:type="dxa" w:w="2493"/>
          </w:tcPr>
          <w:p>
            <w:pPr>
              <w:spacing w:after="0" w:line="240" w:lineRule="auto"/>
              <w:ind w:firstLine="0"/>
              <w:jc w:val="center"/>
            </w:pPr>
            <w:r>
              <w:rPr>
                <w:b w:val="0"/>
                <w:i w:val="0"/>
                <w:sz w:val="20"/>
              </w:rPr>
              <w:t>высокая</w:t>
            </w:r>
          </w:p>
        </w:tc>
      </w:tr>
      <w:tr>
        <w:tc>
          <w:tcPr>
            <w:tcW w:type="dxa" w:w="2493"/>
          </w:tcPr>
          <w:p>
            <w:pPr>
              <w:spacing w:after="0" w:line="240" w:lineRule="auto"/>
              <w:ind w:firstLine="0"/>
              <w:jc w:val="left"/>
            </w:pPr>
            <w:r>
              <w:rPr>
                <w:b w:val="0"/>
                <w:i w:val="0"/>
                <w:sz w:val="20"/>
              </w:rPr>
              <w:t>Ставка дисконтирования</w:t>
            </w:r>
          </w:p>
        </w:tc>
        <w:tc>
          <w:tcPr>
            <w:tcW w:type="dxa" w:w="2493"/>
          </w:tcPr>
          <w:p>
            <w:pPr>
              <w:spacing w:after="0" w:line="240" w:lineRule="auto"/>
              <w:ind w:firstLine="0"/>
              <w:jc w:val="center"/>
            </w:pPr>
            <w:r>
              <w:rPr>
                <w:b w:val="0"/>
                <w:i w:val="0"/>
                <w:sz w:val="20"/>
              </w:rPr>
              <w:t>+5 п. п.</w:t>
            </w:r>
          </w:p>
        </w:tc>
        <w:tc>
          <w:tcPr>
            <w:tcW w:type="dxa" w:w="2493"/>
          </w:tcPr>
          <w:p>
            <w:pPr>
              <w:spacing w:after="0" w:line="240" w:lineRule="auto"/>
              <w:ind w:firstLine="0"/>
              <w:jc w:val="center"/>
            </w:pPr>
            <w:r>
              <w:rPr>
                <w:b w:val="0"/>
                <w:i w:val="0"/>
                <w:sz w:val="20"/>
              </w:rPr>
              <w:t>−31 (NPV)</w:t>
            </w:r>
          </w:p>
        </w:tc>
        <w:tc>
          <w:tcPr>
            <w:tcW w:type="dxa" w:w="2493"/>
          </w:tcPr>
          <w:p>
            <w:pPr>
              <w:spacing w:after="0" w:line="240" w:lineRule="auto"/>
              <w:ind w:firstLine="0"/>
              <w:jc w:val="center"/>
            </w:pPr>
            <w:r>
              <w:rPr>
                <w:b w:val="0"/>
                <w:i w:val="0"/>
                <w:sz w:val="20"/>
              </w:rPr>
              <w:t>высокая</w:t>
            </w:r>
          </w:p>
        </w:tc>
      </w:tr>
    </w:tbl>
    <w:p>
      <w:pPr>
        <w:spacing w:after="180"/>
        <w:ind w:firstLine="0"/>
      </w:pPr>
      <w:r>
        <w:rPr>
          <w:i/>
          <w:sz w:val="20"/>
        </w:rPr>
        <w:t>Источник: расчёт аналитического центра; базовый вариант — модель В табл. 122</w:t>
      </w:r>
    </w:p>
    <w:p>
      <w:pPr>
        <w:keepNext/>
        <w:spacing w:before="160" w:after="60"/>
        <w:ind w:firstLine="0"/>
        <w:jc w:val="left"/>
      </w:pPr>
      <w:r>
        <w:rPr>
          <w:b/>
          <w:sz w:val="22"/>
        </w:rPr>
        <w:t>Рисунок 91. Чувствительность EBITDA проекта полного цикла к изменению ключевых факторов, %</w:t>
      </w:r>
    </w:p>
    <w:p>
      <w:pPr>
        <w:ind w:firstLine="0"/>
        <w:jc w:val="center"/>
      </w:pPr>
      <w:r>
        <w:drawing>
          <wp:inline xmlns:a="http://schemas.openxmlformats.org/drawingml/2006/main" xmlns:pic="http://schemas.openxmlformats.org/drawingml/2006/picture">
            <wp:extent cx="5580000" cy="2745522"/>
            <wp:docPr id="91" name="Picture 91"/>
            <wp:cNvGraphicFramePr>
              <a:graphicFrameLocks noChangeAspect="1"/>
            </wp:cNvGraphicFramePr>
            <a:graphic>
              <a:graphicData uri="http://schemas.openxmlformats.org/drawingml/2006/picture">
                <pic:pic>
                  <pic:nvPicPr>
                    <pic:cNvPr id="0" name="fig91.png"/>
                    <pic:cNvPicPr/>
                  </pic:nvPicPr>
                  <pic:blipFill>
                    <a:blip r:embed="rId101"/>
                    <a:stretch>
                      <a:fillRect/>
                    </a:stretch>
                  </pic:blipFill>
                  <pic:spPr>
                    <a:xfrm>
                      <a:off x="0" y="0"/>
                      <a:ext cx="5580000" cy="2745522"/>
                    </a:xfrm>
                    <a:prstGeom prst="rect"/>
                  </pic:spPr>
                </pic:pic>
              </a:graphicData>
            </a:graphic>
          </wp:inline>
        </w:drawing>
      </w:r>
    </w:p>
    <w:p>
      <w:pPr>
        <w:spacing w:after="180"/>
        <w:ind w:firstLine="0"/>
      </w:pPr>
      <w:r>
        <w:rPr>
          <w:i/>
          <w:sz w:val="20"/>
        </w:rPr>
        <w:t>Источник: расчёт аналитического центра (табл. 123)</w:t>
      </w:r>
    </w:p>
    <w:p>
      <w:r>
        <w:rPr>
          <w:b w:val="0"/>
          <w:i w:val="0"/>
        </w:rPr>
        <w:t>Анализ чувствительности подтверждает вывод главы 6: доминирующим фактором является цена продукции, а не издержки. Изменение цены NdPr на 20% влияет на EBITDA сильнее, чем 30-процентное превышение капитальных затрат и 25-процентный рост стоимости реагентов вместе взятые. Отсюда следует практический вывод для государственной политики: механизм ценовой стабилизации оказывает на инвестиционную привлекательность проектов кратно большее воздействие, чем любые меры по субсидированию затрат.</w:t>
      </w:r>
    </w:p>
    <w:p>
      <w:pPr>
        <w:pStyle w:val="Heading2"/>
      </w:pPr>
      <w:r>
        <w:rPr>
          <w:b w:val="0"/>
          <w:i w:val="0"/>
        </w:rPr>
        <w:t>17.4. Карта рисков</w:t>
      </w:r>
    </w:p>
    <w:p>
      <w:pPr>
        <w:keepNext/>
        <w:spacing w:before="160" w:after="60"/>
        <w:ind w:firstLine="0"/>
        <w:jc w:val="left"/>
      </w:pPr>
      <w:r>
        <w:rPr>
          <w:b/>
          <w:sz w:val="22"/>
        </w:rPr>
        <w:t>Таблица 124. Карта рисков редкоземельных проектов в Российской Федерации</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Риск</w:t>
            </w:r>
          </w:p>
        </w:tc>
        <w:tc>
          <w:tcPr>
            <w:tcW w:type="dxa" w:w="1995"/>
            <w:shd w:val="clear" w:fill="DCE6F1"/>
          </w:tcPr>
          <w:p>
            <w:pPr>
              <w:spacing w:after="0" w:line="240" w:lineRule="auto"/>
              <w:ind w:firstLine="0"/>
              <w:jc w:val="center"/>
            </w:pPr>
            <w:r>
              <w:rPr>
                <w:b/>
                <w:i w:val="0"/>
                <w:sz w:val="20"/>
              </w:rPr>
              <w:t>Вероятн.</w:t>
            </w:r>
          </w:p>
        </w:tc>
        <w:tc>
          <w:tcPr>
            <w:tcW w:type="dxa" w:w="1995"/>
            <w:shd w:val="clear" w:fill="DCE6F1"/>
          </w:tcPr>
          <w:p>
            <w:pPr>
              <w:spacing w:after="0" w:line="240" w:lineRule="auto"/>
              <w:ind w:firstLine="0"/>
              <w:jc w:val="center"/>
            </w:pPr>
            <w:r>
              <w:rPr>
                <w:b/>
                <w:i w:val="0"/>
                <w:sz w:val="20"/>
              </w:rPr>
              <w:t>Влияние</w:t>
            </w:r>
          </w:p>
        </w:tc>
        <w:tc>
          <w:tcPr>
            <w:tcW w:type="dxa" w:w="1995"/>
            <w:shd w:val="clear" w:fill="DCE6F1"/>
          </w:tcPr>
          <w:p>
            <w:pPr>
              <w:spacing w:after="0" w:line="240" w:lineRule="auto"/>
              <w:ind w:firstLine="0"/>
              <w:jc w:val="center"/>
            </w:pPr>
            <w:r>
              <w:rPr>
                <w:b/>
                <w:i w:val="0"/>
                <w:sz w:val="20"/>
              </w:rPr>
              <w:t>Ранг</w:t>
            </w:r>
          </w:p>
        </w:tc>
        <w:tc>
          <w:tcPr>
            <w:tcW w:type="dxa" w:w="1995"/>
            <w:shd w:val="clear" w:fill="DCE6F1"/>
          </w:tcPr>
          <w:p>
            <w:pPr>
              <w:spacing w:after="0" w:line="240" w:lineRule="auto"/>
              <w:ind w:firstLine="0"/>
              <w:jc w:val="center"/>
            </w:pPr>
            <w:r>
              <w:rPr>
                <w:b/>
                <w:i w:val="0"/>
                <w:sz w:val="20"/>
              </w:rPr>
              <w:t>Меры смягчения</w:t>
            </w:r>
          </w:p>
        </w:tc>
      </w:tr>
      <w:tr>
        <w:tc>
          <w:tcPr>
            <w:tcW w:type="dxa" w:w="1995"/>
          </w:tcPr>
          <w:p>
            <w:pPr>
              <w:spacing w:after="0" w:line="240" w:lineRule="auto"/>
              <w:ind w:firstLine="0"/>
              <w:jc w:val="left"/>
            </w:pPr>
            <w:r>
              <w:rPr>
                <w:b w:val="0"/>
                <w:i w:val="0"/>
                <w:sz w:val="20"/>
              </w:rPr>
              <w:t>Обвал мировых цен</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очень высокое</w:t>
            </w:r>
          </w:p>
        </w:tc>
        <w:tc>
          <w:tcPr>
            <w:tcW w:type="dxa" w:w="1995"/>
          </w:tcPr>
          <w:p>
            <w:pPr>
              <w:spacing w:after="0" w:line="240" w:lineRule="auto"/>
              <w:ind w:firstLine="0"/>
              <w:jc w:val="center"/>
            </w:pPr>
            <w:r>
              <w:rPr>
                <w:b w:val="0"/>
                <w:i w:val="0"/>
                <w:sz w:val="20"/>
              </w:rPr>
              <w:t>1</w:t>
            </w:r>
          </w:p>
        </w:tc>
        <w:tc>
          <w:tcPr>
            <w:tcW w:type="dxa" w:w="1995"/>
          </w:tcPr>
          <w:p>
            <w:pPr>
              <w:spacing w:after="0" w:line="240" w:lineRule="auto"/>
              <w:ind w:firstLine="0"/>
              <w:jc w:val="center"/>
            </w:pPr>
            <w:r>
              <w:rPr>
                <w:b w:val="0"/>
                <w:i w:val="0"/>
                <w:sz w:val="20"/>
              </w:rPr>
              <w:t>ценовой пол, долгосроч. контракты</w:t>
            </w:r>
          </w:p>
        </w:tc>
      </w:tr>
      <w:tr>
        <w:tc>
          <w:tcPr>
            <w:tcW w:type="dxa" w:w="1995"/>
          </w:tcPr>
          <w:p>
            <w:pPr>
              <w:spacing w:after="0" w:line="240" w:lineRule="auto"/>
              <w:ind w:firstLine="0"/>
              <w:jc w:val="left"/>
            </w:pPr>
            <w:r>
              <w:rPr>
                <w:b w:val="0"/>
                <w:i w:val="0"/>
                <w:sz w:val="20"/>
              </w:rPr>
              <w:t>Недостижение техн. показателей (Томтор)</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очень высокое</w:t>
            </w:r>
          </w:p>
        </w:tc>
        <w:tc>
          <w:tcPr>
            <w:tcW w:type="dxa" w:w="1995"/>
          </w:tcPr>
          <w:p>
            <w:pPr>
              <w:spacing w:after="0" w:line="240" w:lineRule="auto"/>
              <w:ind w:firstLine="0"/>
              <w:jc w:val="center"/>
            </w:pPr>
            <w:r>
              <w:rPr>
                <w:b w:val="0"/>
                <w:i w:val="0"/>
                <w:sz w:val="20"/>
              </w:rPr>
              <w:t>2</w:t>
            </w:r>
          </w:p>
        </w:tc>
        <w:tc>
          <w:tcPr>
            <w:tcW w:type="dxa" w:w="1995"/>
          </w:tcPr>
          <w:p>
            <w:pPr>
              <w:spacing w:after="0" w:line="240" w:lineRule="auto"/>
              <w:ind w:firstLine="0"/>
              <w:jc w:val="center"/>
            </w:pPr>
            <w:r>
              <w:rPr>
                <w:b w:val="0"/>
                <w:i w:val="0"/>
                <w:sz w:val="20"/>
              </w:rPr>
              <w:t>опытно-промышленная установка</w:t>
            </w:r>
          </w:p>
        </w:tc>
      </w:tr>
      <w:tr>
        <w:tc>
          <w:tcPr>
            <w:tcW w:type="dxa" w:w="1995"/>
          </w:tcPr>
          <w:p>
            <w:pPr>
              <w:spacing w:after="0" w:line="240" w:lineRule="auto"/>
              <w:ind w:firstLine="0"/>
              <w:jc w:val="left"/>
            </w:pPr>
            <w:r>
              <w:rPr>
                <w:b w:val="0"/>
                <w:i w:val="0"/>
                <w:sz w:val="20"/>
              </w:rPr>
              <w:t>Отсутствие сбыта лёгкой группы</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высокое</w:t>
            </w:r>
          </w:p>
        </w:tc>
        <w:tc>
          <w:tcPr>
            <w:tcW w:type="dxa" w:w="1995"/>
          </w:tcPr>
          <w:p>
            <w:pPr>
              <w:spacing w:after="0" w:line="240" w:lineRule="auto"/>
              <w:ind w:firstLine="0"/>
              <w:jc w:val="center"/>
            </w:pPr>
            <w:r>
              <w:rPr>
                <w:b w:val="0"/>
                <w:i w:val="0"/>
                <w:sz w:val="20"/>
              </w:rPr>
              <w:t>3</w:t>
            </w:r>
          </w:p>
        </w:tc>
        <w:tc>
          <w:tcPr>
            <w:tcW w:type="dxa" w:w="1995"/>
          </w:tcPr>
          <w:p>
            <w:pPr>
              <w:spacing w:after="0" w:line="240" w:lineRule="auto"/>
              <w:ind w:firstLine="0"/>
              <w:jc w:val="center"/>
            </w:pPr>
            <w:r>
              <w:rPr>
                <w:b w:val="0"/>
                <w:i w:val="0"/>
                <w:sz w:val="20"/>
              </w:rPr>
              <w:t>развитие Al–Ce, катализаторов</w:t>
            </w:r>
          </w:p>
        </w:tc>
      </w:tr>
      <w:tr>
        <w:tc>
          <w:tcPr>
            <w:tcW w:type="dxa" w:w="1995"/>
          </w:tcPr>
          <w:p>
            <w:pPr>
              <w:spacing w:after="0" w:line="240" w:lineRule="auto"/>
              <w:ind w:firstLine="0"/>
              <w:jc w:val="left"/>
            </w:pPr>
            <w:r>
              <w:rPr>
                <w:b w:val="0"/>
                <w:i w:val="0"/>
                <w:sz w:val="20"/>
              </w:rPr>
              <w:t>Дефицит Dy, Tb для магнитов</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высокое</w:t>
            </w:r>
          </w:p>
        </w:tc>
        <w:tc>
          <w:tcPr>
            <w:tcW w:type="dxa" w:w="1995"/>
          </w:tcPr>
          <w:p>
            <w:pPr>
              <w:spacing w:after="0" w:line="240" w:lineRule="auto"/>
              <w:ind w:firstLine="0"/>
              <w:jc w:val="center"/>
            </w:pPr>
            <w:r>
              <w:rPr>
                <w:b w:val="0"/>
                <w:i w:val="0"/>
                <w:sz w:val="20"/>
              </w:rPr>
              <w:t>4</w:t>
            </w:r>
          </w:p>
        </w:tc>
        <w:tc>
          <w:tcPr>
            <w:tcW w:type="dxa" w:w="1995"/>
          </w:tcPr>
          <w:p>
            <w:pPr>
              <w:spacing w:after="0" w:line="240" w:lineRule="auto"/>
              <w:ind w:firstLine="0"/>
              <w:jc w:val="center"/>
            </w:pPr>
            <w:r>
              <w:rPr>
                <w:b w:val="0"/>
                <w:i w:val="0"/>
                <w:sz w:val="20"/>
              </w:rPr>
              <w:t>запасы, GBD, рециклинг</w:t>
            </w:r>
          </w:p>
        </w:tc>
      </w:tr>
      <w:tr>
        <w:tc>
          <w:tcPr>
            <w:tcW w:type="dxa" w:w="1995"/>
          </w:tcPr>
          <w:p>
            <w:pPr>
              <w:spacing w:after="0" w:line="240" w:lineRule="auto"/>
              <w:ind w:firstLine="0"/>
              <w:jc w:val="left"/>
            </w:pPr>
            <w:r>
              <w:rPr>
                <w:b w:val="0"/>
                <w:i w:val="0"/>
                <w:sz w:val="20"/>
              </w:rPr>
              <w:t>Срыв сроков строительства</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среднее</w:t>
            </w:r>
          </w:p>
        </w:tc>
        <w:tc>
          <w:tcPr>
            <w:tcW w:type="dxa" w:w="1995"/>
          </w:tcPr>
          <w:p>
            <w:pPr>
              <w:spacing w:after="0" w:line="240" w:lineRule="auto"/>
              <w:ind w:firstLine="0"/>
              <w:jc w:val="center"/>
            </w:pPr>
            <w:r>
              <w:rPr>
                <w:b w:val="0"/>
                <w:i w:val="0"/>
                <w:sz w:val="20"/>
              </w:rPr>
              <w:t>5</w:t>
            </w:r>
          </w:p>
        </w:tc>
        <w:tc>
          <w:tcPr>
            <w:tcW w:type="dxa" w:w="1995"/>
          </w:tcPr>
          <w:p>
            <w:pPr>
              <w:spacing w:after="0" w:line="240" w:lineRule="auto"/>
              <w:ind w:firstLine="0"/>
              <w:jc w:val="center"/>
            </w:pPr>
            <w:r>
              <w:rPr>
                <w:b w:val="0"/>
                <w:i w:val="0"/>
                <w:sz w:val="20"/>
              </w:rPr>
              <w:t>резервирование сроков</w:t>
            </w:r>
          </w:p>
        </w:tc>
      </w:tr>
      <w:tr>
        <w:tc>
          <w:tcPr>
            <w:tcW w:type="dxa" w:w="1995"/>
          </w:tcPr>
          <w:p>
            <w:pPr>
              <w:spacing w:after="0" w:line="240" w:lineRule="auto"/>
              <w:ind w:firstLine="0"/>
              <w:jc w:val="left"/>
            </w:pPr>
            <w:r>
              <w:rPr>
                <w:b w:val="0"/>
                <w:i w:val="0"/>
                <w:sz w:val="20"/>
              </w:rPr>
              <w:t>Недоступность оборудования</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среднее</w:t>
            </w:r>
          </w:p>
        </w:tc>
        <w:tc>
          <w:tcPr>
            <w:tcW w:type="dxa" w:w="1995"/>
          </w:tcPr>
          <w:p>
            <w:pPr>
              <w:spacing w:after="0" w:line="240" w:lineRule="auto"/>
              <w:ind w:firstLine="0"/>
              <w:jc w:val="center"/>
            </w:pPr>
            <w:r>
              <w:rPr>
                <w:b w:val="0"/>
                <w:i w:val="0"/>
                <w:sz w:val="20"/>
              </w:rPr>
              <w:t>6</w:t>
            </w:r>
          </w:p>
        </w:tc>
        <w:tc>
          <w:tcPr>
            <w:tcW w:type="dxa" w:w="1995"/>
          </w:tcPr>
          <w:p>
            <w:pPr>
              <w:spacing w:after="0" w:line="240" w:lineRule="auto"/>
              <w:ind w:firstLine="0"/>
              <w:jc w:val="center"/>
            </w:pPr>
            <w:r>
              <w:rPr>
                <w:b w:val="0"/>
                <w:i w:val="0"/>
                <w:sz w:val="20"/>
              </w:rPr>
              <w:t>локализация, парал. импорт</w:t>
            </w:r>
          </w:p>
        </w:tc>
      </w:tr>
      <w:tr>
        <w:tc>
          <w:tcPr>
            <w:tcW w:type="dxa" w:w="1995"/>
          </w:tcPr>
          <w:p>
            <w:pPr>
              <w:spacing w:after="0" w:line="240" w:lineRule="auto"/>
              <w:ind w:firstLine="0"/>
              <w:jc w:val="left"/>
            </w:pPr>
            <w:r>
              <w:rPr>
                <w:b w:val="0"/>
                <w:i w:val="0"/>
                <w:sz w:val="20"/>
              </w:rPr>
              <w:t>Кадровый дефицит</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среднее</w:t>
            </w:r>
          </w:p>
        </w:tc>
        <w:tc>
          <w:tcPr>
            <w:tcW w:type="dxa" w:w="1995"/>
          </w:tcPr>
          <w:p>
            <w:pPr>
              <w:spacing w:after="0" w:line="240" w:lineRule="auto"/>
              <w:ind w:firstLine="0"/>
              <w:jc w:val="center"/>
            </w:pPr>
            <w:r>
              <w:rPr>
                <w:b w:val="0"/>
                <w:i w:val="0"/>
                <w:sz w:val="20"/>
              </w:rPr>
              <w:t>7</w:t>
            </w:r>
          </w:p>
        </w:tc>
        <w:tc>
          <w:tcPr>
            <w:tcW w:type="dxa" w:w="1995"/>
          </w:tcPr>
          <w:p>
            <w:pPr>
              <w:spacing w:after="0" w:line="240" w:lineRule="auto"/>
              <w:ind w:firstLine="0"/>
              <w:jc w:val="center"/>
            </w:pPr>
            <w:r>
              <w:rPr>
                <w:b w:val="0"/>
                <w:i w:val="0"/>
                <w:sz w:val="20"/>
              </w:rPr>
              <w:t>опережающая подготовка</w:t>
            </w:r>
          </w:p>
        </w:tc>
      </w:tr>
      <w:tr>
        <w:tc>
          <w:tcPr>
            <w:tcW w:type="dxa" w:w="1995"/>
          </w:tcPr>
          <w:p>
            <w:pPr>
              <w:spacing w:after="0" w:line="240" w:lineRule="auto"/>
              <w:ind w:firstLine="0"/>
              <w:jc w:val="left"/>
            </w:pPr>
            <w:r>
              <w:rPr>
                <w:b w:val="0"/>
                <w:i w:val="0"/>
                <w:sz w:val="20"/>
              </w:rPr>
              <w:t>Рост капитальных затрат</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среднее</w:t>
            </w:r>
          </w:p>
        </w:tc>
        <w:tc>
          <w:tcPr>
            <w:tcW w:type="dxa" w:w="1995"/>
          </w:tcPr>
          <w:p>
            <w:pPr>
              <w:spacing w:after="0" w:line="240" w:lineRule="auto"/>
              <w:ind w:firstLine="0"/>
              <w:jc w:val="center"/>
            </w:pPr>
            <w:r>
              <w:rPr>
                <w:b w:val="0"/>
                <w:i w:val="0"/>
                <w:sz w:val="20"/>
              </w:rPr>
              <w:t>8</w:t>
            </w:r>
          </w:p>
        </w:tc>
        <w:tc>
          <w:tcPr>
            <w:tcW w:type="dxa" w:w="1995"/>
          </w:tcPr>
          <w:p>
            <w:pPr>
              <w:spacing w:after="0" w:line="240" w:lineRule="auto"/>
              <w:ind w:firstLine="0"/>
              <w:jc w:val="center"/>
            </w:pPr>
            <w:r>
              <w:rPr>
                <w:b w:val="0"/>
                <w:i w:val="0"/>
                <w:sz w:val="20"/>
              </w:rPr>
              <w:t>поэтапная реализация</w:t>
            </w:r>
          </w:p>
        </w:tc>
      </w:tr>
      <w:tr>
        <w:tc>
          <w:tcPr>
            <w:tcW w:type="dxa" w:w="1995"/>
          </w:tcPr>
          <w:p>
            <w:pPr>
              <w:spacing w:after="0" w:line="240" w:lineRule="auto"/>
              <w:ind w:firstLine="0"/>
              <w:jc w:val="left"/>
            </w:pPr>
            <w:r>
              <w:rPr>
                <w:b w:val="0"/>
                <w:i w:val="0"/>
                <w:sz w:val="20"/>
              </w:rPr>
              <w:t>Транспортные ограничения (Томтор)</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высокое</w:t>
            </w:r>
          </w:p>
        </w:tc>
        <w:tc>
          <w:tcPr>
            <w:tcW w:type="dxa" w:w="1995"/>
          </w:tcPr>
          <w:p>
            <w:pPr>
              <w:spacing w:after="0" w:line="240" w:lineRule="auto"/>
              <w:ind w:firstLine="0"/>
              <w:jc w:val="center"/>
            </w:pPr>
            <w:r>
              <w:rPr>
                <w:b w:val="0"/>
                <w:i w:val="0"/>
                <w:sz w:val="20"/>
              </w:rPr>
              <w:t>9</w:t>
            </w:r>
          </w:p>
        </w:tc>
        <w:tc>
          <w:tcPr>
            <w:tcW w:type="dxa" w:w="1995"/>
          </w:tcPr>
          <w:p>
            <w:pPr>
              <w:spacing w:after="0" w:line="240" w:lineRule="auto"/>
              <w:ind w:firstLine="0"/>
              <w:jc w:val="center"/>
            </w:pPr>
            <w:r>
              <w:rPr>
                <w:b w:val="0"/>
                <w:i w:val="0"/>
                <w:sz w:val="20"/>
              </w:rPr>
              <w:t>альтерн. схемы, Чуктукон</w:t>
            </w:r>
          </w:p>
        </w:tc>
      </w:tr>
      <w:tr>
        <w:tc>
          <w:tcPr>
            <w:tcW w:type="dxa" w:w="1995"/>
          </w:tcPr>
          <w:p>
            <w:pPr>
              <w:spacing w:after="0" w:line="240" w:lineRule="auto"/>
              <w:ind w:firstLine="0"/>
              <w:jc w:val="left"/>
            </w:pPr>
            <w:r>
              <w:rPr>
                <w:b w:val="0"/>
                <w:i w:val="0"/>
                <w:sz w:val="20"/>
              </w:rPr>
              <w:t>Экологические и радиационные ограничения</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среднее</w:t>
            </w:r>
          </w:p>
        </w:tc>
        <w:tc>
          <w:tcPr>
            <w:tcW w:type="dxa" w:w="1995"/>
          </w:tcPr>
          <w:p>
            <w:pPr>
              <w:spacing w:after="0" w:line="240" w:lineRule="auto"/>
              <w:ind w:firstLine="0"/>
              <w:jc w:val="center"/>
            </w:pPr>
            <w:r>
              <w:rPr>
                <w:b w:val="0"/>
                <w:i w:val="0"/>
                <w:sz w:val="20"/>
              </w:rPr>
              <w:t>10</w:t>
            </w:r>
          </w:p>
        </w:tc>
        <w:tc>
          <w:tcPr>
            <w:tcW w:type="dxa" w:w="1995"/>
          </w:tcPr>
          <w:p>
            <w:pPr>
              <w:spacing w:after="0" w:line="240" w:lineRule="auto"/>
              <w:ind w:firstLine="0"/>
              <w:jc w:val="center"/>
            </w:pPr>
            <w:r>
              <w:rPr>
                <w:b w:val="0"/>
                <w:i w:val="0"/>
                <w:sz w:val="20"/>
              </w:rPr>
              <w:t>проектные решения</w:t>
            </w:r>
          </w:p>
        </w:tc>
      </w:tr>
      <w:tr>
        <w:tc>
          <w:tcPr>
            <w:tcW w:type="dxa" w:w="1995"/>
          </w:tcPr>
          <w:p>
            <w:pPr>
              <w:spacing w:after="0" w:line="240" w:lineRule="auto"/>
              <w:ind w:firstLine="0"/>
              <w:jc w:val="left"/>
            </w:pPr>
            <w:r>
              <w:rPr>
                <w:b w:val="0"/>
                <w:i w:val="0"/>
                <w:sz w:val="20"/>
              </w:rPr>
              <w:t>Отсутствие внутреннего спроса</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среднее</w:t>
            </w:r>
          </w:p>
        </w:tc>
        <w:tc>
          <w:tcPr>
            <w:tcW w:type="dxa" w:w="1995"/>
          </w:tcPr>
          <w:p>
            <w:pPr>
              <w:spacing w:after="0" w:line="240" w:lineRule="auto"/>
              <w:ind w:firstLine="0"/>
              <w:jc w:val="center"/>
            </w:pPr>
            <w:r>
              <w:rPr>
                <w:b w:val="0"/>
                <w:i w:val="0"/>
                <w:sz w:val="20"/>
              </w:rPr>
              <w:t>11</w:t>
            </w:r>
          </w:p>
        </w:tc>
        <w:tc>
          <w:tcPr>
            <w:tcW w:type="dxa" w:w="1995"/>
          </w:tcPr>
          <w:p>
            <w:pPr>
              <w:spacing w:after="0" w:line="240" w:lineRule="auto"/>
              <w:ind w:firstLine="0"/>
              <w:jc w:val="center"/>
            </w:pPr>
            <w:r>
              <w:rPr>
                <w:b w:val="0"/>
                <w:i w:val="0"/>
                <w:sz w:val="20"/>
              </w:rPr>
              <w:t>требования локализации</w:t>
            </w:r>
          </w:p>
        </w:tc>
      </w:tr>
      <w:tr>
        <w:tc>
          <w:tcPr>
            <w:tcW w:type="dxa" w:w="1995"/>
          </w:tcPr>
          <w:p>
            <w:pPr>
              <w:spacing w:after="0" w:line="240" w:lineRule="auto"/>
              <w:ind w:firstLine="0"/>
              <w:jc w:val="left"/>
            </w:pPr>
            <w:r>
              <w:rPr>
                <w:b w:val="0"/>
                <w:i w:val="0"/>
                <w:sz w:val="20"/>
              </w:rPr>
              <w:t>Санкционные ограничения сбыта</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среднее</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азиатские рынки</w:t>
            </w:r>
          </w:p>
        </w:tc>
      </w:tr>
      <w:tr>
        <w:tc>
          <w:tcPr>
            <w:tcW w:type="dxa" w:w="1995"/>
          </w:tcPr>
          <w:p>
            <w:pPr>
              <w:spacing w:after="0" w:line="240" w:lineRule="auto"/>
              <w:ind w:firstLine="0"/>
              <w:jc w:val="left"/>
            </w:pPr>
            <w:r>
              <w:rPr>
                <w:b w:val="0"/>
                <w:i w:val="0"/>
                <w:sz w:val="20"/>
              </w:rPr>
              <w:t>Конкуренция со стороны новых проектов</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среднее</w:t>
            </w:r>
          </w:p>
        </w:tc>
        <w:tc>
          <w:tcPr>
            <w:tcW w:type="dxa" w:w="1995"/>
          </w:tcPr>
          <w:p>
            <w:pPr>
              <w:spacing w:after="0" w:line="240" w:lineRule="auto"/>
              <w:ind w:firstLine="0"/>
              <w:jc w:val="center"/>
            </w:pPr>
            <w:r>
              <w:rPr>
                <w:b w:val="0"/>
                <w:i w:val="0"/>
                <w:sz w:val="20"/>
              </w:rPr>
              <w:t>13</w:t>
            </w:r>
          </w:p>
        </w:tc>
        <w:tc>
          <w:tcPr>
            <w:tcW w:type="dxa" w:w="1995"/>
          </w:tcPr>
          <w:p>
            <w:pPr>
              <w:spacing w:after="0" w:line="240" w:lineRule="auto"/>
              <w:ind w:firstLine="0"/>
              <w:jc w:val="center"/>
            </w:pPr>
            <w:r>
              <w:rPr>
                <w:b w:val="0"/>
                <w:i w:val="0"/>
                <w:sz w:val="20"/>
              </w:rPr>
              <w:t>ставка на переделы</w:t>
            </w:r>
          </w:p>
        </w:tc>
      </w:tr>
      <w:tr>
        <w:tc>
          <w:tcPr>
            <w:tcW w:type="dxa" w:w="1995"/>
          </w:tcPr>
          <w:p>
            <w:pPr>
              <w:spacing w:after="0" w:line="240" w:lineRule="auto"/>
              <w:ind w:firstLine="0"/>
              <w:jc w:val="left"/>
            </w:pPr>
            <w:r>
              <w:rPr>
                <w:b w:val="0"/>
                <w:i w:val="0"/>
                <w:sz w:val="20"/>
              </w:rPr>
              <w:t>Изменение мер господдержки</w:t>
            </w:r>
          </w:p>
        </w:tc>
        <w:tc>
          <w:tcPr>
            <w:tcW w:type="dxa" w:w="1995"/>
          </w:tcPr>
          <w:p>
            <w:pPr>
              <w:spacing w:after="0" w:line="240" w:lineRule="auto"/>
              <w:ind w:firstLine="0"/>
              <w:jc w:val="center"/>
            </w:pPr>
            <w:r>
              <w:rPr>
                <w:b w:val="0"/>
                <w:i w:val="0"/>
                <w:sz w:val="20"/>
              </w:rPr>
              <w:t>низкая</w:t>
            </w:r>
          </w:p>
        </w:tc>
        <w:tc>
          <w:tcPr>
            <w:tcW w:type="dxa" w:w="1995"/>
          </w:tcPr>
          <w:p>
            <w:pPr>
              <w:spacing w:after="0" w:line="240" w:lineRule="auto"/>
              <w:ind w:firstLine="0"/>
              <w:jc w:val="center"/>
            </w:pPr>
            <w:r>
              <w:rPr>
                <w:b w:val="0"/>
                <w:i w:val="0"/>
                <w:sz w:val="20"/>
              </w:rPr>
              <w:t>высокое</w:t>
            </w:r>
          </w:p>
        </w:tc>
        <w:tc>
          <w:tcPr>
            <w:tcW w:type="dxa" w:w="1995"/>
          </w:tcPr>
          <w:p>
            <w:pPr>
              <w:spacing w:after="0" w:line="240" w:lineRule="auto"/>
              <w:ind w:firstLine="0"/>
              <w:jc w:val="center"/>
            </w:pPr>
            <w:r>
              <w:rPr>
                <w:b w:val="0"/>
                <w:i w:val="0"/>
                <w:sz w:val="20"/>
              </w:rPr>
              <w:t>14</w:t>
            </w:r>
          </w:p>
        </w:tc>
        <w:tc>
          <w:tcPr>
            <w:tcW w:type="dxa" w:w="1995"/>
          </w:tcPr>
          <w:p>
            <w:pPr>
              <w:spacing w:after="0" w:line="240" w:lineRule="auto"/>
              <w:ind w:firstLine="0"/>
              <w:jc w:val="center"/>
            </w:pPr>
            <w:r>
              <w:rPr>
                <w:b w:val="0"/>
                <w:i w:val="0"/>
                <w:sz w:val="20"/>
              </w:rPr>
              <w:t>СЗПК, стабилизац. оговорка</w:t>
            </w:r>
          </w:p>
        </w:tc>
      </w:tr>
    </w:tbl>
    <w:p>
      <w:pPr>
        <w:spacing w:after="180"/>
        <w:ind w:firstLine="0"/>
      </w:pPr>
      <w:r>
        <w:rPr>
          <w:i/>
          <w:sz w:val="20"/>
        </w:rPr>
        <w:t>Источник: оценка аналитического центра</w:t>
      </w:r>
    </w:p>
    <w:p>
      <w:pPr>
        <w:keepNext/>
        <w:spacing w:before="160" w:after="60"/>
        <w:ind w:firstLine="0"/>
        <w:jc w:val="left"/>
      </w:pPr>
      <w:r>
        <w:rPr>
          <w:b/>
          <w:sz w:val="22"/>
        </w:rPr>
        <w:t>Рисунок 92. Ранжирование рисков редкоземельных проектов РФ по совокупной оценке (вероятность × влияние)</w:t>
      </w:r>
    </w:p>
    <w:p>
      <w:pPr>
        <w:ind w:firstLine="0"/>
        <w:jc w:val="center"/>
      </w:pPr>
      <w:r>
        <w:drawing>
          <wp:inline xmlns:a="http://schemas.openxmlformats.org/drawingml/2006/main" xmlns:pic="http://schemas.openxmlformats.org/drawingml/2006/picture">
            <wp:extent cx="5580000" cy="2763583"/>
            <wp:docPr id="92" name="Picture 92"/>
            <wp:cNvGraphicFramePr>
              <a:graphicFrameLocks noChangeAspect="1"/>
            </wp:cNvGraphicFramePr>
            <a:graphic>
              <a:graphicData uri="http://schemas.openxmlformats.org/drawingml/2006/picture">
                <pic:pic>
                  <pic:nvPicPr>
                    <pic:cNvPr id="0" name="fig92.png"/>
                    <pic:cNvPicPr/>
                  </pic:nvPicPr>
                  <pic:blipFill>
                    <a:blip r:embed="rId102"/>
                    <a:stretch>
                      <a:fillRect/>
                    </a:stretch>
                  </pic:blipFill>
                  <pic:spPr>
                    <a:xfrm>
                      <a:off x="0" y="0"/>
                      <a:ext cx="5580000" cy="2763583"/>
                    </a:xfrm>
                    <a:prstGeom prst="rect"/>
                  </pic:spPr>
                </pic:pic>
              </a:graphicData>
            </a:graphic>
          </wp:inline>
        </w:drawing>
      </w:r>
    </w:p>
    <w:p>
      <w:pPr>
        <w:spacing w:after="180"/>
        <w:ind w:firstLine="0"/>
      </w:pPr>
      <w:r>
        <w:rPr>
          <w:i/>
          <w:sz w:val="20"/>
        </w:rPr>
        <w:t>Источник: оценка аналитического центра (табл. 124)</w:t>
      </w:r>
    </w:p>
    <w:p>
      <w:pPr>
        <w:pStyle w:val="Heading2"/>
      </w:pPr>
      <w:r>
        <w:rPr>
          <w:b w:val="0"/>
          <w:i w:val="0"/>
        </w:rPr>
        <w:t>17.5. SWOT-анализ российской редкоземельной отрасли</w:t>
      </w:r>
    </w:p>
    <w:p>
      <w:pPr>
        <w:keepNext/>
        <w:spacing w:before="160" w:after="60"/>
        <w:ind w:firstLine="0"/>
        <w:jc w:val="left"/>
      </w:pPr>
      <w:r>
        <w:rPr>
          <w:b/>
          <w:sz w:val="22"/>
        </w:rPr>
        <w:t>Таблица 125. SWOT-анализ редкоземельной отрасли Российской Федерации</w:t>
      </w:r>
    </w:p>
    <w:tbl>
      <w:tblPr>
        <w:tblStyle w:val="TableGrid"/>
        <w:tblW w:type="auto" w:w="0"/>
        <w:jc w:val="center"/>
        <w:tblLook w:firstColumn="1" w:firstRow="1" w:lastColumn="0" w:lastRow="0" w:noHBand="0" w:noVBand="1" w:val="04A0"/>
      </w:tblPr>
      <w:tblGrid>
        <w:gridCol w:w="4986"/>
        <w:gridCol w:w="4986"/>
      </w:tblGrid>
      <w:tr>
        <w:tc>
          <w:tcPr>
            <w:tcW w:type="dxa" w:w="4986"/>
            <w:shd w:val="clear" w:fill="DCE6F1"/>
          </w:tcPr>
          <w:p>
            <w:pPr>
              <w:spacing w:after="0" w:line="240" w:lineRule="auto"/>
              <w:ind w:firstLine="0"/>
              <w:jc w:val="center"/>
            </w:pPr>
            <w:r>
              <w:rPr>
                <w:b/>
                <w:i w:val="0"/>
                <w:sz w:val="20"/>
              </w:rPr>
              <w:t>Сильные стороны (S)</w:t>
            </w:r>
          </w:p>
        </w:tc>
        <w:tc>
          <w:tcPr>
            <w:tcW w:type="dxa" w:w="4986"/>
            <w:shd w:val="clear" w:fill="DCE6F1"/>
          </w:tcPr>
          <w:p>
            <w:pPr>
              <w:spacing w:after="0" w:line="240" w:lineRule="auto"/>
              <w:ind w:firstLine="0"/>
              <w:jc w:val="center"/>
            </w:pPr>
            <w:r>
              <w:rPr>
                <w:b/>
                <w:i w:val="0"/>
                <w:sz w:val="20"/>
              </w:rPr>
              <w:t>Слабые стороны (W)</w:t>
            </w:r>
          </w:p>
        </w:tc>
      </w:tr>
      <w:tr>
        <w:tc>
          <w:tcPr>
            <w:tcW w:type="dxa" w:w="4986"/>
          </w:tcPr>
          <w:p>
            <w:pPr>
              <w:spacing w:after="0" w:line="240" w:lineRule="auto"/>
              <w:ind w:firstLine="0"/>
              <w:jc w:val="left"/>
            </w:pPr>
            <w:r>
              <w:rPr>
                <w:b w:val="0"/>
                <w:i w:val="0"/>
                <w:sz w:val="20"/>
              </w:rPr>
              <w:t>Крупная и разнообразная сырьевая база (4-е место в мире)</w:t>
            </w:r>
          </w:p>
        </w:tc>
        <w:tc>
          <w:tcPr>
            <w:tcW w:type="dxa" w:w="4986"/>
          </w:tcPr>
          <w:p>
            <w:pPr>
              <w:spacing w:after="0" w:line="240" w:lineRule="auto"/>
              <w:ind w:firstLine="0"/>
              <w:jc w:val="center"/>
            </w:pPr>
            <w:r>
              <w:rPr>
                <w:b w:val="0"/>
                <w:i w:val="0"/>
                <w:sz w:val="20"/>
              </w:rPr>
              <w:t>Отсутствие технологий конечных переделов</w:t>
            </w:r>
          </w:p>
        </w:tc>
      </w:tr>
      <w:tr>
        <w:tc>
          <w:tcPr>
            <w:tcW w:type="dxa" w:w="4986"/>
          </w:tcPr>
          <w:p>
            <w:pPr>
              <w:spacing w:after="0" w:line="240" w:lineRule="auto"/>
              <w:ind w:firstLine="0"/>
              <w:jc w:val="left"/>
            </w:pPr>
            <w:r>
              <w:rPr>
                <w:b w:val="0"/>
                <w:i w:val="0"/>
                <w:sz w:val="20"/>
              </w:rPr>
              <w:t>Действующее производство полного сырьевого цикла</w:t>
            </w:r>
          </w:p>
        </w:tc>
        <w:tc>
          <w:tcPr>
            <w:tcW w:type="dxa" w:w="4986"/>
          </w:tcPr>
          <w:p>
            <w:pPr>
              <w:spacing w:after="0" w:line="240" w:lineRule="auto"/>
              <w:ind w:firstLine="0"/>
              <w:jc w:val="center"/>
            </w:pPr>
            <w:r>
              <w:rPr>
                <w:b w:val="0"/>
                <w:i w:val="0"/>
                <w:sz w:val="20"/>
              </w:rPr>
              <w:t>Крайне малый внутренний рынок</w:t>
            </w:r>
          </w:p>
        </w:tc>
      </w:tr>
      <w:tr>
        <w:tc>
          <w:tcPr>
            <w:tcW w:type="dxa" w:w="4986"/>
          </w:tcPr>
          <w:p>
            <w:pPr>
              <w:spacing w:after="0" w:line="240" w:lineRule="auto"/>
              <w:ind w:firstLine="0"/>
              <w:jc w:val="left"/>
            </w:pPr>
            <w:r>
              <w:rPr>
                <w:b w:val="0"/>
                <w:i w:val="0"/>
                <w:sz w:val="20"/>
              </w:rPr>
              <w:t>Единый отраслевой оператор с инвестресурсом</w:t>
            </w:r>
          </w:p>
        </w:tc>
        <w:tc>
          <w:tcPr>
            <w:tcW w:type="dxa" w:w="4986"/>
          </w:tcPr>
          <w:p>
            <w:pPr>
              <w:spacing w:after="0" w:line="240" w:lineRule="auto"/>
              <w:ind w:firstLine="0"/>
              <w:jc w:val="left"/>
            </w:pPr>
            <w:r>
              <w:rPr>
                <w:b w:val="0"/>
                <w:i w:val="0"/>
                <w:sz w:val="20"/>
              </w:rPr>
              <w:t>Высокая себестоимость действующего производства</w:t>
            </w:r>
          </w:p>
        </w:tc>
      </w:tr>
      <w:tr>
        <w:tc>
          <w:tcPr>
            <w:tcW w:type="dxa" w:w="4986"/>
          </w:tcPr>
          <w:p>
            <w:pPr>
              <w:spacing w:after="0" w:line="240" w:lineRule="auto"/>
              <w:ind w:firstLine="0"/>
              <w:jc w:val="left"/>
            </w:pPr>
            <w:r>
              <w:rPr>
                <w:b w:val="0"/>
                <w:i w:val="0"/>
                <w:sz w:val="20"/>
              </w:rPr>
              <w:t>Компетенции в радиохимии и гидрометаллургии</w:t>
            </w:r>
          </w:p>
        </w:tc>
        <w:tc>
          <w:tcPr>
            <w:tcW w:type="dxa" w:w="4986"/>
          </w:tcPr>
          <w:p>
            <w:pPr>
              <w:spacing w:after="0" w:line="240" w:lineRule="auto"/>
              <w:ind w:firstLine="0"/>
              <w:jc w:val="left"/>
            </w:pPr>
            <w:r>
              <w:rPr>
                <w:b w:val="0"/>
                <w:i w:val="0"/>
                <w:sz w:val="20"/>
              </w:rPr>
              <w:t>Кадровый дефицит по ключевым специальностям</w:t>
            </w:r>
          </w:p>
        </w:tc>
      </w:tr>
      <w:tr>
        <w:tc>
          <w:tcPr>
            <w:tcW w:type="dxa" w:w="4986"/>
          </w:tcPr>
          <w:p>
            <w:pPr>
              <w:spacing w:after="0" w:line="240" w:lineRule="auto"/>
              <w:ind w:firstLine="0"/>
              <w:jc w:val="left"/>
            </w:pPr>
            <w:r>
              <w:rPr>
                <w:b w:val="0"/>
                <w:i w:val="0"/>
                <w:sz w:val="20"/>
              </w:rPr>
              <w:t>Наличие объектов с тяжёлой корзиной</w:t>
            </w:r>
          </w:p>
        </w:tc>
        <w:tc>
          <w:tcPr>
            <w:tcW w:type="dxa" w:w="4986"/>
          </w:tcPr>
          <w:p>
            <w:pPr>
              <w:spacing w:after="0" w:line="240" w:lineRule="auto"/>
              <w:ind w:firstLine="0"/>
              <w:jc w:val="center"/>
            </w:pPr>
            <w:r>
              <w:rPr>
                <w:b w:val="0"/>
                <w:i w:val="0"/>
                <w:sz w:val="20"/>
              </w:rPr>
              <w:t>Отсутствие механизмов ценовой защиты</w:t>
            </w:r>
          </w:p>
        </w:tc>
      </w:tr>
      <w:tr>
        <w:tc>
          <w:tcPr>
            <w:tcW w:type="dxa" w:w="4986"/>
          </w:tcPr>
          <w:p>
            <w:pPr>
              <w:spacing w:after="0" w:line="240" w:lineRule="auto"/>
              <w:ind w:firstLine="0"/>
              <w:jc w:val="left"/>
            </w:pPr>
            <w:r>
              <w:rPr>
                <w:b w:val="0"/>
                <w:i w:val="0"/>
                <w:sz w:val="20"/>
              </w:rPr>
              <w:t>Отсутствие жёстких экологических барьеров</w:t>
            </w:r>
          </w:p>
        </w:tc>
        <w:tc>
          <w:tcPr>
            <w:tcW w:type="dxa" w:w="4986"/>
          </w:tcPr>
          <w:p>
            <w:pPr>
              <w:spacing w:after="0" w:line="240" w:lineRule="auto"/>
              <w:ind w:firstLine="0"/>
              <w:jc w:val="left"/>
            </w:pPr>
            <w:r>
              <w:rPr>
                <w:b w:val="0"/>
                <w:i w:val="0"/>
                <w:sz w:val="20"/>
              </w:rPr>
              <w:t>Инфраструктурная недоступность ключевых объектов</w:t>
            </w:r>
          </w:p>
        </w:tc>
      </w:tr>
      <w:tr>
        <w:tc>
          <w:tcPr>
            <w:tcW w:type="dxa" w:w="4986"/>
          </w:tcPr>
          <w:p>
            <w:pPr>
              <w:spacing w:after="0" w:line="240" w:lineRule="auto"/>
              <w:ind w:firstLine="0"/>
              <w:jc w:val="left"/>
            </w:pPr>
            <w:r>
              <w:rPr>
                <w:b w:val="0"/>
                <w:i w:val="0"/>
                <w:sz w:val="20"/>
              </w:rPr>
              <w:t>Политический приоритет направления</w:t>
            </w:r>
          </w:p>
        </w:tc>
        <w:tc>
          <w:tcPr>
            <w:tcW w:type="dxa" w:w="4986"/>
          </w:tcPr>
          <w:p>
            <w:pPr>
              <w:spacing w:after="0" w:line="240" w:lineRule="auto"/>
              <w:ind w:firstLine="0"/>
              <w:jc w:val="left"/>
            </w:pPr>
            <w:r>
              <w:rPr>
                <w:b w:val="0"/>
                <w:i w:val="0"/>
                <w:sz w:val="20"/>
              </w:rPr>
              <w:t>Зависимость программы от одного проекта (Томтор)</w:t>
            </w:r>
          </w:p>
        </w:tc>
      </w:tr>
      <w:tr>
        <w:tc>
          <w:tcPr>
            <w:tcW w:type="dxa" w:w="4986"/>
          </w:tcPr>
          <w:p>
            <w:pPr>
              <w:spacing w:after="0" w:line="240" w:lineRule="auto"/>
              <w:ind w:firstLine="0"/>
              <w:jc w:val="left"/>
            </w:pPr>
            <w:r>
              <w:rPr>
                <w:b w:val="0"/>
                <w:i w:val="0"/>
                <w:sz w:val="20"/>
              </w:rPr>
              <w:t>Возможности (O)</w:t>
            </w:r>
          </w:p>
        </w:tc>
        <w:tc>
          <w:tcPr>
            <w:tcW w:type="dxa" w:w="4986"/>
          </w:tcPr>
          <w:p>
            <w:pPr>
              <w:spacing w:after="0" w:line="240" w:lineRule="auto"/>
              <w:ind w:firstLine="0"/>
              <w:jc w:val="center"/>
            </w:pPr>
            <w:r>
              <w:rPr>
                <w:b w:val="0"/>
                <w:i w:val="0"/>
                <w:sz w:val="20"/>
              </w:rPr>
              <w:t>Угрозы (T)</w:t>
            </w:r>
          </w:p>
        </w:tc>
      </w:tr>
      <w:tr>
        <w:tc>
          <w:tcPr>
            <w:tcW w:type="dxa" w:w="4986"/>
          </w:tcPr>
          <w:p>
            <w:pPr>
              <w:spacing w:after="0" w:line="240" w:lineRule="auto"/>
              <w:ind w:firstLine="0"/>
              <w:jc w:val="left"/>
            </w:pPr>
            <w:r>
              <w:rPr>
                <w:b w:val="0"/>
                <w:i w:val="0"/>
                <w:sz w:val="20"/>
              </w:rPr>
              <w:t>Экспортный контроль КНР открывает окно для новых поставщиков</w:t>
            </w:r>
          </w:p>
        </w:tc>
        <w:tc>
          <w:tcPr>
            <w:tcW w:type="dxa" w:w="4986"/>
          </w:tcPr>
          <w:p>
            <w:pPr>
              <w:spacing w:after="0" w:line="240" w:lineRule="auto"/>
              <w:ind w:firstLine="0"/>
              <w:jc w:val="center"/>
            </w:pPr>
            <w:r>
              <w:rPr>
                <w:b w:val="0"/>
                <w:i w:val="0"/>
                <w:sz w:val="20"/>
              </w:rPr>
              <w:t>Снятие ограничений КНР и обвал цен</w:t>
            </w:r>
          </w:p>
        </w:tc>
      </w:tr>
      <w:tr>
        <w:tc>
          <w:tcPr>
            <w:tcW w:type="dxa" w:w="4986"/>
          </w:tcPr>
          <w:p>
            <w:pPr>
              <w:spacing w:after="0" w:line="240" w:lineRule="auto"/>
              <w:ind w:firstLine="0"/>
              <w:jc w:val="left"/>
            </w:pPr>
            <w:r>
              <w:rPr>
                <w:b w:val="0"/>
                <w:i w:val="0"/>
                <w:sz w:val="20"/>
              </w:rPr>
              <w:t>Ценовая премия на тяжёлые РЗМ вне КНР</w:t>
            </w:r>
          </w:p>
        </w:tc>
        <w:tc>
          <w:tcPr>
            <w:tcW w:type="dxa" w:w="4986"/>
          </w:tcPr>
          <w:p>
            <w:pPr>
              <w:spacing w:after="0" w:line="240" w:lineRule="auto"/>
              <w:ind w:firstLine="0"/>
              <w:jc w:val="left"/>
            </w:pPr>
            <w:r>
              <w:rPr>
                <w:b w:val="0"/>
                <w:i w:val="0"/>
                <w:sz w:val="20"/>
              </w:rPr>
              <w:t>Ускоренная реализация проектов конкурентов</w:t>
            </w:r>
          </w:p>
        </w:tc>
      </w:tr>
      <w:tr>
        <w:tc>
          <w:tcPr>
            <w:tcW w:type="dxa" w:w="4986"/>
          </w:tcPr>
          <w:p>
            <w:pPr>
              <w:spacing w:after="0" w:line="240" w:lineRule="auto"/>
              <w:ind w:firstLine="0"/>
              <w:jc w:val="left"/>
            </w:pPr>
            <w:r>
              <w:rPr>
                <w:b w:val="0"/>
                <w:i w:val="0"/>
                <w:sz w:val="20"/>
              </w:rPr>
              <w:t>Растущий спрос Индии и стран Азии</w:t>
            </w:r>
          </w:p>
        </w:tc>
        <w:tc>
          <w:tcPr>
            <w:tcW w:type="dxa" w:w="4986"/>
          </w:tcPr>
          <w:p>
            <w:pPr>
              <w:spacing w:after="0" w:line="240" w:lineRule="auto"/>
              <w:ind w:firstLine="0"/>
              <w:jc w:val="left"/>
            </w:pPr>
            <w:r>
              <w:rPr>
                <w:b w:val="0"/>
                <w:i w:val="0"/>
                <w:sz w:val="20"/>
              </w:rPr>
              <w:t>Ограничение доступа к оборудованию и технологиям</w:t>
            </w:r>
          </w:p>
        </w:tc>
      </w:tr>
      <w:tr>
        <w:tc>
          <w:tcPr>
            <w:tcW w:type="dxa" w:w="4986"/>
          </w:tcPr>
          <w:p>
            <w:pPr>
              <w:spacing w:after="0" w:line="240" w:lineRule="auto"/>
              <w:ind w:firstLine="0"/>
              <w:jc w:val="left"/>
            </w:pPr>
            <w:r>
              <w:rPr>
                <w:b w:val="0"/>
                <w:i w:val="0"/>
                <w:sz w:val="20"/>
              </w:rPr>
              <w:t>Развитие электротранспорта и робототехники</w:t>
            </w:r>
          </w:p>
        </w:tc>
        <w:tc>
          <w:tcPr>
            <w:tcW w:type="dxa" w:w="4986"/>
          </w:tcPr>
          <w:p>
            <w:pPr>
              <w:spacing w:after="0" w:line="240" w:lineRule="auto"/>
              <w:ind w:firstLine="0"/>
              <w:jc w:val="left"/>
            </w:pPr>
            <w:r>
              <w:rPr>
                <w:b w:val="0"/>
                <w:i w:val="0"/>
                <w:sz w:val="20"/>
              </w:rPr>
              <w:t>Технологический прорыв в безредкоземельных магнитах</w:t>
            </w:r>
          </w:p>
        </w:tc>
      </w:tr>
      <w:tr>
        <w:tc>
          <w:tcPr>
            <w:tcW w:type="dxa" w:w="4986"/>
          </w:tcPr>
          <w:p>
            <w:pPr>
              <w:spacing w:after="0" w:line="240" w:lineRule="auto"/>
              <w:ind w:firstLine="0"/>
              <w:jc w:val="left"/>
            </w:pPr>
            <w:r>
              <w:rPr>
                <w:b w:val="0"/>
                <w:i w:val="0"/>
                <w:sz w:val="20"/>
              </w:rPr>
              <w:t>Потенциал фосфогипса как дешёвого сырья</w:t>
            </w:r>
          </w:p>
        </w:tc>
        <w:tc>
          <w:tcPr>
            <w:tcW w:type="dxa" w:w="4986"/>
          </w:tcPr>
          <w:p>
            <w:pPr>
              <w:spacing w:after="0" w:line="240" w:lineRule="auto"/>
              <w:ind w:firstLine="0"/>
              <w:jc w:val="center"/>
            </w:pPr>
            <w:r>
              <w:rPr>
                <w:b w:val="0"/>
                <w:i w:val="0"/>
                <w:sz w:val="20"/>
              </w:rPr>
              <w:t>Санкционные ограничения сбыта</w:t>
            </w:r>
          </w:p>
        </w:tc>
      </w:tr>
      <w:tr>
        <w:tc>
          <w:tcPr>
            <w:tcW w:type="dxa" w:w="4986"/>
          </w:tcPr>
          <w:p>
            <w:pPr>
              <w:spacing w:after="0" w:line="240" w:lineRule="auto"/>
              <w:ind w:firstLine="0"/>
              <w:jc w:val="left"/>
            </w:pPr>
            <w:r>
              <w:rPr>
                <w:b w:val="0"/>
                <w:i w:val="0"/>
                <w:sz w:val="20"/>
              </w:rPr>
              <w:t>Рециклинг как источник тяжёлой группы</w:t>
            </w:r>
          </w:p>
        </w:tc>
        <w:tc>
          <w:tcPr>
            <w:tcW w:type="dxa" w:w="4986"/>
          </w:tcPr>
          <w:p>
            <w:pPr>
              <w:spacing w:after="0" w:line="240" w:lineRule="auto"/>
              <w:ind w:firstLine="0"/>
              <w:jc w:val="center"/>
            </w:pPr>
            <w:r>
              <w:rPr>
                <w:b w:val="0"/>
                <w:i w:val="0"/>
                <w:sz w:val="20"/>
              </w:rPr>
              <w:t>Накопление неликвидных запасов Ce и La</w:t>
            </w:r>
          </w:p>
        </w:tc>
      </w:tr>
      <w:tr>
        <w:tc>
          <w:tcPr>
            <w:tcW w:type="dxa" w:w="4986"/>
          </w:tcPr>
          <w:p>
            <w:pPr>
              <w:spacing w:after="0" w:line="240" w:lineRule="auto"/>
              <w:ind w:firstLine="0"/>
              <w:jc w:val="left"/>
            </w:pPr>
            <w:r>
              <w:rPr>
                <w:b w:val="0"/>
                <w:i w:val="0"/>
                <w:sz w:val="20"/>
              </w:rPr>
              <w:t>Интеграция в рамках ЕАЭС и БРИКС</w:t>
            </w:r>
          </w:p>
        </w:tc>
        <w:tc>
          <w:tcPr>
            <w:tcW w:type="dxa" w:w="4986"/>
          </w:tcPr>
          <w:p>
            <w:pPr>
              <w:spacing w:after="0" w:line="240" w:lineRule="auto"/>
              <w:ind w:firstLine="0"/>
              <w:jc w:val="left"/>
            </w:pPr>
            <w:r>
              <w:rPr>
                <w:b w:val="0"/>
                <w:i w:val="0"/>
                <w:sz w:val="20"/>
              </w:rPr>
              <w:t>Кратное превышение фактических затрат над плановыми</w:t>
            </w:r>
          </w:p>
        </w:tc>
      </w:tr>
    </w:tbl>
    <w:p>
      <w:pPr>
        <w:spacing w:after="180"/>
        <w:ind w:firstLine="0"/>
      </w:pPr>
      <w:r>
        <w:rPr>
          <w:i/>
          <w:sz w:val="20"/>
        </w:rPr>
        <w:t>Источник: аналитический центр</w:t>
      </w:r>
    </w:p>
    <w:p>
      <w:pPr>
        <w:pStyle w:val="Heading2"/>
      </w:pPr>
      <w:r>
        <w:rPr>
          <w:b w:val="0"/>
          <w:i w:val="0"/>
        </w:rPr>
        <w:t>17.6. Стратегические выводы</w:t>
      </w:r>
    </w:p>
    <w:p>
      <w:r>
        <w:rPr>
          <w:b w:val="0"/>
          <w:i w:val="0"/>
        </w:rPr>
        <w:t>По результатам проведённого исследования сформулированы следующие выводы.</w:t>
      </w:r>
    </w:p>
    <w:p>
      <w:r>
        <w:rPr>
          <w:b/>
          <w:i w:val="0"/>
        </w:rPr>
        <w:t>1. Мировой рынок редкоземельных металлов вступил в фазу структурной перестройки, но её результат не предопределён.</w:t>
      </w:r>
      <w:r>
        <w:rPr>
          <w:b w:val="0"/>
          <w:i w:val="0"/>
        </w:rPr>
        <w:t xml:space="preserve"> Экспортные ограничения КНР 2023–2025 гг. впервые за историю отрасли создали устойчивую экономическую основу для проектов вне Китая: ценовую премию и готовность государств принимать на себя ценовые риски. Одновременно сохраняется вероятность обратного движения — снятия ограничений и возвращения к ценовому уровню, при котором эти проекты нежизнеспособны. Инвестиционные решения, принимаемые сегодня, должны быть устойчивы к обоим сценариям.</w:t>
      </w:r>
    </w:p>
    <w:p>
      <w:r>
        <w:rPr>
          <w:b/>
          <w:i w:val="0"/>
        </w:rPr>
        <w:t>2. Узким местом отрасли является не сырьё, а переделы.</w:t>
      </w:r>
      <w:r>
        <w:rPr>
          <w:b w:val="0"/>
          <w:i w:val="0"/>
        </w:rPr>
        <w:t xml:space="preserve"> Мировые запасы обеспечивают потребность на 200 с лишним лет; добыча диверсифицирована и растёт. Концентрация сохраняется на стадиях разделения (88%), металлургии (91%) и производства магнитов (93%). Любая стратегия, ориентированная преимущественно на наращивание добычи, не решает задачу технологической независимости.</w:t>
      </w:r>
    </w:p>
    <w:p>
      <w:r>
        <w:rPr>
          <w:b/>
          <w:i w:val="0"/>
        </w:rPr>
        <w:t>3. Российская сырьевая база достаточна, но структурно несбалансирована.</w:t>
      </w:r>
      <w:r>
        <w:rPr>
          <w:b w:val="0"/>
          <w:i w:val="0"/>
        </w:rPr>
        <w:t xml:space="preserve"> По неодиму и празеодиму страна способна достичь самообеспеченности и экспортного потенциала. По диспрозию и тербию обеспеченность достигается только при освоении Томтора и лишь с минимальным запасом; долгосрочное решение требует вовлечения объектов тяжёлой корзины, технологии для которых отсутствуют.</w:t>
      </w:r>
    </w:p>
    <w:p>
      <w:r>
        <w:rPr>
          <w:b/>
          <w:i w:val="0"/>
        </w:rPr>
        <w:t>4. Заявленные целевые показатели достижимы с отставанием.</w:t>
      </w:r>
      <w:r>
        <w:rPr>
          <w:b w:val="0"/>
          <w:i w:val="0"/>
        </w:rPr>
        <w:t xml:space="preserve"> Базовый сценарий предполагает выход на 20 тыс. т TREO около 2032 г. вместо 2030 г. и на 27–36 тыс. т к 2035 г. вместо 60 тыс. т. Достижение показателя 10–12% мирового производства в рассматриваемом горизонте маловероятно.</w:t>
      </w:r>
    </w:p>
    <w:p>
      <w:r>
        <w:rPr>
          <w:b/>
          <w:i w:val="0"/>
        </w:rPr>
        <w:t>5. Программа критически зависит от одного проекта.</w:t>
      </w:r>
      <w:r>
        <w:rPr>
          <w:b w:val="0"/>
          <w:i w:val="0"/>
        </w:rPr>
        <w:t xml:space="preserve"> На Томтор приходится до 63% прогнозируемого производства 2035 г. при вероятности реализации, оцениваемой в 0,30. Диверсификация проектного портфеля — прежде всего за счёт фосфогипсового направления, Африкандского и Зашихинского проектов, а также Чуктуконского месторождения, обладающего значительно лучшей логистикой — представляется необходимой мерой снижения системного риска.</w:t>
      </w:r>
    </w:p>
    <w:p>
      <w:r>
        <w:rPr>
          <w:b/>
          <w:i w:val="0"/>
        </w:rPr>
        <w:t>6. Приоритетом должны быть переделы, а не объёмы.</w:t>
      </w:r>
      <w:r>
        <w:rPr>
          <w:b w:val="0"/>
          <w:i w:val="0"/>
        </w:rPr>
        <w:t xml:space="preserve"> Расчёт показывает, что модель полного цикла на 5 тыс. т TREO превосходит модель сырьевого производства на 20 тыс. т по добавленной стоимости, эффективности использования капитала, вкладу в занятость и устойчивости к ценовым колебаниям. Ключевые технологические приоритеты — зернограничная диффузия и разделение тяжёлой группы.</w:t>
      </w:r>
    </w:p>
    <w:p>
      <w:r>
        <w:rPr>
          <w:b/>
          <w:i w:val="0"/>
        </w:rPr>
        <w:t>7. Отсутствие механизма ценовой защиты является главным пробелом системы поддержки.</w:t>
      </w:r>
      <w:r>
        <w:rPr>
          <w:b w:val="0"/>
          <w:i w:val="0"/>
        </w:rPr>
        <w:t xml:space="preserve"> Анализ чувствительности показывает, что ценовой фактор влияет на экономику проектов сильнее, чем все прочие вместе взятые. Введение механизма гарантированной минимальной цены на продукцию российских редкоземельных проектов — по образцу американского соглашения с MP Materials — представляется наиболее действенной из потенциально доступных мер.</w:t>
      </w:r>
    </w:p>
    <w:p>
      <w:r>
        <w:rPr>
          <w:b/>
          <w:i w:val="0"/>
        </w:rPr>
        <w:t>8. Проблема сбыта лёгкой группы требует упреждающего решения.</w:t>
      </w:r>
      <w:r>
        <w:rPr>
          <w:b w:val="0"/>
          <w:i w:val="0"/>
        </w:rPr>
        <w:t xml:space="preserve"> К 2035 г. прогнозируется избыток 17,7 тыс. т оксидов церия и лантана, для которого не существует ни внутреннего рынка, ни экономически осмысленного экспортного направления. Разработка направлений массового применения этих элементов (алюминиево-цериевые сплавы, модификаторы, катализаторы, стекольная промышленность) должна быть включена в программу как самостоятельная задача.</w:t>
      </w:r>
    </w:p>
    <w:p>
      <w:r>
        <w:rPr>
          <w:b/>
          <w:i w:val="0"/>
        </w:rPr>
        <w:t>9. Формирование внутреннего спроса — условие устойчивости отрасли.</w:t>
      </w:r>
      <w:r>
        <w:rPr>
          <w:b w:val="0"/>
          <w:i w:val="0"/>
        </w:rPr>
        <w:t xml:space="preserve"> При целевых объёмах производства экспортная ориентация достигает 75–90%. Развитие внутреннего спроса через требования локализации в электротехническом машиностроении, программы энергоэффективности и развитие электротранспорта снижает зависимость отрасли от внешней конъюнктуры.</w:t>
      </w:r>
    </w:p>
    <w:p>
      <w:r>
        <w:rPr>
          <w:b/>
          <w:i w:val="0"/>
        </w:rPr>
        <w:t>10. Кадровое и технологическое обеспечение должно опережать строительство.</w:t>
      </w:r>
      <w:r>
        <w:rPr>
          <w:b w:val="0"/>
          <w:i w:val="0"/>
        </w:rPr>
        <w:t xml:space="preserve"> Первый выпуск специалистов по восстановленным образовательным программам возможен не ранее чем через 5 лет; освоение экстракционного каскада занимает 3–7 лет. Оба срока превышают заявленные сроки пуска ключевых объектов, что делает опережающее решение этих задач условием выполнимости программы.</w:t>
      </w:r>
    </w:p>
    <w:p>
      <w:pPr>
        <w:keepNext/>
        <w:spacing w:before="160" w:after="60"/>
        <w:ind w:firstLine="0"/>
        <w:jc w:val="left"/>
      </w:pPr>
      <w:r>
        <w:rPr>
          <w:b/>
          <w:sz w:val="22"/>
        </w:rPr>
        <w:t>Таблица 126. Сводная оценка стратегических приоритетов развития редкоземельной отрасли РФ</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Приоритет</w:t>
            </w:r>
          </w:p>
        </w:tc>
        <w:tc>
          <w:tcPr>
            <w:tcW w:type="dxa" w:w="1995"/>
            <w:shd w:val="clear" w:fill="DCE6F1"/>
          </w:tcPr>
          <w:p>
            <w:pPr>
              <w:spacing w:after="0" w:line="240" w:lineRule="auto"/>
              <w:ind w:firstLine="0"/>
              <w:jc w:val="center"/>
            </w:pPr>
            <w:r>
              <w:rPr>
                <w:b/>
                <w:i w:val="0"/>
                <w:sz w:val="20"/>
              </w:rPr>
              <w:t>Влияние</w:t>
            </w:r>
          </w:p>
        </w:tc>
        <w:tc>
          <w:tcPr>
            <w:tcW w:type="dxa" w:w="1995"/>
            <w:shd w:val="clear" w:fill="DCE6F1"/>
          </w:tcPr>
          <w:p>
            <w:pPr>
              <w:spacing w:after="0" w:line="240" w:lineRule="auto"/>
              <w:ind w:firstLine="0"/>
              <w:jc w:val="center"/>
            </w:pPr>
            <w:r>
              <w:rPr>
                <w:b/>
                <w:i w:val="0"/>
                <w:sz w:val="20"/>
              </w:rPr>
              <w:t>Реализуемость</w:t>
            </w:r>
          </w:p>
        </w:tc>
        <w:tc>
          <w:tcPr>
            <w:tcW w:type="dxa" w:w="1995"/>
            <w:shd w:val="clear" w:fill="DCE6F1"/>
          </w:tcPr>
          <w:p>
            <w:pPr>
              <w:spacing w:after="0" w:line="240" w:lineRule="auto"/>
              <w:ind w:firstLine="0"/>
              <w:jc w:val="center"/>
            </w:pPr>
            <w:r>
              <w:rPr>
                <w:b/>
                <w:i w:val="0"/>
                <w:sz w:val="20"/>
              </w:rPr>
              <w:t>Срочность</w:t>
            </w:r>
          </w:p>
        </w:tc>
        <w:tc>
          <w:tcPr>
            <w:tcW w:type="dxa" w:w="1995"/>
            <w:shd w:val="clear" w:fill="DCE6F1"/>
          </w:tcPr>
          <w:p>
            <w:pPr>
              <w:spacing w:after="0" w:line="240" w:lineRule="auto"/>
              <w:ind w:firstLine="0"/>
              <w:jc w:val="center"/>
            </w:pPr>
            <w:r>
              <w:rPr>
                <w:b/>
                <w:i w:val="0"/>
                <w:sz w:val="20"/>
              </w:rPr>
              <w:t>Итоговый ранг</w:t>
            </w:r>
          </w:p>
        </w:tc>
      </w:tr>
      <w:tr>
        <w:tc>
          <w:tcPr>
            <w:tcW w:type="dxa" w:w="1995"/>
          </w:tcPr>
          <w:p>
            <w:pPr>
              <w:spacing w:after="0" w:line="240" w:lineRule="auto"/>
              <w:ind w:firstLine="0"/>
              <w:jc w:val="left"/>
            </w:pPr>
            <w:r>
              <w:rPr>
                <w:b w:val="0"/>
                <w:i w:val="0"/>
                <w:sz w:val="20"/>
              </w:rPr>
              <w:t>Освоение технологии GBD</w:t>
            </w:r>
          </w:p>
        </w:tc>
        <w:tc>
          <w:tcPr>
            <w:tcW w:type="dxa" w:w="1995"/>
          </w:tcPr>
          <w:p>
            <w:pPr>
              <w:spacing w:after="0" w:line="240" w:lineRule="auto"/>
              <w:ind w:firstLine="0"/>
              <w:jc w:val="center"/>
            </w:pPr>
            <w:r>
              <w:rPr>
                <w:b w:val="0"/>
                <w:i w:val="0"/>
                <w:sz w:val="20"/>
              </w:rPr>
              <w:t>очень высокое</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очень высокая</w:t>
            </w:r>
          </w:p>
        </w:tc>
        <w:tc>
          <w:tcPr>
            <w:tcW w:type="dxa" w:w="1995"/>
          </w:tcPr>
          <w:p>
            <w:pPr>
              <w:spacing w:after="0" w:line="240" w:lineRule="auto"/>
              <w:ind w:firstLine="0"/>
              <w:jc w:val="center"/>
            </w:pPr>
            <w:r>
              <w:rPr>
                <w:b w:val="0"/>
                <w:i w:val="0"/>
                <w:sz w:val="20"/>
              </w:rPr>
              <w:t>1</w:t>
            </w:r>
          </w:p>
        </w:tc>
      </w:tr>
      <w:tr>
        <w:tc>
          <w:tcPr>
            <w:tcW w:type="dxa" w:w="1995"/>
          </w:tcPr>
          <w:p>
            <w:pPr>
              <w:spacing w:after="0" w:line="240" w:lineRule="auto"/>
              <w:ind w:firstLine="0"/>
              <w:jc w:val="left"/>
            </w:pPr>
            <w:r>
              <w:rPr>
                <w:b w:val="0"/>
                <w:i w:val="0"/>
                <w:sz w:val="20"/>
              </w:rPr>
              <w:t>Механизм ценовой защиты</w:t>
            </w:r>
          </w:p>
        </w:tc>
        <w:tc>
          <w:tcPr>
            <w:tcW w:type="dxa" w:w="1995"/>
          </w:tcPr>
          <w:p>
            <w:pPr>
              <w:spacing w:after="0" w:line="240" w:lineRule="auto"/>
              <w:ind w:firstLine="0"/>
              <w:jc w:val="center"/>
            </w:pPr>
            <w:r>
              <w:rPr>
                <w:b w:val="0"/>
                <w:i w:val="0"/>
                <w:sz w:val="20"/>
              </w:rPr>
              <w:t>очень высокое</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2</w:t>
            </w:r>
          </w:p>
        </w:tc>
      </w:tr>
      <w:tr>
        <w:tc>
          <w:tcPr>
            <w:tcW w:type="dxa" w:w="1995"/>
          </w:tcPr>
          <w:p>
            <w:pPr>
              <w:spacing w:after="0" w:line="240" w:lineRule="auto"/>
              <w:ind w:firstLine="0"/>
              <w:jc w:val="left"/>
            </w:pPr>
            <w:r>
              <w:rPr>
                <w:b w:val="0"/>
                <w:i w:val="0"/>
                <w:sz w:val="20"/>
              </w:rPr>
              <w:t>Разделение тяжёлой группы</w:t>
            </w:r>
          </w:p>
        </w:tc>
        <w:tc>
          <w:tcPr>
            <w:tcW w:type="dxa" w:w="1995"/>
          </w:tcPr>
          <w:p>
            <w:pPr>
              <w:spacing w:after="0" w:line="240" w:lineRule="auto"/>
              <w:ind w:firstLine="0"/>
              <w:jc w:val="center"/>
            </w:pPr>
            <w:r>
              <w:rPr>
                <w:b w:val="0"/>
                <w:i w:val="0"/>
                <w:sz w:val="20"/>
              </w:rPr>
              <w:t>очень высокое</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3</w:t>
            </w:r>
          </w:p>
        </w:tc>
      </w:tr>
      <w:tr>
        <w:tc>
          <w:tcPr>
            <w:tcW w:type="dxa" w:w="1995"/>
          </w:tcPr>
          <w:p>
            <w:pPr>
              <w:spacing w:after="0" w:line="240" w:lineRule="auto"/>
              <w:ind w:firstLine="0"/>
              <w:jc w:val="left"/>
            </w:pPr>
            <w:r>
              <w:rPr>
                <w:b w:val="0"/>
                <w:i w:val="0"/>
                <w:sz w:val="20"/>
              </w:rPr>
              <w:t>Диверсификация проектного портфеля</w:t>
            </w:r>
          </w:p>
        </w:tc>
        <w:tc>
          <w:tcPr>
            <w:tcW w:type="dxa" w:w="1995"/>
          </w:tcPr>
          <w:p>
            <w:pPr>
              <w:spacing w:after="0" w:line="240" w:lineRule="auto"/>
              <w:ind w:firstLine="0"/>
              <w:jc w:val="center"/>
            </w:pPr>
            <w:r>
              <w:rPr>
                <w:b w:val="0"/>
                <w:i w:val="0"/>
                <w:sz w:val="20"/>
              </w:rPr>
              <w:t>высокое</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4</w:t>
            </w:r>
          </w:p>
        </w:tc>
      </w:tr>
      <w:tr>
        <w:tc>
          <w:tcPr>
            <w:tcW w:type="dxa" w:w="1995"/>
          </w:tcPr>
          <w:p>
            <w:pPr>
              <w:spacing w:after="0" w:line="240" w:lineRule="auto"/>
              <w:ind w:firstLine="0"/>
              <w:jc w:val="left"/>
            </w:pPr>
            <w:r>
              <w:rPr>
                <w:b w:val="0"/>
                <w:i w:val="0"/>
                <w:sz w:val="20"/>
              </w:rPr>
              <w:t>Освоение фосфогипсового направления</w:t>
            </w:r>
          </w:p>
        </w:tc>
        <w:tc>
          <w:tcPr>
            <w:tcW w:type="dxa" w:w="1995"/>
          </w:tcPr>
          <w:p>
            <w:pPr>
              <w:spacing w:after="0" w:line="240" w:lineRule="auto"/>
              <w:ind w:firstLine="0"/>
              <w:jc w:val="center"/>
            </w:pPr>
            <w:r>
              <w:rPr>
                <w:b w:val="0"/>
                <w:i w:val="0"/>
                <w:sz w:val="20"/>
              </w:rPr>
              <w:t>высокое</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5</w:t>
            </w:r>
          </w:p>
        </w:tc>
      </w:tr>
      <w:tr>
        <w:tc>
          <w:tcPr>
            <w:tcW w:type="dxa" w:w="1995"/>
          </w:tcPr>
          <w:p>
            <w:pPr>
              <w:spacing w:after="0" w:line="240" w:lineRule="auto"/>
              <w:ind w:firstLine="0"/>
              <w:jc w:val="left"/>
            </w:pPr>
            <w:r>
              <w:rPr>
                <w:b w:val="0"/>
                <w:i w:val="0"/>
                <w:sz w:val="20"/>
              </w:rPr>
              <w:t>Формирование внутреннего спроса</w:t>
            </w:r>
          </w:p>
        </w:tc>
        <w:tc>
          <w:tcPr>
            <w:tcW w:type="dxa" w:w="1995"/>
          </w:tcPr>
          <w:p>
            <w:pPr>
              <w:spacing w:after="0" w:line="240" w:lineRule="auto"/>
              <w:ind w:firstLine="0"/>
              <w:jc w:val="center"/>
            </w:pPr>
            <w:r>
              <w:rPr>
                <w:b w:val="0"/>
                <w:i w:val="0"/>
                <w:sz w:val="20"/>
              </w:rPr>
              <w:t>высокое</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6</w:t>
            </w:r>
          </w:p>
        </w:tc>
      </w:tr>
      <w:tr>
        <w:tc>
          <w:tcPr>
            <w:tcW w:type="dxa" w:w="1995"/>
          </w:tcPr>
          <w:p>
            <w:pPr>
              <w:spacing w:after="0" w:line="240" w:lineRule="auto"/>
              <w:ind w:firstLine="0"/>
              <w:jc w:val="left"/>
            </w:pPr>
            <w:r>
              <w:rPr>
                <w:b w:val="0"/>
                <w:i w:val="0"/>
                <w:sz w:val="20"/>
              </w:rPr>
              <w:t>Кадровая программа</w:t>
            </w:r>
          </w:p>
        </w:tc>
        <w:tc>
          <w:tcPr>
            <w:tcW w:type="dxa" w:w="1995"/>
          </w:tcPr>
          <w:p>
            <w:pPr>
              <w:spacing w:after="0" w:line="240" w:lineRule="auto"/>
              <w:ind w:firstLine="0"/>
              <w:jc w:val="center"/>
            </w:pPr>
            <w:r>
              <w:rPr>
                <w:b w:val="0"/>
                <w:i w:val="0"/>
                <w:sz w:val="20"/>
              </w:rPr>
              <w:t>высокое</w:t>
            </w:r>
          </w:p>
        </w:tc>
        <w:tc>
          <w:tcPr>
            <w:tcW w:type="dxa" w:w="1995"/>
          </w:tcPr>
          <w:p>
            <w:pPr>
              <w:spacing w:after="0" w:line="240" w:lineRule="auto"/>
              <w:ind w:firstLine="0"/>
              <w:jc w:val="center"/>
            </w:pPr>
            <w:r>
              <w:rPr>
                <w:b w:val="0"/>
                <w:i w:val="0"/>
                <w:sz w:val="20"/>
              </w:rPr>
              <w:t>высокая</w:t>
            </w:r>
          </w:p>
        </w:tc>
        <w:tc>
          <w:tcPr>
            <w:tcW w:type="dxa" w:w="1995"/>
          </w:tcPr>
          <w:p>
            <w:pPr>
              <w:spacing w:after="0" w:line="240" w:lineRule="auto"/>
              <w:ind w:firstLine="0"/>
              <w:jc w:val="center"/>
            </w:pPr>
            <w:r>
              <w:rPr>
                <w:b w:val="0"/>
                <w:i w:val="0"/>
                <w:sz w:val="20"/>
              </w:rPr>
              <w:t>очень высокая</w:t>
            </w:r>
          </w:p>
        </w:tc>
        <w:tc>
          <w:tcPr>
            <w:tcW w:type="dxa" w:w="1995"/>
          </w:tcPr>
          <w:p>
            <w:pPr>
              <w:spacing w:after="0" w:line="240" w:lineRule="auto"/>
              <w:ind w:firstLine="0"/>
              <w:jc w:val="center"/>
            </w:pPr>
            <w:r>
              <w:rPr>
                <w:b w:val="0"/>
                <w:i w:val="0"/>
                <w:sz w:val="20"/>
              </w:rPr>
              <w:t>7</w:t>
            </w:r>
          </w:p>
        </w:tc>
      </w:tr>
      <w:tr>
        <w:tc>
          <w:tcPr>
            <w:tcW w:type="dxa" w:w="1995"/>
          </w:tcPr>
          <w:p>
            <w:pPr>
              <w:spacing w:after="0" w:line="240" w:lineRule="auto"/>
              <w:ind w:firstLine="0"/>
              <w:jc w:val="left"/>
            </w:pPr>
            <w:r>
              <w:rPr>
                <w:b w:val="0"/>
                <w:i w:val="0"/>
                <w:sz w:val="20"/>
              </w:rPr>
              <w:t>Решение по сбыту Ce и La</w:t>
            </w:r>
          </w:p>
        </w:tc>
        <w:tc>
          <w:tcPr>
            <w:tcW w:type="dxa" w:w="1995"/>
          </w:tcPr>
          <w:p>
            <w:pPr>
              <w:spacing w:after="0" w:line="240" w:lineRule="auto"/>
              <w:ind w:firstLine="0"/>
              <w:jc w:val="center"/>
            </w:pPr>
            <w:r>
              <w:rPr>
                <w:b w:val="0"/>
                <w:i w:val="0"/>
                <w:sz w:val="20"/>
              </w:rPr>
              <w:t>среднее</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8</w:t>
            </w:r>
          </w:p>
        </w:tc>
      </w:tr>
      <w:tr>
        <w:tc>
          <w:tcPr>
            <w:tcW w:type="dxa" w:w="1995"/>
          </w:tcPr>
          <w:p>
            <w:pPr>
              <w:spacing w:after="0" w:line="240" w:lineRule="auto"/>
              <w:ind w:firstLine="0"/>
              <w:jc w:val="left"/>
            </w:pPr>
            <w:r>
              <w:rPr>
                <w:b w:val="0"/>
                <w:i w:val="0"/>
                <w:sz w:val="20"/>
              </w:rPr>
              <w:t>Реализация Томторского проекта</w:t>
            </w:r>
          </w:p>
        </w:tc>
        <w:tc>
          <w:tcPr>
            <w:tcW w:type="dxa" w:w="1995"/>
          </w:tcPr>
          <w:p>
            <w:pPr>
              <w:spacing w:after="0" w:line="240" w:lineRule="auto"/>
              <w:ind w:firstLine="0"/>
              <w:jc w:val="center"/>
            </w:pPr>
            <w:r>
              <w:rPr>
                <w:b w:val="0"/>
                <w:i w:val="0"/>
                <w:sz w:val="20"/>
              </w:rPr>
              <w:t>очень высокое</w:t>
            </w:r>
          </w:p>
        </w:tc>
        <w:tc>
          <w:tcPr>
            <w:tcW w:type="dxa" w:w="1995"/>
          </w:tcPr>
          <w:p>
            <w:pPr>
              <w:spacing w:after="0" w:line="240" w:lineRule="auto"/>
              <w:ind w:firstLine="0"/>
              <w:jc w:val="center"/>
            </w:pPr>
            <w:r>
              <w:rPr>
                <w:b w:val="0"/>
                <w:i w:val="0"/>
                <w:sz w:val="20"/>
              </w:rPr>
              <w:t>низкая</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9</w:t>
            </w:r>
          </w:p>
        </w:tc>
      </w:tr>
      <w:tr>
        <w:tc>
          <w:tcPr>
            <w:tcW w:type="dxa" w:w="1995"/>
          </w:tcPr>
          <w:p>
            <w:pPr>
              <w:spacing w:after="0" w:line="240" w:lineRule="auto"/>
              <w:ind w:firstLine="0"/>
              <w:jc w:val="left"/>
            </w:pPr>
            <w:r>
              <w:rPr>
                <w:b w:val="0"/>
                <w:i w:val="0"/>
                <w:sz w:val="20"/>
              </w:rPr>
              <w:t>Развитие рециклинга</w:t>
            </w:r>
          </w:p>
        </w:tc>
        <w:tc>
          <w:tcPr>
            <w:tcW w:type="dxa" w:w="1995"/>
          </w:tcPr>
          <w:p>
            <w:pPr>
              <w:spacing w:after="0" w:line="240" w:lineRule="auto"/>
              <w:ind w:firstLine="0"/>
              <w:jc w:val="center"/>
            </w:pPr>
            <w:r>
              <w:rPr>
                <w:b w:val="0"/>
                <w:i w:val="0"/>
                <w:sz w:val="20"/>
              </w:rPr>
              <w:t>среднее</w:t>
            </w:r>
          </w:p>
        </w:tc>
        <w:tc>
          <w:tcPr>
            <w:tcW w:type="dxa" w:w="1995"/>
          </w:tcPr>
          <w:p>
            <w:pPr>
              <w:spacing w:after="0" w:line="240" w:lineRule="auto"/>
              <w:ind w:firstLine="0"/>
              <w:jc w:val="center"/>
            </w:pPr>
            <w:r>
              <w:rPr>
                <w:b w:val="0"/>
                <w:i w:val="0"/>
                <w:sz w:val="20"/>
              </w:rPr>
              <w:t>средняя</w:t>
            </w:r>
          </w:p>
        </w:tc>
        <w:tc>
          <w:tcPr>
            <w:tcW w:type="dxa" w:w="1995"/>
          </w:tcPr>
          <w:p>
            <w:pPr>
              <w:spacing w:after="0" w:line="240" w:lineRule="auto"/>
              <w:ind w:firstLine="0"/>
              <w:jc w:val="center"/>
            </w:pPr>
            <w:r>
              <w:rPr>
                <w:b w:val="0"/>
                <w:i w:val="0"/>
                <w:sz w:val="20"/>
              </w:rPr>
              <w:t>низкая</w:t>
            </w:r>
          </w:p>
        </w:tc>
        <w:tc>
          <w:tcPr>
            <w:tcW w:type="dxa" w:w="1995"/>
          </w:tcPr>
          <w:p>
            <w:pPr>
              <w:spacing w:after="0" w:line="240" w:lineRule="auto"/>
              <w:ind w:firstLine="0"/>
              <w:jc w:val="center"/>
            </w:pPr>
            <w:r>
              <w:rPr>
                <w:b w:val="0"/>
                <w:i w:val="0"/>
                <w:sz w:val="20"/>
              </w:rPr>
              <w:t>10</w:t>
            </w:r>
          </w:p>
        </w:tc>
      </w:tr>
    </w:tbl>
    <w:p>
      <w:pPr>
        <w:spacing w:after="180"/>
        <w:ind w:firstLine="0"/>
      </w:pPr>
      <w:r>
        <w:rPr>
          <w:i/>
          <w:sz w:val="20"/>
        </w:rPr>
        <w:t>Источник: оценка аналитического центра</w:t>
      </w:r>
    </w:p>
    <w:p>
      <w:pPr>
        <w:keepNext/>
        <w:spacing w:before="160" w:after="60"/>
        <w:ind w:firstLine="0"/>
        <w:jc w:val="left"/>
      </w:pPr>
      <w:r>
        <w:rPr>
          <w:b/>
          <w:sz w:val="22"/>
        </w:rPr>
        <w:t>Рисунок 93. Оценка стратегических приоритетов развития редкоземельной отрасли РФ (влияние × реализуемость × срочность)</w:t>
      </w:r>
    </w:p>
    <w:p>
      <w:pPr>
        <w:ind w:firstLine="0"/>
        <w:jc w:val="center"/>
      </w:pPr>
      <w:r>
        <w:drawing>
          <wp:inline xmlns:a="http://schemas.openxmlformats.org/drawingml/2006/main" xmlns:pic="http://schemas.openxmlformats.org/drawingml/2006/picture">
            <wp:extent cx="5580000" cy="2769635"/>
            <wp:docPr id="93" name="Picture 93"/>
            <wp:cNvGraphicFramePr>
              <a:graphicFrameLocks noChangeAspect="1"/>
            </wp:cNvGraphicFramePr>
            <a:graphic>
              <a:graphicData uri="http://schemas.openxmlformats.org/drawingml/2006/picture">
                <pic:pic>
                  <pic:nvPicPr>
                    <pic:cNvPr id="0" name="fig93.png"/>
                    <pic:cNvPicPr/>
                  </pic:nvPicPr>
                  <pic:blipFill>
                    <a:blip r:embed="rId103"/>
                    <a:stretch>
                      <a:fillRect/>
                    </a:stretch>
                  </pic:blipFill>
                  <pic:spPr>
                    <a:xfrm>
                      <a:off x="0" y="0"/>
                      <a:ext cx="5580000" cy="2769635"/>
                    </a:xfrm>
                    <a:prstGeom prst="rect"/>
                  </pic:spPr>
                </pic:pic>
              </a:graphicData>
            </a:graphic>
          </wp:inline>
        </w:drawing>
      </w:r>
    </w:p>
    <w:p>
      <w:pPr>
        <w:spacing w:after="180"/>
        <w:ind w:firstLine="0"/>
      </w:pPr>
      <w:r>
        <w:rPr>
          <w:i/>
          <w:sz w:val="20"/>
        </w:rPr>
        <w:t>Источник: аналитический центр (табл. 126)</w:t>
      </w:r>
    </w:p>
    <w:p>
      <w:r>
        <w:br w:type="page"/>
      </w:r>
    </w:p>
    <w:p>
      <w:pPr>
        <w:pStyle w:val="Heading1"/>
      </w:pPr>
      <w:r>
        <w:rPr>
          <w:b w:val="0"/>
          <w:i w:val="0"/>
        </w:rPr>
        <w:t>Приложение 1. Производители редкоземельной продукции</w:t>
      </w:r>
    </w:p>
    <w:p>
      <w:pPr>
        <w:pStyle w:val="Heading2"/>
      </w:pPr>
      <w:r>
        <w:rPr>
          <w:b w:val="0"/>
          <w:i w:val="0"/>
        </w:rPr>
        <w:t>П1.1. Российские производители и проектные компании</w:t>
      </w:r>
    </w:p>
    <w:p>
      <w:pPr>
        <w:ind w:left="454" w:firstLine="0"/>
      </w:pPr>
      <w:r>
        <w:rPr>
          <w:i/>
        </w:rPr>
        <w:t>Приведены официальные наименования юридических лиц и место нахождения производственных площадок. Телефоны, адреса электронной почты и реквизиты в настоящем приложении сознательно не приводятся: эти сведения изменяются и подлежат уточнению по данным Единого государственного реестра юридических лиц и официальных сайтов организаций на дату обращения. Указание непроверенных контактных данных в аналитическом отчёте недопустимо.</w:t>
      </w:r>
    </w:p>
    <w:p>
      <w:pPr>
        <w:keepNext/>
        <w:spacing w:before="160" w:after="60"/>
        <w:ind w:firstLine="0"/>
        <w:jc w:val="left"/>
      </w:pPr>
      <w:r>
        <w:rPr>
          <w:b/>
          <w:sz w:val="22"/>
        </w:rPr>
        <w:t>Таблица 127. Российские производители редкоземельной продукции и операторы проектов</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Организация</w:t>
            </w:r>
          </w:p>
        </w:tc>
        <w:tc>
          <w:tcPr>
            <w:tcW w:type="dxa" w:w="2493"/>
            <w:shd w:val="clear" w:fill="DCE6F1"/>
          </w:tcPr>
          <w:p>
            <w:pPr>
              <w:spacing w:after="0" w:line="240" w:lineRule="auto"/>
              <w:ind w:firstLine="0"/>
              <w:jc w:val="center"/>
            </w:pPr>
            <w:r>
              <w:rPr>
                <w:b/>
                <w:i w:val="0"/>
                <w:sz w:val="20"/>
              </w:rPr>
              <w:t>Место нахождения</w:t>
            </w:r>
          </w:p>
        </w:tc>
        <w:tc>
          <w:tcPr>
            <w:tcW w:type="dxa" w:w="2493"/>
            <w:shd w:val="clear" w:fill="DCE6F1"/>
          </w:tcPr>
          <w:p>
            <w:pPr>
              <w:spacing w:after="0" w:line="240" w:lineRule="auto"/>
              <w:ind w:firstLine="0"/>
              <w:jc w:val="center"/>
            </w:pPr>
            <w:r>
              <w:rPr>
                <w:b/>
                <w:i w:val="0"/>
                <w:sz w:val="20"/>
              </w:rPr>
              <w:t>Профиль</w:t>
            </w:r>
          </w:p>
        </w:tc>
        <w:tc>
          <w:tcPr>
            <w:tcW w:type="dxa" w:w="2493"/>
            <w:shd w:val="clear" w:fill="DCE6F1"/>
          </w:tcPr>
          <w:p>
            <w:pPr>
              <w:spacing w:after="0" w:line="240" w:lineRule="auto"/>
              <w:ind w:firstLine="0"/>
              <w:jc w:val="center"/>
            </w:pPr>
            <w:r>
              <w:rPr>
                <w:b/>
                <w:i w:val="0"/>
                <w:sz w:val="20"/>
              </w:rPr>
              <w:t>Статус</w:t>
            </w:r>
          </w:p>
        </w:tc>
      </w:tr>
      <w:tr>
        <w:tc>
          <w:tcPr>
            <w:tcW w:type="dxa" w:w="2493"/>
          </w:tcPr>
          <w:p>
            <w:pPr>
              <w:spacing w:after="0" w:line="240" w:lineRule="auto"/>
              <w:ind w:firstLine="0"/>
              <w:jc w:val="left"/>
            </w:pPr>
            <w:r>
              <w:rPr>
                <w:b w:val="0"/>
                <w:i w:val="0"/>
                <w:sz w:val="20"/>
              </w:rPr>
              <w:t>ООО «Ловозёрский горно-обогатительный комбинат»</w:t>
            </w:r>
          </w:p>
        </w:tc>
        <w:tc>
          <w:tcPr>
            <w:tcW w:type="dxa" w:w="2493"/>
          </w:tcPr>
          <w:p>
            <w:pPr>
              <w:spacing w:after="0" w:line="240" w:lineRule="auto"/>
              <w:ind w:firstLine="0"/>
              <w:jc w:val="center"/>
            </w:pPr>
            <w:r>
              <w:rPr>
                <w:b w:val="0"/>
                <w:i w:val="0"/>
                <w:sz w:val="20"/>
              </w:rPr>
              <w:t>Мурманская обл., п. Ревда</w:t>
            </w:r>
          </w:p>
        </w:tc>
        <w:tc>
          <w:tcPr>
            <w:tcW w:type="dxa" w:w="2493"/>
          </w:tcPr>
          <w:p>
            <w:pPr>
              <w:spacing w:after="0" w:line="240" w:lineRule="auto"/>
              <w:ind w:firstLine="0"/>
              <w:jc w:val="center"/>
            </w:pPr>
            <w:r>
              <w:rPr>
                <w:b w:val="0"/>
                <w:i w:val="0"/>
                <w:sz w:val="20"/>
              </w:rPr>
              <w:t>добыча, обогащение лопарита</w:t>
            </w:r>
          </w:p>
        </w:tc>
        <w:tc>
          <w:tcPr>
            <w:tcW w:type="dxa" w:w="2493"/>
          </w:tcPr>
          <w:p>
            <w:pPr>
              <w:spacing w:after="0" w:line="240" w:lineRule="auto"/>
              <w:ind w:firstLine="0"/>
              <w:jc w:val="center"/>
            </w:pPr>
            <w:r>
              <w:rPr>
                <w:b w:val="0"/>
                <w:i w:val="0"/>
                <w:sz w:val="20"/>
              </w:rPr>
              <w:t>действующее</w:t>
            </w:r>
          </w:p>
        </w:tc>
      </w:tr>
      <w:tr>
        <w:tc>
          <w:tcPr>
            <w:tcW w:type="dxa" w:w="2493"/>
          </w:tcPr>
          <w:p>
            <w:pPr>
              <w:spacing w:after="0" w:line="240" w:lineRule="auto"/>
              <w:ind w:firstLine="0"/>
              <w:jc w:val="left"/>
            </w:pPr>
            <w:r>
              <w:rPr>
                <w:b w:val="0"/>
                <w:i w:val="0"/>
                <w:sz w:val="20"/>
              </w:rPr>
              <w:t>АО «Соликамский магниевый завод»</w:t>
            </w:r>
          </w:p>
        </w:tc>
        <w:tc>
          <w:tcPr>
            <w:tcW w:type="dxa" w:w="2493"/>
          </w:tcPr>
          <w:p>
            <w:pPr>
              <w:spacing w:after="0" w:line="240" w:lineRule="auto"/>
              <w:ind w:firstLine="0"/>
              <w:jc w:val="center"/>
            </w:pPr>
            <w:r>
              <w:rPr>
                <w:b w:val="0"/>
                <w:i w:val="0"/>
                <w:sz w:val="20"/>
              </w:rPr>
              <w:t>Пермский край, г. Соликамск</w:t>
            </w:r>
          </w:p>
        </w:tc>
        <w:tc>
          <w:tcPr>
            <w:tcW w:type="dxa" w:w="2493"/>
          </w:tcPr>
          <w:p>
            <w:pPr>
              <w:spacing w:after="0" w:line="240" w:lineRule="auto"/>
              <w:ind w:firstLine="0"/>
              <w:jc w:val="center"/>
            </w:pPr>
            <w:r>
              <w:rPr>
                <w:b w:val="0"/>
                <w:i w:val="0"/>
                <w:sz w:val="20"/>
              </w:rPr>
              <w:t>вскрытие, разделение</w:t>
            </w:r>
          </w:p>
        </w:tc>
        <w:tc>
          <w:tcPr>
            <w:tcW w:type="dxa" w:w="2493"/>
          </w:tcPr>
          <w:p>
            <w:pPr>
              <w:spacing w:after="0" w:line="240" w:lineRule="auto"/>
              <w:ind w:firstLine="0"/>
              <w:jc w:val="center"/>
            </w:pPr>
            <w:r>
              <w:rPr>
                <w:b w:val="0"/>
                <w:i w:val="0"/>
                <w:sz w:val="20"/>
              </w:rPr>
              <w:t>действующее</w:t>
            </w:r>
          </w:p>
        </w:tc>
      </w:tr>
      <w:tr>
        <w:tc>
          <w:tcPr>
            <w:tcW w:type="dxa" w:w="2493"/>
          </w:tcPr>
          <w:p>
            <w:pPr>
              <w:spacing w:after="0" w:line="240" w:lineRule="auto"/>
              <w:ind w:firstLine="0"/>
              <w:jc w:val="left"/>
            </w:pPr>
            <w:r>
              <w:rPr>
                <w:b w:val="0"/>
                <w:i w:val="0"/>
                <w:sz w:val="20"/>
              </w:rPr>
              <w:t>ООО «Скайград»</w:t>
            </w:r>
          </w:p>
        </w:tc>
        <w:tc>
          <w:tcPr>
            <w:tcW w:type="dxa" w:w="2493"/>
          </w:tcPr>
          <w:p>
            <w:pPr>
              <w:spacing w:after="0" w:line="240" w:lineRule="auto"/>
              <w:ind w:firstLine="0"/>
              <w:jc w:val="center"/>
            </w:pPr>
            <w:r>
              <w:rPr>
                <w:b w:val="0"/>
                <w:i w:val="0"/>
                <w:sz w:val="20"/>
              </w:rPr>
              <w:t>Московская обл., г. Королёв</w:t>
            </w:r>
          </w:p>
        </w:tc>
        <w:tc>
          <w:tcPr>
            <w:tcW w:type="dxa" w:w="2493"/>
          </w:tcPr>
          <w:p>
            <w:pPr>
              <w:spacing w:after="0" w:line="240" w:lineRule="auto"/>
              <w:ind w:firstLine="0"/>
              <w:jc w:val="center"/>
            </w:pPr>
            <w:r>
              <w:rPr>
                <w:b w:val="0"/>
                <w:i w:val="0"/>
                <w:sz w:val="20"/>
              </w:rPr>
              <w:t>разделение, фосфогипс</w:t>
            </w:r>
          </w:p>
        </w:tc>
        <w:tc>
          <w:tcPr>
            <w:tcW w:type="dxa" w:w="2493"/>
          </w:tcPr>
          <w:p>
            <w:pPr>
              <w:spacing w:after="0" w:line="240" w:lineRule="auto"/>
              <w:ind w:firstLine="0"/>
              <w:jc w:val="center"/>
            </w:pPr>
            <w:r>
              <w:rPr>
                <w:b w:val="0"/>
                <w:i w:val="0"/>
                <w:sz w:val="20"/>
              </w:rPr>
              <w:t>действующее</w:t>
            </w:r>
          </w:p>
        </w:tc>
      </w:tr>
      <w:tr>
        <w:tc>
          <w:tcPr>
            <w:tcW w:type="dxa" w:w="2493"/>
          </w:tcPr>
          <w:p>
            <w:pPr>
              <w:spacing w:after="0" w:line="240" w:lineRule="auto"/>
              <w:ind w:firstLine="0"/>
              <w:jc w:val="left"/>
            </w:pPr>
            <w:r>
              <w:rPr>
                <w:b w:val="0"/>
                <w:i w:val="0"/>
                <w:sz w:val="20"/>
              </w:rPr>
              <w:t>АО «Чепецкий механический завод»</w:t>
            </w:r>
          </w:p>
        </w:tc>
        <w:tc>
          <w:tcPr>
            <w:tcW w:type="dxa" w:w="2493"/>
          </w:tcPr>
          <w:p>
            <w:pPr>
              <w:spacing w:after="0" w:line="240" w:lineRule="auto"/>
              <w:ind w:firstLine="0"/>
              <w:jc w:val="center"/>
            </w:pPr>
            <w:r>
              <w:rPr>
                <w:b w:val="0"/>
                <w:i w:val="0"/>
                <w:sz w:val="20"/>
              </w:rPr>
              <w:t>Удмуртия, г. Глазов</w:t>
            </w:r>
          </w:p>
        </w:tc>
        <w:tc>
          <w:tcPr>
            <w:tcW w:type="dxa" w:w="2493"/>
          </w:tcPr>
          <w:p>
            <w:pPr>
              <w:spacing w:after="0" w:line="240" w:lineRule="auto"/>
              <w:ind w:firstLine="0"/>
              <w:jc w:val="center"/>
            </w:pPr>
            <w:r>
              <w:rPr>
                <w:b w:val="0"/>
                <w:i w:val="0"/>
                <w:sz w:val="20"/>
              </w:rPr>
              <w:t>металлургия, магниты</w:t>
            </w:r>
          </w:p>
        </w:tc>
        <w:tc>
          <w:tcPr>
            <w:tcW w:type="dxa" w:w="2493"/>
          </w:tcPr>
          <w:p>
            <w:pPr>
              <w:spacing w:after="0" w:line="240" w:lineRule="auto"/>
              <w:ind w:firstLine="0"/>
              <w:jc w:val="center"/>
            </w:pPr>
            <w:r>
              <w:rPr>
                <w:b w:val="0"/>
                <w:i w:val="0"/>
                <w:sz w:val="20"/>
              </w:rPr>
              <w:t>действующее</w:t>
            </w:r>
          </w:p>
        </w:tc>
      </w:tr>
      <w:tr>
        <w:tc>
          <w:tcPr>
            <w:tcW w:type="dxa" w:w="2493"/>
          </w:tcPr>
          <w:p>
            <w:pPr>
              <w:spacing w:after="0" w:line="240" w:lineRule="auto"/>
              <w:ind w:firstLine="0"/>
              <w:jc w:val="left"/>
            </w:pPr>
            <w:r>
              <w:rPr>
                <w:b w:val="0"/>
                <w:i w:val="0"/>
                <w:sz w:val="20"/>
              </w:rPr>
              <w:t>ООО «Элемаш Магнит»</w:t>
            </w:r>
          </w:p>
        </w:tc>
        <w:tc>
          <w:tcPr>
            <w:tcW w:type="dxa" w:w="2493"/>
          </w:tcPr>
          <w:p>
            <w:pPr>
              <w:spacing w:after="0" w:line="240" w:lineRule="auto"/>
              <w:ind w:firstLine="0"/>
              <w:jc w:val="center"/>
            </w:pPr>
            <w:r>
              <w:rPr>
                <w:b w:val="0"/>
                <w:i w:val="0"/>
                <w:sz w:val="20"/>
              </w:rPr>
              <w:t>Московская обл., г. Электросталь</w:t>
            </w:r>
          </w:p>
        </w:tc>
        <w:tc>
          <w:tcPr>
            <w:tcW w:type="dxa" w:w="2493"/>
          </w:tcPr>
          <w:p>
            <w:pPr>
              <w:spacing w:after="0" w:line="240" w:lineRule="auto"/>
              <w:ind w:firstLine="0"/>
              <w:jc w:val="center"/>
            </w:pPr>
            <w:r>
              <w:rPr>
                <w:b w:val="0"/>
                <w:i w:val="0"/>
                <w:sz w:val="20"/>
              </w:rPr>
              <w:t>магниты NdFeB</w:t>
            </w:r>
          </w:p>
        </w:tc>
        <w:tc>
          <w:tcPr>
            <w:tcW w:type="dxa" w:w="2493"/>
          </w:tcPr>
          <w:p>
            <w:pPr>
              <w:spacing w:after="0" w:line="240" w:lineRule="auto"/>
              <w:ind w:firstLine="0"/>
              <w:jc w:val="center"/>
            </w:pPr>
            <w:r>
              <w:rPr>
                <w:b w:val="0"/>
                <w:i w:val="0"/>
                <w:sz w:val="20"/>
              </w:rPr>
              <w:t>создаётся</w:t>
            </w:r>
          </w:p>
        </w:tc>
      </w:tr>
      <w:tr>
        <w:tc>
          <w:tcPr>
            <w:tcW w:type="dxa" w:w="2493"/>
          </w:tcPr>
          <w:p>
            <w:pPr>
              <w:spacing w:after="0" w:line="240" w:lineRule="auto"/>
              <w:ind w:firstLine="0"/>
              <w:jc w:val="left"/>
            </w:pPr>
            <w:r>
              <w:rPr>
                <w:b w:val="0"/>
                <w:i w:val="0"/>
                <w:sz w:val="20"/>
              </w:rPr>
              <w:t>АО «Русатом МеталлТех»</w:t>
            </w:r>
          </w:p>
        </w:tc>
        <w:tc>
          <w:tcPr>
            <w:tcW w:type="dxa" w:w="2493"/>
          </w:tcPr>
          <w:p>
            <w:pPr>
              <w:spacing w:after="0" w:line="240" w:lineRule="auto"/>
              <w:ind w:firstLine="0"/>
              <w:jc w:val="center"/>
            </w:pPr>
            <w:r>
              <w:rPr>
                <w:b w:val="0"/>
                <w:i w:val="0"/>
                <w:sz w:val="20"/>
              </w:rPr>
              <w:t>г. Москва</w:t>
            </w:r>
          </w:p>
        </w:tc>
        <w:tc>
          <w:tcPr>
            <w:tcW w:type="dxa" w:w="2493"/>
          </w:tcPr>
          <w:p>
            <w:pPr>
              <w:spacing w:after="0" w:line="240" w:lineRule="auto"/>
              <w:ind w:firstLine="0"/>
              <w:jc w:val="center"/>
            </w:pPr>
            <w:r>
              <w:rPr>
                <w:b w:val="0"/>
                <w:i w:val="0"/>
                <w:sz w:val="20"/>
              </w:rPr>
              <w:t>отраслевая интеграция</w:t>
            </w:r>
          </w:p>
        </w:tc>
        <w:tc>
          <w:tcPr>
            <w:tcW w:type="dxa" w:w="2493"/>
          </w:tcPr>
          <w:p>
            <w:pPr>
              <w:spacing w:after="0" w:line="240" w:lineRule="auto"/>
              <w:ind w:firstLine="0"/>
              <w:jc w:val="center"/>
            </w:pPr>
            <w:r>
              <w:rPr>
                <w:b w:val="0"/>
                <w:i w:val="0"/>
                <w:sz w:val="20"/>
              </w:rPr>
              <w:t>действующее</w:t>
            </w:r>
          </w:p>
        </w:tc>
      </w:tr>
      <w:tr>
        <w:tc>
          <w:tcPr>
            <w:tcW w:type="dxa" w:w="2493"/>
          </w:tcPr>
          <w:p>
            <w:pPr>
              <w:spacing w:after="0" w:line="240" w:lineRule="auto"/>
              <w:ind w:firstLine="0"/>
              <w:jc w:val="left"/>
            </w:pPr>
            <w:r>
              <w:rPr>
                <w:b w:val="0"/>
                <w:i w:val="0"/>
                <w:sz w:val="20"/>
              </w:rPr>
              <w:t>ООО «Восток Инжиниринг»</w:t>
            </w:r>
          </w:p>
        </w:tc>
        <w:tc>
          <w:tcPr>
            <w:tcW w:type="dxa" w:w="2493"/>
          </w:tcPr>
          <w:p>
            <w:pPr>
              <w:spacing w:after="0" w:line="240" w:lineRule="auto"/>
              <w:ind w:firstLine="0"/>
              <w:jc w:val="center"/>
            </w:pPr>
            <w:r>
              <w:rPr>
                <w:b w:val="0"/>
                <w:i w:val="0"/>
                <w:sz w:val="20"/>
              </w:rPr>
              <w:t>г. Москва / Якутия</w:t>
            </w:r>
          </w:p>
        </w:tc>
        <w:tc>
          <w:tcPr>
            <w:tcW w:type="dxa" w:w="2493"/>
          </w:tcPr>
          <w:p>
            <w:pPr>
              <w:spacing w:after="0" w:line="240" w:lineRule="auto"/>
              <w:ind w:firstLine="0"/>
              <w:jc w:val="center"/>
            </w:pPr>
            <w:r>
              <w:rPr>
                <w:b w:val="0"/>
                <w:i w:val="0"/>
                <w:sz w:val="20"/>
              </w:rPr>
              <w:t>проект «Томтор»</w:t>
            </w:r>
          </w:p>
        </w:tc>
        <w:tc>
          <w:tcPr>
            <w:tcW w:type="dxa" w:w="2493"/>
          </w:tcPr>
          <w:p>
            <w:pPr>
              <w:spacing w:after="0" w:line="240" w:lineRule="auto"/>
              <w:ind w:firstLine="0"/>
              <w:jc w:val="center"/>
            </w:pPr>
            <w:r>
              <w:rPr>
                <w:b w:val="0"/>
                <w:i w:val="0"/>
                <w:sz w:val="20"/>
              </w:rPr>
              <w:t>проект</w:t>
            </w:r>
          </w:p>
        </w:tc>
      </w:tr>
      <w:tr>
        <w:tc>
          <w:tcPr>
            <w:tcW w:type="dxa" w:w="2493"/>
          </w:tcPr>
          <w:p>
            <w:pPr>
              <w:spacing w:after="0" w:line="240" w:lineRule="auto"/>
              <w:ind w:firstLine="0"/>
              <w:jc w:val="left"/>
            </w:pPr>
            <w:r>
              <w:rPr>
                <w:b w:val="0"/>
                <w:i w:val="0"/>
                <w:sz w:val="20"/>
              </w:rPr>
              <w:t>ООО «Техноинвест Альянс»</w:t>
            </w:r>
          </w:p>
        </w:tc>
        <w:tc>
          <w:tcPr>
            <w:tcW w:type="dxa" w:w="2493"/>
          </w:tcPr>
          <w:p>
            <w:pPr>
              <w:spacing w:after="0" w:line="240" w:lineRule="auto"/>
              <w:ind w:firstLine="0"/>
              <w:jc w:val="center"/>
            </w:pPr>
            <w:r>
              <w:rPr>
                <w:b w:val="0"/>
                <w:i w:val="0"/>
                <w:sz w:val="20"/>
              </w:rPr>
              <w:t>Иркутская обл.</w:t>
            </w:r>
          </w:p>
        </w:tc>
        <w:tc>
          <w:tcPr>
            <w:tcW w:type="dxa" w:w="2493"/>
          </w:tcPr>
          <w:p>
            <w:pPr>
              <w:spacing w:after="0" w:line="240" w:lineRule="auto"/>
              <w:ind w:firstLine="0"/>
              <w:jc w:val="center"/>
            </w:pPr>
            <w:r>
              <w:rPr>
                <w:b w:val="0"/>
                <w:i w:val="0"/>
                <w:sz w:val="20"/>
              </w:rPr>
              <w:t>проект «Зашихинское»</w:t>
            </w:r>
          </w:p>
        </w:tc>
        <w:tc>
          <w:tcPr>
            <w:tcW w:type="dxa" w:w="2493"/>
          </w:tcPr>
          <w:p>
            <w:pPr>
              <w:spacing w:after="0" w:line="240" w:lineRule="auto"/>
              <w:ind w:firstLine="0"/>
              <w:jc w:val="center"/>
            </w:pPr>
            <w:r>
              <w:rPr>
                <w:b w:val="0"/>
                <w:i w:val="0"/>
                <w:sz w:val="20"/>
              </w:rPr>
              <w:t>проект</w:t>
            </w:r>
          </w:p>
        </w:tc>
      </w:tr>
      <w:tr>
        <w:tc>
          <w:tcPr>
            <w:tcW w:type="dxa" w:w="2493"/>
          </w:tcPr>
          <w:p>
            <w:pPr>
              <w:spacing w:after="0" w:line="240" w:lineRule="auto"/>
              <w:ind w:firstLine="0"/>
              <w:jc w:val="left"/>
            </w:pPr>
            <w:r>
              <w:rPr>
                <w:b w:val="0"/>
                <w:i w:val="0"/>
                <w:sz w:val="20"/>
              </w:rPr>
              <w:t>АО «Аркминерал-Ресурс»</w:t>
            </w:r>
          </w:p>
        </w:tc>
        <w:tc>
          <w:tcPr>
            <w:tcW w:type="dxa" w:w="2493"/>
          </w:tcPr>
          <w:p>
            <w:pPr>
              <w:spacing w:after="0" w:line="240" w:lineRule="auto"/>
              <w:ind w:firstLine="0"/>
              <w:jc w:val="center"/>
            </w:pPr>
            <w:r>
              <w:rPr>
                <w:b w:val="0"/>
                <w:i w:val="0"/>
                <w:sz w:val="20"/>
              </w:rPr>
              <w:t>Мурманская обл.</w:t>
            </w:r>
          </w:p>
        </w:tc>
        <w:tc>
          <w:tcPr>
            <w:tcW w:type="dxa" w:w="2493"/>
          </w:tcPr>
          <w:p>
            <w:pPr>
              <w:spacing w:after="0" w:line="240" w:lineRule="auto"/>
              <w:ind w:firstLine="0"/>
              <w:jc w:val="center"/>
            </w:pPr>
            <w:r>
              <w:rPr>
                <w:b w:val="0"/>
                <w:i w:val="0"/>
                <w:sz w:val="20"/>
              </w:rPr>
              <w:t>проект «Африканда»</w:t>
            </w:r>
          </w:p>
        </w:tc>
        <w:tc>
          <w:tcPr>
            <w:tcW w:type="dxa" w:w="2493"/>
          </w:tcPr>
          <w:p>
            <w:pPr>
              <w:spacing w:after="0" w:line="240" w:lineRule="auto"/>
              <w:ind w:firstLine="0"/>
              <w:jc w:val="center"/>
            </w:pPr>
            <w:r>
              <w:rPr>
                <w:b w:val="0"/>
                <w:i w:val="0"/>
                <w:sz w:val="20"/>
              </w:rPr>
              <w:t>проект</w:t>
            </w:r>
          </w:p>
        </w:tc>
      </w:tr>
      <w:tr>
        <w:tc>
          <w:tcPr>
            <w:tcW w:type="dxa" w:w="2493"/>
          </w:tcPr>
          <w:p>
            <w:pPr>
              <w:spacing w:after="0" w:line="240" w:lineRule="auto"/>
              <w:ind w:firstLine="0"/>
              <w:jc w:val="left"/>
            </w:pPr>
            <w:r>
              <w:rPr>
                <w:b w:val="0"/>
                <w:i w:val="0"/>
                <w:sz w:val="20"/>
              </w:rPr>
              <w:t>ПАО «ФосАгро» / АО «Апатит»</w:t>
            </w:r>
          </w:p>
        </w:tc>
        <w:tc>
          <w:tcPr>
            <w:tcW w:type="dxa" w:w="2493"/>
          </w:tcPr>
          <w:p>
            <w:pPr>
              <w:spacing w:after="0" w:line="240" w:lineRule="auto"/>
              <w:ind w:firstLine="0"/>
              <w:jc w:val="center"/>
            </w:pPr>
            <w:r>
              <w:rPr>
                <w:b w:val="0"/>
                <w:i w:val="0"/>
                <w:sz w:val="20"/>
              </w:rPr>
              <w:t>Мурманская обл., Вологодская обл.</w:t>
            </w:r>
          </w:p>
        </w:tc>
        <w:tc>
          <w:tcPr>
            <w:tcW w:type="dxa" w:w="2493"/>
          </w:tcPr>
          <w:p>
            <w:pPr>
              <w:spacing w:after="0" w:line="240" w:lineRule="auto"/>
              <w:ind w:firstLine="0"/>
              <w:jc w:val="center"/>
            </w:pPr>
            <w:r>
              <w:rPr>
                <w:b w:val="0"/>
                <w:i w:val="0"/>
                <w:sz w:val="20"/>
              </w:rPr>
              <w:t>попутный потенциал</w:t>
            </w:r>
          </w:p>
        </w:tc>
        <w:tc>
          <w:tcPr>
            <w:tcW w:type="dxa" w:w="2493"/>
          </w:tcPr>
          <w:p>
            <w:pPr>
              <w:spacing w:after="0" w:line="240" w:lineRule="auto"/>
              <w:ind w:firstLine="0"/>
              <w:jc w:val="center"/>
            </w:pPr>
            <w:r>
              <w:rPr>
                <w:b w:val="0"/>
                <w:i w:val="0"/>
                <w:sz w:val="20"/>
              </w:rPr>
              <w:t>НИОКР</w:t>
            </w:r>
          </w:p>
        </w:tc>
      </w:tr>
      <w:tr>
        <w:tc>
          <w:tcPr>
            <w:tcW w:type="dxa" w:w="2493"/>
          </w:tcPr>
          <w:p>
            <w:pPr>
              <w:spacing w:after="0" w:line="240" w:lineRule="auto"/>
              <w:ind w:firstLine="0"/>
              <w:jc w:val="left"/>
            </w:pPr>
            <w:r>
              <w:rPr>
                <w:b w:val="0"/>
                <w:i w:val="0"/>
                <w:sz w:val="20"/>
              </w:rPr>
              <w:t>АО «МХК «ЕвроХим»</w:t>
            </w:r>
          </w:p>
        </w:tc>
        <w:tc>
          <w:tcPr>
            <w:tcW w:type="dxa" w:w="2493"/>
          </w:tcPr>
          <w:p>
            <w:pPr>
              <w:spacing w:after="0" w:line="240" w:lineRule="auto"/>
              <w:ind w:firstLine="0"/>
              <w:jc w:val="center"/>
            </w:pPr>
            <w:r>
              <w:rPr>
                <w:b w:val="0"/>
                <w:i w:val="0"/>
                <w:sz w:val="20"/>
              </w:rPr>
              <w:t>различные</w:t>
            </w:r>
          </w:p>
        </w:tc>
        <w:tc>
          <w:tcPr>
            <w:tcW w:type="dxa" w:w="2493"/>
          </w:tcPr>
          <w:p>
            <w:pPr>
              <w:spacing w:after="0" w:line="240" w:lineRule="auto"/>
              <w:ind w:firstLine="0"/>
              <w:jc w:val="center"/>
            </w:pPr>
            <w:r>
              <w:rPr>
                <w:b w:val="0"/>
                <w:i w:val="0"/>
                <w:sz w:val="20"/>
              </w:rPr>
              <w:t>попутный потенциал</w:t>
            </w:r>
          </w:p>
        </w:tc>
        <w:tc>
          <w:tcPr>
            <w:tcW w:type="dxa" w:w="2493"/>
          </w:tcPr>
          <w:p>
            <w:pPr>
              <w:spacing w:after="0" w:line="240" w:lineRule="auto"/>
              <w:ind w:firstLine="0"/>
              <w:jc w:val="center"/>
            </w:pPr>
            <w:r>
              <w:rPr>
                <w:b w:val="0"/>
                <w:i w:val="0"/>
                <w:sz w:val="20"/>
              </w:rPr>
              <w:t>НИОКР</w:t>
            </w:r>
          </w:p>
        </w:tc>
      </w:tr>
      <w:tr>
        <w:tc>
          <w:tcPr>
            <w:tcW w:type="dxa" w:w="2493"/>
          </w:tcPr>
          <w:p>
            <w:pPr>
              <w:spacing w:after="0" w:line="240" w:lineRule="auto"/>
              <w:ind w:firstLine="0"/>
              <w:jc w:val="left"/>
            </w:pPr>
            <w:r>
              <w:rPr>
                <w:b w:val="0"/>
                <w:i w:val="0"/>
                <w:sz w:val="20"/>
              </w:rPr>
              <w:t>ПАО «Акрон»</w:t>
            </w:r>
          </w:p>
        </w:tc>
        <w:tc>
          <w:tcPr>
            <w:tcW w:type="dxa" w:w="2493"/>
          </w:tcPr>
          <w:p>
            <w:pPr>
              <w:spacing w:after="0" w:line="240" w:lineRule="auto"/>
              <w:ind w:firstLine="0"/>
              <w:jc w:val="center"/>
            </w:pPr>
            <w:r>
              <w:rPr>
                <w:b w:val="0"/>
                <w:i w:val="0"/>
                <w:sz w:val="20"/>
              </w:rPr>
              <w:t>Новгородская обл.</w:t>
            </w:r>
          </w:p>
        </w:tc>
        <w:tc>
          <w:tcPr>
            <w:tcW w:type="dxa" w:w="2493"/>
          </w:tcPr>
          <w:p>
            <w:pPr>
              <w:spacing w:after="0" w:line="240" w:lineRule="auto"/>
              <w:ind w:firstLine="0"/>
              <w:jc w:val="center"/>
            </w:pPr>
            <w:r>
              <w:rPr>
                <w:b w:val="0"/>
                <w:i w:val="0"/>
                <w:sz w:val="20"/>
              </w:rPr>
              <w:t>попутный потенциал</w:t>
            </w:r>
          </w:p>
        </w:tc>
        <w:tc>
          <w:tcPr>
            <w:tcW w:type="dxa" w:w="2493"/>
          </w:tcPr>
          <w:p>
            <w:pPr>
              <w:spacing w:after="0" w:line="240" w:lineRule="auto"/>
              <w:ind w:firstLine="0"/>
              <w:jc w:val="center"/>
            </w:pPr>
            <w:r>
              <w:rPr>
                <w:b w:val="0"/>
                <w:i w:val="0"/>
                <w:sz w:val="20"/>
              </w:rPr>
              <w:t>НИОКР</w:t>
            </w:r>
          </w:p>
        </w:tc>
      </w:tr>
      <w:tr>
        <w:tc>
          <w:tcPr>
            <w:tcW w:type="dxa" w:w="2493"/>
          </w:tcPr>
          <w:p>
            <w:pPr>
              <w:spacing w:after="0" w:line="240" w:lineRule="auto"/>
              <w:ind w:firstLine="0"/>
              <w:jc w:val="left"/>
            </w:pPr>
            <w:r>
              <w:rPr>
                <w:b w:val="0"/>
                <w:i w:val="0"/>
                <w:sz w:val="20"/>
              </w:rPr>
              <w:t>ОК «РУСАЛ»</w:t>
            </w:r>
          </w:p>
        </w:tc>
        <w:tc>
          <w:tcPr>
            <w:tcW w:type="dxa" w:w="2493"/>
          </w:tcPr>
          <w:p>
            <w:pPr>
              <w:spacing w:after="0" w:line="240" w:lineRule="auto"/>
              <w:ind w:firstLine="0"/>
              <w:jc w:val="center"/>
            </w:pPr>
            <w:r>
              <w:rPr>
                <w:b w:val="0"/>
                <w:i w:val="0"/>
                <w:sz w:val="20"/>
              </w:rPr>
              <w:t>Свердловская обл., Красноярский край</w:t>
            </w:r>
          </w:p>
        </w:tc>
        <w:tc>
          <w:tcPr>
            <w:tcW w:type="dxa" w:w="2493"/>
          </w:tcPr>
          <w:p>
            <w:pPr>
              <w:spacing w:after="0" w:line="240" w:lineRule="auto"/>
              <w:ind w:firstLine="0"/>
              <w:jc w:val="center"/>
            </w:pPr>
            <w:r>
              <w:rPr>
                <w:b w:val="0"/>
                <w:i w:val="0"/>
                <w:sz w:val="20"/>
              </w:rPr>
              <w:t>скандий из красных шламов</w:t>
            </w:r>
          </w:p>
        </w:tc>
        <w:tc>
          <w:tcPr>
            <w:tcW w:type="dxa" w:w="2493"/>
          </w:tcPr>
          <w:p>
            <w:pPr>
              <w:spacing w:after="0" w:line="240" w:lineRule="auto"/>
              <w:ind w:firstLine="0"/>
              <w:jc w:val="center"/>
            </w:pPr>
            <w:r>
              <w:rPr>
                <w:b w:val="0"/>
                <w:i w:val="0"/>
                <w:sz w:val="20"/>
              </w:rPr>
              <w:t>опытное</w:t>
            </w:r>
          </w:p>
        </w:tc>
      </w:tr>
      <w:tr>
        <w:tc>
          <w:tcPr>
            <w:tcW w:type="dxa" w:w="2493"/>
          </w:tcPr>
          <w:p>
            <w:pPr>
              <w:spacing w:after="0" w:line="240" w:lineRule="auto"/>
              <w:ind w:firstLine="0"/>
              <w:jc w:val="left"/>
            </w:pPr>
            <w:r>
              <w:rPr>
                <w:b w:val="0"/>
                <w:i w:val="0"/>
                <w:sz w:val="20"/>
              </w:rPr>
              <w:t>АО «Далур»</w:t>
            </w:r>
          </w:p>
        </w:tc>
        <w:tc>
          <w:tcPr>
            <w:tcW w:type="dxa" w:w="2493"/>
          </w:tcPr>
          <w:p>
            <w:pPr>
              <w:spacing w:after="0" w:line="240" w:lineRule="auto"/>
              <w:ind w:firstLine="0"/>
              <w:jc w:val="center"/>
            </w:pPr>
            <w:r>
              <w:rPr>
                <w:b w:val="0"/>
                <w:i w:val="0"/>
                <w:sz w:val="20"/>
              </w:rPr>
              <w:t>Курганская обл.</w:t>
            </w:r>
          </w:p>
        </w:tc>
        <w:tc>
          <w:tcPr>
            <w:tcW w:type="dxa" w:w="2493"/>
          </w:tcPr>
          <w:p>
            <w:pPr>
              <w:spacing w:after="0" w:line="240" w:lineRule="auto"/>
              <w:ind w:firstLine="0"/>
              <w:jc w:val="center"/>
            </w:pPr>
            <w:r>
              <w:rPr>
                <w:b w:val="0"/>
                <w:i w:val="0"/>
                <w:sz w:val="20"/>
              </w:rPr>
              <w:t>попутный скандий</w:t>
            </w:r>
          </w:p>
        </w:tc>
        <w:tc>
          <w:tcPr>
            <w:tcW w:type="dxa" w:w="2493"/>
          </w:tcPr>
          <w:p>
            <w:pPr>
              <w:spacing w:after="0" w:line="240" w:lineRule="auto"/>
              <w:ind w:firstLine="0"/>
              <w:jc w:val="center"/>
            </w:pPr>
            <w:r>
              <w:rPr>
                <w:b w:val="0"/>
                <w:i w:val="0"/>
                <w:sz w:val="20"/>
              </w:rPr>
              <w:t>опытное</w:t>
            </w:r>
          </w:p>
        </w:tc>
      </w:tr>
      <w:tr>
        <w:tc>
          <w:tcPr>
            <w:tcW w:type="dxa" w:w="2493"/>
          </w:tcPr>
          <w:p>
            <w:pPr>
              <w:spacing w:after="0" w:line="240" w:lineRule="auto"/>
              <w:ind w:firstLine="0"/>
              <w:jc w:val="left"/>
            </w:pPr>
            <w:r>
              <w:rPr>
                <w:b w:val="0"/>
                <w:i w:val="0"/>
                <w:sz w:val="20"/>
              </w:rPr>
              <w:t>АО «Хиагда»</w:t>
            </w:r>
          </w:p>
        </w:tc>
        <w:tc>
          <w:tcPr>
            <w:tcW w:type="dxa" w:w="2493"/>
          </w:tcPr>
          <w:p>
            <w:pPr>
              <w:spacing w:after="0" w:line="240" w:lineRule="auto"/>
              <w:ind w:firstLine="0"/>
              <w:jc w:val="center"/>
            </w:pPr>
            <w:r>
              <w:rPr>
                <w:b w:val="0"/>
                <w:i w:val="0"/>
                <w:sz w:val="20"/>
              </w:rPr>
              <w:t>Респ. Бурятия</w:t>
            </w:r>
          </w:p>
        </w:tc>
        <w:tc>
          <w:tcPr>
            <w:tcW w:type="dxa" w:w="2493"/>
          </w:tcPr>
          <w:p>
            <w:pPr>
              <w:spacing w:after="0" w:line="240" w:lineRule="auto"/>
              <w:ind w:firstLine="0"/>
              <w:jc w:val="center"/>
            </w:pPr>
            <w:r>
              <w:rPr>
                <w:b w:val="0"/>
                <w:i w:val="0"/>
                <w:sz w:val="20"/>
              </w:rPr>
              <w:t>попутные РЗМ, скандий</w:t>
            </w:r>
          </w:p>
        </w:tc>
        <w:tc>
          <w:tcPr>
            <w:tcW w:type="dxa" w:w="2493"/>
          </w:tcPr>
          <w:p>
            <w:pPr>
              <w:spacing w:after="0" w:line="240" w:lineRule="auto"/>
              <w:ind w:firstLine="0"/>
              <w:jc w:val="center"/>
            </w:pPr>
            <w:r>
              <w:rPr>
                <w:b w:val="0"/>
                <w:i w:val="0"/>
                <w:sz w:val="20"/>
              </w:rPr>
              <w:t>опытное</w:t>
            </w:r>
          </w:p>
        </w:tc>
      </w:tr>
    </w:tbl>
    <w:p>
      <w:pPr>
        <w:spacing w:after="180"/>
        <w:ind w:firstLine="0"/>
      </w:pPr>
      <w:r>
        <w:rPr>
          <w:i/>
          <w:sz w:val="20"/>
        </w:rPr>
        <w:t>Источник: аналитический центр по данным открытых реестров и корпоративных раскрытий</w:t>
      </w:r>
    </w:p>
    <w:p>
      <w:pPr>
        <w:pStyle w:val="Heading2"/>
      </w:pPr>
      <w:r>
        <w:rPr>
          <w:b w:val="0"/>
          <w:i w:val="0"/>
        </w:rPr>
        <w:t>П1.2. Зарубежные производители</w:t>
      </w:r>
    </w:p>
    <w:p>
      <w:pPr>
        <w:keepNext/>
        <w:spacing w:before="160" w:after="60"/>
        <w:ind w:firstLine="0"/>
        <w:jc w:val="left"/>
      </w:pPr>
      <w:r>
        <w:rPr>
          <w:b/>
          <w:sz w:val="22"/>
        </w:rPr>
        <w:t>Таблица 128. Ключевые зарубежные производители редкоземельной продукции</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Компания</w:t>
            </w:r>
          </w:p>
        </w:tc>
        <w:tc>
          <w:tcPr>
            <w:tcW w:type="dxa" w:w="2493"/>
            <w:shd w:val="clear" w:fill="DCE6F1"/>
          </w:tcPr>
          <w:p>
            <w:pPr>
              <w:spacing w:after="0" w:line="240" w:lineRule="auto"/>
              <w:ind w:firstLine="0"/>
              <w:jc w:val="center"/>
            </w:pPr>
            <w:r>
              <w:rPr>
                <w:b/>
                <w:i w:val="0"/>
                <w:sz w:val="20"/>
              </w:rPr>
              <w:t>Страна</w:t>
            </w:r>
          </w:p>
        </w:tc>
        <w:tc>
          <w:tcPr>
            <w:tcW w:type="dxa" w:w="2493"/>
            <w:shd w:val="clear" w:fill="DCE6F1"/>
          </w:tcPr>
          <w:p>
            <w:pPr>
              <w:spacing w:after="0" w:line="240" w:lineRule="auto"/>
              <w:ind w:firstLine="0"/>
              <w:jc w:val="center"/>
            </w:pPr>
            <w:r>
              <w:rPr>
                <w:b/>
                <w:i w:val="0"/>
                <w:sz w:val="20"/>
              </w:rPr>
              <w:t>Профиль</w:t>
            </w:r>
          </w:p>
        </w:tc>
        <w:tc>
          <w:tcPr>
            <w:tcW w:type="dxa" w:w="2493"/>
            <w:shd w:val="clear" w:fill="DCE6F1"/>
          </w:tcPr>
          <w:p>
            <w:pPr>
              <w:spacing w:after="0" w:line="240" w:lineRule="auto"/>
              <w:ind w:firstLine="0"/>
              <w:jc w:val="center"/>
            </w:pPr>
            <w:r>
              <w:rPr>
                <w:b/>
                <w:i w:val="0"/>
                <w:sz w:val="20"/>
              </w:rPr>
              <w:t>Ключевые площадки</w:t>
            </w:r>
          </w:p>
        </w:tc>
      </w:tr>
      <w:tr>
        <w:tc>
          <w:tcPr>
            <w:tcW w:type="dxa" w:w="2493"/>
          </w:tcPr>
          <w:p>
            <w:pPr>
              <w:spacing w:after="0" w:line="240" w:lineRule="auto"/>
              <w:ind w:firstLine="0"/>
              <w:jc w:val="left"/>
            </w:pPr>
            <w:r>
              <w:rPr>
                <w:b w:val="0"/>
                <w:i w:val="0"/>
                <w:sz w:val="20"/>
              </w:rPr>
              <w:t>China Northern Rare Earth (Group) High-Tech</w:t>
            </w:r>
          </w:p>
        </w:tc>
        <w:tc>
          <w:tcPr>
            <w:tcW w:type="dxa" w:w="2493"/>
          </w:tcPr>
          <w:p>
            <w:pPr>
              <w:spacing w:after="0" w:line="240" w:lineRule="auto"/>
              <w:ind w:firstLine="0"/>
              <w:jc w:val="center"/>
            </w:pPr>
            <w:r>
              <w:rPr>
                <w:b w:val="0"/>
                <w:i w:val="0"/>
                <w:sz w:val="20"/>
              </w:rPr>
              <w:t>КНР</w:t>
            </w:r>
          </w:p>
        </w:tc>
        <w:tc>
          <w:tcPr>
            <w:tcW w:type="dxa" w:w="2493"/>
          </w:tcPr>
          <w:p>
            <w:pPr>
              <w:spacing w:after="0" w:line="240" w:lineRule="auto"/>
              <w:ind w:firstLine="0"/>
              <w:jc w:val="center"/>
            </w:pPr>
            <w:r>
              <w:rPr>
                <w:b w:val="0"/>
                <w:i w:val="0"/>
                <w:sz w:val="20"/>
              </w:rPr>
              <w:t>полный цикл</w:t>
            </w:r>
          </w:p>
        </w:tc>
        <w:tc>
          <w:tcPr>
            <w:tcW w:type="dxa" w:w="2493"/>
          </w:tcPr>
          <w:p>
            <w:pPr>
              <w:spacing w:after="0" w:line="240" w:lineRule="auto"/>
              <w:ind w:firstLine="0"/>
              <w:jc w:val="center"/>
            </w:pPr>
            <w:r>
              <w:rPr>
                <w:b w:val="0"/>
                <w:i w:val="0"/>
                <w:sz w:val="20"/>
              </w:rPr>
              <w:t>Баотоу</w:t>
            </w:r>
          </w:p>
        </w:tc>
      </w:tr>
      <w:tr>
        <w:tc>
          <w:tcPr>
            <w:tcW w:type="dxa" w:w="2493"/>
          </w:tcPr>
          <w:p>
            <w:pPr>
              <w:spacing w:after="0" w:line="240" w:lineRule="auto"/>
              <w:ind w:firstLine="0"/>
              <w:jc w:val="left"/>
            </w:pPr>
            <w:r>
              <w:rPr>
                <w:b w:val="0"/>
                <w:i w:val="0"/>
                <w:sz w:val="20"/>
              </w:rPr>
              <w:t>China Rare Earth Group</w:t>
            </w:r>
          </w:p>
        </w:tc>
        <w:tc>
          <w:tcPr>
            <w:tcW w:type="dxa" w:w="2493"/>
          </w:tcPr>
          <w:p>
            <w:pPr>
              <w:spacing w:after="0" w:line="240" w:lineRule="auto"/>
              <w:ind w:firstLine="0"/>
              <w:jc w:val="center"/>
            </w:pPr>
            <w:r>
              <w:rPr>
                <w:b w:val="0"/>
                <w:i w:val="0"/>
                <w:sz w:val="20"/>
              </w:rPr>
              <w:t>КНР</w:t>
            </w:r>
          </w:p>
        </w:tc>
        <w:tc>
          <w:tcPr>
            <w:tcW w:type="dxa" w:w="2493"/>
          </w:tcPr>
          <w:p>
            <w:pPr>
              <w:spacing w:after="0" w:line="240" w:lineRule="auto"/>
              <w:ind w:firstLine="0"/>
              <w:jc w:val="center"/>
            </w:pPr>
            <w:r>
              <w:rPr>
                <w:b w:val="0"/>
                <w:i w:val="0"/>
                <w:sz w:val="20"/>
              </w:rPr>
              <w:t>полный цикл</w:t>
            </w:r>
          </w:p>
        </w:tc>
        <w:tc>
          <w:tcPr>
            <w:tcW w:type="dxa" w:w="2493"/>
          </w:tcPr>
          <w:p>
            <w:pPr>
              <w:spacing w:after="0" w:line="240" w:lineRule="auto"/>
              <w:ind w:firstLine="0"/>
              <w:jc w:val="center"/>
            </w:pPr>
            <w:r>
              <w:rPr>
                <w:b w:val="0"/>
                <w:i w:val="0"/>
                <w:sz w:val="20"/>
              </w:rPr>
              <w:t>Ганьчжоу, Сычуань</w:t>
            </w:r>
          </w:p>
        </w:tc>
      </w:tr>
      <w:tr>
        <w:tc>
          <w:tcPr>
            <w:tcW w:type="dxa" w:w="2493"/>
          </w:tcPr>
          <w:p>
            <w:pPr>
              <w:spacing w:after="0" w:line="240" w:lineRule="auto"/>
              <w:ind w:firstLine="0"/>
              <w:jc w:val="left"/>
            </w:pPr>
            <w:r>
              <w:rPr>
                <w:b w:val="0"/>
                <w:i w:val="0"/>
                <w:sz w:val="20"/>
              </w:rPr>
              <w:t>Shenghe Resources Holding</w:t>
            </w:r>
          </w:p>
        </w:tc>
        <w:tc>
          <w:tcPr>
            <w:tcW w:type="dxa" w:w="2493"/>
          </w:tcPr>
          <w:p>
            <w:pPr>
              <w:spacing w:after="0" w:line="240" w:lineRule="auto"/>
              <w:ind w:firstLine="0"/>
              <w:jc w:val="center"/>
            </w:pPr>
            <w:r>
              <w:rPr>
                <w:b w:val="0"/>
                <w:i w:val="0"/>
                <w:sz w:val="20"/>
              </w:rPr>
              <w:t>КНР</w:t>
            </w:r>
          </w:p>
        </w:tc>
        <w:tc>
          <w:tcPr>
            <w:tcW w:type="dxa" w:w="2493"/>
          </w:tcPr>
          <w:p>
            <w:pPr>
              <w:spacing w:after="0" w:line="240" w:lineRule="auto"/>
              <w:ind w:firstLine="0"/>
              <w:jc w:val="center"/>
            </w:pPr>
            <w:r>
              <w:rPr>
                <w:b w:val="0"/>
                <w:i w:val="0"/>
                <w:sz w:val="20"/>
              </w:rPr>
              <w:t>добыча, разделение, трейдинг</w:t>
            </w:r>
          </w:p>
        </w:tc>
        <w:tc>
          <w:tcPr>
            <w:tcW w:type="dxa" w:w="2493"/>
          </w:tcPr>
          <w:p>
            <w:pPr>
              <w:spacing w:after="0" w:line="240" w:lineRule="auto"/>
              <w:ind w:firstLine="0"/>
              <w:jc w:val="center"/>
            </w:pPr>
            <w:r>
              <w:rPr>
                <w:b w:val="0"/>
                <w:i w:val="0"/>
                <w:sz w:val="20"/>
              </w:rPr>
              <w:t>Сычуань, зарубежные активы</w:t>
            </w:r>
          </w:p>
        </w:tc>
      </w:tr>
      <w:tr>
        <w:tc>
          <w:tcPr>
            <w:tcW w:type="dxa" w:w="2493"/>
          </w:tcPr>
          <w:p>
            <w:pPr>
              <w:spacing w:after="0" w:line="240" w:lineRule="auto"/>
              <w:ind w:firstLine="0"/>
              <w:jc w:val="left"/>
            </w:pPr>
            <w:r>
              <w:rPr>
                <w:b w:val="0"/>
                <w:i w:val="0"/>
                <w:sz w:val="20"/>
              </w:rPr>
              <w:t>Guangdong Rare Earth Industry Group</w:t>
            </w:r>
          </w:p>
        </w:tc>
        <w:tc>
          <w:tcPr>
            <w:tcW w:type="dxa" w:w="2493"/>
          </w:tcPr>
          <w:p>
            <w:pPr>
              <w:spacing w:after="0" w:line="240" w:lineRule="auto"/>
              <w:ind w:firstLine="0"/>
              <w:jc w:val="center"/>
            </w:pPr>
            <w:r>
              <w:rPr>
                <w:b w:val="0"/>
                <w:i w:val="0"/>
                <w:sz w:val="20"/>
              </w:rPr>
              <w:t>КНР</w:t>
            </w:r>
          </w:p>
        </w:tc>
        <w:tc>
          <w:tcPr>
            <w:tcW w:type="dxa" w:w="2493"/>
          </w:tcPr>
          <w:p>
            <w:pPr>
              <w:spacing w:after="0" w:line="240" w:lineRule="auto"/>
              <w:ind w:firstLine="0"/>
              <w:jc w:val="center"/>
            </w:pPr>
            <w:r>
              <w:rPr>
                <w:b w:val="0"/>
                <w:i w:val="0"/>
                <w:sz w:val="20"/>
              </w:rPr>
              <w:t>добыча, разделение</w:t>
            </w:r>
          </w:p>
        </w:tc>
        <w:tc>
          <w:tcPr>
            <w:tcW w:type="dxa" w:w="2493"/>
          </w:tcPr>
          <w:p>
            <w:pPr>
              <w:spacing w:after="0" w:line="240" w:lineRule="auto"/>
              <w:ind w:firstLine="0"/>
              <w:jc w:val="center"/>
            </w:pPr>
            <w:r>
              <w:rPr>
                <w:b w:val="0"/>
                <w:i w:val="0"/>
                <w:sz w:val="20"/>
              </w:rPr>
              <w:t>Гуандун</w:t>
            </w:r>
          </w:p>
        </w:tc>
      </w:tr>
      <w:tr>
        <w:tc>
          <w:tcPr>
            <w:tcW w:type="dxa" w:w="2493"/>
          </w:tcPr>
          <w:p>
            <w:pPr>
              <w:spacing w:after="0" w:line="240" w:lineRule="auto"/>
              <w:ind w:firstLine="0"/>
              <w:jc w:val="left"/>
            </w:pPr>
            <w:r>
              <w:rPr>
                <w:b w:val="0"/>
                <w:i w:val="0"/>
                <w:sz w:val="20"/>
              </w:rPr>
              <w:t>Xiamen Tungsten</w:t>
            </w:r>
          </w:p>
        </w:tc>
        <w:tc>
          <w:tcPr>
            <w:tcW w:type="dxa" w:w="2493"/>
          </w:tcPr>
          <w:p>
            <w:pPr>
              <w:spacing w:after="0" w:line="240" w:lineRule="auto"/>
              <w:ind w:firstLine="0"/>
              <w:jc w:val="center"/>
            </w:pPr>
            <w:r>
              <w:rPr>
                <w:b w:val="0"/>
                <w:i w:val="0"/>
                <w:sz w:val="20"/>
              </w:rPr>
              <w:t>КНР</w:t>
            </w:r>
          </w:p>
        </w:tc>
        <w:tc>
          <w:tcPr>
            <w:tcW w:type="dxa" w:w="2493"/>
          </w:tcPr>
          <w:p>
            <w:pPr>
              <w:spacing w:after="0" w:line="240" w:lineRule="auto"/>
              <w:ind w:firstLine="0"/>
              <w:jc w:val="center"/>
            </w:pPr>
            <w:r>
              <w:rPr>
                <w:b w:val="0"/>
                <w:i w:val="0"/>
                <w:sz w:val="20"/>
              </w:rPr>
              <w:t>разделение, магниты</w:t>
            </w:r>
          </w:p>
        </w:tc>
        <w:tc>
          <w:tcPr>
            <w:tcW w:type="dxa" w:w="2493"/>
          </w:tcPr>
          <w:p>
            <w:pPr>
              <w:spacing w:after="0" w:line="240" w:lineRule="auto"/>
              <w:ind w:firstLine="0"/>
              <w:jc w:val="center"/>
            </w:pPr>
            <w:r>
              <w:rPr>
                <w:b w:val="0"/>
                <w:i w:val="0"/>
                <w:sz w:val="20"/>
              </w:rPr>
              <w:t>Фуцзянь</w:t>
            </w:r>
          </w:p>
        </w:tc>
      </w:tr>
      <w:tr>
        <w:tc>
          <w:tcPr>
            <w:tcW w:type="dxa" w:w="2493"/>
          </w:tcPr>
          <w:p>
            <w:pPr>
              <w:spacing w:after="0" w:line="240" w:lineRule="auto"/>
              <w:ind w:firstLine="0"/>
              <w:jc w:val="left"/>
            </w:pPr>
            <w:r>
              <w:rPr>
                <w:b w:val="0"/>
                <w:i w:val="0"/>
                <w:sz w:val="20"/>
              </w:rPr>
              <w:t>JL MAG Rare-Earth</w:t>
            </w:r>
          </w:p>
        </w:tc>
        <w:tc>
          <w:tcPr>
            <w:tcW w:type="dxa" w:w="2493"/>
          </w:tcPr>
          <w:p>
            <w:pPr>
              <w:spacing w:after="0" w:line="240" w:lineRule="auto"/>
              <w:ind w:firstLine="0"/>
              <w:jc w:val="center"/>
            </w:pPr>
            <w:r>
              <w:rPr>
                <w:b w:val="0"/>
                <w:i w:val="0"/>
                <w:sz w:val="20"/>
              </w:rPr>
              <w:t>КНР</w:t>
            </w:r>
          </w:p>
        </w:tc>
        <w:tc>
          <w:tcPr>
            <w:tcW w:type="dxa" w:w="2493"/>
          </w:tcPr>
          <w:p>
            <w:pPr>
              <w:spacing w:after="0" w:line="240" w:lineRule="auto"/>
              <w:ind w:firstLine="0"/>
              <w:jc w:val="center"/>
            </w:pPr>
            <w:r>
              <w:rPr>
                <w:b w:val="0"/>
                <w:i w:val="0"/>
                <w:sz w:val="20"/>
              </w:rPr>
              <w:t>магниты</w:t>
            </w:r>
          </w:p>
        </w:tc>
        <w:tc>
          <w:tcPr>
            <w:tcW w:type="dxa" w:w="2493"/>
          </w:tcPr>
          <w:p>
            <w:pPr>
              <w:spacing w:after="0" w:line="240" w:lineRule="auto"/>
              <w:ind w:firstLine="0"/>
              <w:jc w:val="center"/>
            </w:pPr>
            <w:r>
              <w:rPr>
                <w:b w:val="0"/>
                <w:i w:val="0"/>
                <w:sz w:val="20"/>
              </w:rPr>
              <w:t>Ганьчжоу, Баотоу, Нинбо</w:t>
            </w:r>
          </w:p>
        </w:tc>
      </w:tr>
      <w:tr>
        <w:tc>
          <w:tcPr>
            <w:tcW w:type="dxa" w:w="2493"/>
          </w:tcPr>
          <w:p>
            <w:pPr>
              <w:spacing w:after="0" w:line="240" w:lineRule="auto"/>
              <w:ind w:firstLine="0"/>
              <w:jc w:val="left"/>
            </w:pPr>
            <w:r>
              <w:rPr>
                <w:b w:val="0"/>
                <w:i w:val="0"/>
                <w:sz w:val="20"/>
              </w:rPr>
              <w:t>Ningbo Yunsheng</w:t>
            </w:r>
          </w:p>
        </w:tc>
        <w:tc>
          <w:tcPr>
            <w:tcW w:type="dxa" w:w="2493"/>
          </w:tcPr>
          <w:p>
            <w:pPr>
              <w:spacing w:after="0" w:line="240" w:lineRule="auto"/>
              <w:ind w:firstLine="0"/>
              <w:jc w:val="center"/>
            </w:pPr>
            <w:r>
              <w:rPr>
                <w:b w:val="0"/>
                <w:i w:val="0"/>
                <w:sz w:val="20"/>
              </w:rPr>
              <w:t>КНР</w:t>
            </w:r>
          </w:p>
        </w:tc>
        <w:tc>
          <w:tcPr>
            <w:tcW w:type="dxa" w:w="2493"/>
          </w:tcPr>
          <w:p>
            <w:pPr>
              <w:spacing w:after="0" w:line="240" w:lineRule="auto"/>
              <w:ind w:firstLine="0"/>
              <w:jc w:val="center"/>
            </w:pPr>
            <w:r>
              <w:rPr>
                <w:b w:val="0"/>
                <w:i w:val="0"/>
                <w:sz w:val="20"/>
              </w:rPr>
              <w:t>магниты</w:t>
            </w:r>
          </w:p>
        </w:tc>
        <w:tc>
          <w:tcPr>
            <w:tcW w:type="dxa" w:w="2493"/>
          </w:tcPr>
          <w:p>
            <w:pPr>
              <w:spacing w:after="0" w:line="240" w:lineRule="auto"/>
              <w:ind w:firstLine="0"/>
              <w:jc w:val="center"/>
            </w:pPr>
            <w:r>
              <w:rPr>
                <w:b w:val="0"/>
                <w:i w:val="0"/>
                <w:sz w:val="20"/>
              </w:rPr>
              <w:t>Нинбо</w:t>
            </w:r>
          </w:p>
        </w:tc>
      </w:tr>
      <w:tr>
        <w:tc>
          <w:tcPr>
            <w:tcW w:type="dxa" w:w="2493"/>
          </w:tcPr>
          <w:p>
            <w:pPr>
              <w:spacing w:after="0" w:line="240" w:lineRule="auto"/>
              <w:ind w:firstLine="0"/>
              <w:jc w:val="left"/>
            </w:pPr>
            <w:r>
              <w:rPr>
                <w:b w:val="0"/>
                <w:i w:val="0"/>
                <w:sz w:val="20"/>
              </w:rPr>
              <w:t>Zhongke Sanhuan</w:t>
            </w:r>
          </w:p>
        </w:tc>
        <w:tc>
          <w:tcPr>
            <w:tcW w:type="dxa" w:w="2493"/>
          </w:tcPr>
          <w:p>
            <w:pPr>
              <w:spacing w:after="0" w:line="240" w:lineRule="auto"/>
              <w:ind w:firstLine="0"/>
              <w:jc w:val="center"/>
            </w:pPr>
            <w:r>
              <w:rPr>
                <w:b w:val="0"/>
                <w:i w:val="0"/>
                <w:sz w:val="20"/>
              </w:rPr>
              <w:t>КНР</w:t>
            </w:r>
          </w:p>
        </w:tc>
        <w:tc>
          <w:tcPr>
            <w:tcW w:type="dxa" w:w="2493"/>
          </w:tcPr>
          <w:p>
            <w:pPr>
              <w:spacing w:after="0" w:line="240" w:lineRule="auto"/>
              <w:ind w:firstLine="0"/>
              <w:jc w:val="center"/>
            </w:pPr>
            <w:r>
              <w:rPr>
                <w:b w:val="0"/>
                <w:i w:val="0"/>
                <w:sz w:val="20"/>
              </w:rPr>
              <w:t>магниты</w:t>
            </w:r>
          </w:p>
        </w:tc>
        <w:tc>
          <w:tcPr>
            <w:tcW w:type="dxa" w:w="2493"/>
          </w:tcPr>
          <w:p>
            <w:pPr>
              <w:spacing w:after="0" w:line="240" w:lineRule="auto"/>
              <w:ind w:firstLine="0"/>
              <w:jc w:val="center"/>
            </w:pPr>
            <w:r>
              <w:rPr>
                <w:b w:val="0"/>
                <w:i w:val="0"/>
                <w:sz w:val="20"/>
              </w:rPr>
              <w:t>Пекин, Ганьчжоу</w:t>
            </w:r>
          </w:p>
        </w:tc>
      </w:tr>
      <w:tr>
        <w:tc>
          <w:tcPr>
            <w:tcW w:type="dxa" w:w="2493"/>
          </w:tcPr>
          <w:p>
            <w:pPr>
              <w:spacing w:after="0" w:line="240" w:lineRule="auto"/>
              <w:ind w:firstLine="0"/>
              <w:jc w:val="left"/>
            </w:pPr>
            <w:r>
              <w:rPr>
                <w:b w:val="0"/>
                <w:i w:val="0"/>
                <w:sz w:val="20"/>
              </w:rPr>
              <w:t>Lynas Rare Earths Ltd</w:t>
            </w:r>
          </w:p>
        </w:tc>
        <w:tc>
          <w:tcPr>
            <w:tcW w:type="dxa" w:w="2493"/>
          </w:tcPr>
          <w:p>
            <w:pPr>
              <w:spacing w:after="0" w:line="240" w:lineRule="auto"/>
              <w:ind w:firstLine="0"/>
              <w:jc w:val="center"/>
            </w:pPr>
            <w:r>
              <w:rPr>
                <w:b w:val="0"/>
                <w:i w:val="0"/>
                <w:sz w:val="20"/>
              </w:rPr>
              <w:t>Австралия</w:t>
            </w:r>
          </w:p>
        </w:tc>
        <w:tc>
          <w:tcPr>
            <w:tcW w:type="dxa" w:w="2493"/>
          </w:tcPr>
          <w:p>
            <w:pPr>
              <w:spacing w:after="0" w:line="240" w:lineRule="auto"/>
              <w:ind w:firstLine="0"/>
              <w:jc w:val="center"/>
            </w:pPr>
            <w:r>
              <w:rPr>
                <w:b w:val="0"/>
                <w:i w:val="0"/>
                <w:sz w:val="20"/>
              </w:rPr>
              <w:t>добыча, разделение</w:t>
            </w:r>
          </w:p>
        </w:tc>
        <w:tc>
          <w:tcPr>
            <w:tcW w:type="dxa" w:w="2493"/>
          </w:tcPr>
          <w:p>
            <w:pPr>
              <w:spacing w:after="0" w:line="240" w:lineRule="auto"/>
              <w:ind w:firstLine="0"/>
              <w:jc w:val="center"/>
            </w:pPr>
            <w:r>
              <w:rPr>
                <w:b w:val="0"/>
                <w:i w:val="0"/>
                <w:sz w:val="20"/>
              </w:rPr>
              <w:t>Mount Weld, Куантан, Калгурли</w:t>
            </w:r>
          </w:p>
        </w:tc>
      </w:tr>
      <w:tr>
        <w:tc>
          <w:tcPr>
            <w:tcW w:type="dxa" w:w="2493"/>
          </w:tcPr>
          <w:p>
            <w:pPr>
              <w:spacing w:after="0" w:line="240" w:lineRule="auto"/>
              <w:ind w:firstLine="0"/>
              <w:jc w:val="left"/>
            </w:pPr>
            <w:r>
              <w:rPr>
                <w:b w:val="0"/>
                <w:i w:val="0"/>
                <w:sz w:val="20"/>
              </w:rPr>
              <w:t>MP Materials Corp.</w:t>
            </w:r>
          </w:p>
        </w:tc>
        <w:tc>
          <w:tcPr>
            <w:tcW w:type="dxa" w:w="2493"/>
          </w:tcPr>
          <w:p>
            <w:pPr>
              <w:spacing w:after="0" w:line="240" w:lineRule="auto"/>
              <w:ind w:firstLine="0"/>
              <w:jc w:val="center"/>
            </w:pPr>
            <w:r>
              <w:rPr>
                <w:b w:val="0"/>
                <w:i w:val="0"/>
                <w:sz w:val="20"/>
              </w:rPr>
              <w:t>США</w:t>
            </w:r>
          </w:p>
        </w:tc>
        <w:tc>
          <w:tcPr>
            <w:tcW w:type="dxa" w:w="2493"/>
          </w:tcPr>
          <w:p>
            <w:pPr>
              <w:spacing w:after="0" w:line="240" w:lineRule="auto"/>
              <w:ind w:firstLine="0"/>
              <w:jc w:val="center"/>
            </w:pPr>
            <w:r>
              <w:rPr>
                <w:b w:val="0"/>
                <w:i w:val="0"/>
                <w:sz w:val="20"/>
              </w:rPr>
              <w:t>добыча, разделение, магниты</w:t>
            </w:r>
          </w:p>
        </w:tc>
        <w:tc>
          <w:tcPr>
            <w:tcW w:type="dxa" w:w="2493"/>
          </w:tcPr>
          <w:p>
            <w:pPr>
              <w:spacing w:after="0" w:line="240" w:lineRule="auto"/>
              <w:ind w:firstLine="0"/>
              <w:jc w:val="center"/>
            </w:pPr>
            <w:r>
              <w:rPr>
                <w:b w:val="0"/>
                <w:i w:val="0"/>
                <w:sz w:val="20"/>
              </w:rPr>
              <w:t>Mountain Pass, Форт-Уэрт</w:t>
            </w:r>
          </w:p>
        </w:tc>
      </w:tr>
      <w:tr>
        <w:tc>
          <w:tcPr>
            <w:tcW w:type="dxa" w:w="2493"/>
          </w:tcPr>
          <w:p>
            <w:pPr>
              <w:spacing w:after="0" w:line="240" w:lineRule="auto"/>
              <w:ind w:firstLine="0"/>
              <w:jc w:val="left"/>
            </w:pPr>
            <w:r>
              <w:rPr>
                <w:b w:val="0"/>
                <w:i w:val="0"/>
                <w:sz w:val="20"/>
              </w:rPr>
              <w:t>Neo Performance Materials</w:t>
            </w:r>
          </w:p>
        </w:tc>
        <w:tc>
          <w:tcPr>
            <w:tcW w:type="dxa" w:w="2493"/>
          </w:tcPr>
          <w:p>
            <w:pPr>
              <w:spacing w:after="0" w:line="240" w:lineRule="auto"/>
              <w:ind w:firstLine="0"/>
              <w:jc w:val="center"/>
            </w:pPr>
            <w:r>
              <w:rPr>
                <w:b w:val="0"/>
                <w:i w:val="0"/>
                <w:sz w:val="20"/>
              </w:rPr>
              <w:t>Канада</w:t>
            </w:r>
          </w:p>
        </w:tc>
        <w:tc>
          <w:tcPr>
            <w:tcW w:type="dxa" w:w="2493"/>
          </w:tcPr>
          <w:p>
            <w:pPr>
              <w:spacing w:after="0" w:line="240" w:lineRule="auto"/>
              <w:ind w:firstLine="0"/>
              <w:jc w:val="center"/>
            </w:pPr>
            <w:r>
              <w:rPr>
                <w:b w:val="0"/>
                <w:i w:val="0"/>
                <w:sz w:val="20"/>
              </w:rPr>
              <w:t>разделение, порошки, магниты</w:t>
            </w:r>
          </w:p>
        </w:tc>
        <w:tc>
          <w:tcPr>
            <w:tcW w:type="dxa" w:w="2493"/>
          </w:tcPr>
          <w:p>
            <w:pPr>
              <w:spacing w:after="0" w:line="240" w:lineRule="auto"/>
              <w:ind w:firstLine="0"/>
              <w:jc w:val="center"/>
            </w:pPr>
            <w:r>
              <w:rPr>
                <w:b w:val="0"/>
                <w:i w:val="0"/>
                <w:sz w:val="20"/>
              </w:rPr>
              <w:t>Силламяэ, Нарва, Таиланд</w:t>
            </w:r>
          </w:p>
        </w:tc>
      </w:tr>
      <w:tr>
        <w:tc>
          <w:tcPr>
            <w:tcW w:type="dxa" w:w="2493"/>
          </w:tcPr>
          <w:p>
            <w:pPr>
              <w:spacing w:after="0" w:line="240" w:lineRule="auto"/>
              <w:ind w:firstLine="0"/>
              <w:jc w:val="left"/>
            </w:pPr>
            <w:r>
              <w:rPr>
                <w:b w:val="0"/>
                <w:i w:val="0"/>
                <w:sz w:val="20"/>
              </w:rPr>
              <w:t>Energy Fuels Inc.</w:t>
            </w:r>
          </w:p>
        </w:tc>
        <w:tc>
          <w:tcPr>
            <w:tcW w:type="dxa" w:w="2493"/>
          </w:tcPr>
          <w:p>
            <w:pPr>
              <w:spacing w:after="0" w:line="240" w:lineRule="auto"/>
              <w:ind w:firstLine="0"/>
              <w:jc w:val="center"/>
            </w:pPr>
            <w:r>
              <w:rPr>
                <w:b w:val="0"/>
                <w:i w:val="0"/>
                <w:sz w:val="20"/>
              </w:rPr>
              <w:t>США</w:t>
            </w:r>
          </w:p>
        </w:tc>
        <w:tc>
          <w:tcPr>
            <w:tcW w:type="dxa" w:w="2493"/>
          </w:tcPr>
          <w:p>
            <w:pPr>
              <w:spacing w:after="0" w:line="240" w:lineRule="auto"/>
              <w:ind w:firstLine="0"/>
              <w:jc w:val="center"/>
            </w:pPr>
            <w:r>
              <w:rPr>
                <w:b w:val="0"/>
                <w:i w:val="0"/>
                <w:sz w:val="20"/>
              </w:rPr>
              <w:t>переработка монацита</w:t>
            </w:r>
          </w:p>
        </w:tc>
        <w:tc>
          <w:tcPr>
            <w:tcW w:type="dxa" w:w="2493"/>
          </w:tcPr>
          <w:p>
            <w:pPr>
              <w:spacing w:after="0" w:line="240" w:lineRule="auto"/>
              <w:ind w:firstLine="0"/>
              <w:jc w:val="center"/>
            </w:pPr>
            <w:r>
              <w:rPr>
                <w:b w:val="0"/>
                <w:i w:val="0"/>
                <w:sz w:val="20"/>
              </w:rPr>
              <w:t>White Mesa (Юта)</w:t>
            </w:r>
          </w:p>
        </w:tc>
      </w:tr>
      <w:tr>
        <w:tc>
          <w:tcPr>
            <w:tcW w:type="dxa" w:w="2493"/>
          </w:tcPr>
          <w:p>
            <w:pPr>
              <w:spacing w:after="0" w:line="240" w:lineRule="auto"/>
              <w:ind w:firstLine="0"/>
              <w:jc w:val="left"/>
            </w:pPr>
            <w:r>
              <w:rPr>
                <w:b w:val="0"/>
                <w:i w:val="0"/>
                <w:sz w:val="20"/>
              </w:rPr>
              <w:t>Iluka Resources</w:t>
            </w:r>
          </w:p>
        </w:tc>
        <w:tc>
          <w:tcPr>
            <w:tcW w:type="dxa" w:w="2493"/>
          </w:tcPr>
          <w:p>
            <w:pPr>
              <w:spacing w:after="0" w:line="240" w:lineRule="auto"/>
              <w:ind w:firstLine="0"/>
              <w:jc w:val="center"/>
            </w:pPr>
            <w:r>
              <w:rPr>
                <w:b w:val="0"/>
                <w:i w:val="0"/>
                <w:sz w:val="20"/>
              </w:rPr>
              <w:t>Австралия</w:t>
            </w:r>
          </w:p>
        </w:tc>
        <w:tc>
          <w:tcPr>
            <w:tcW w:type="dxa" w:w="2493"/>
          </w:tcPr>
          <w:p>
            <w:pPr>
              <w:spacing w:after="0" w:line="240" w:lineRule="auto"/>
              <w:ind w:firstLine="0"/>
              <w:jc w:val="center"/>
            </w:pPr>
            <w:r>
              <w:rPr>
                <w:b w:val="0"/>
                <w:i w:val="0"/>
                <w:sz w:val="20"/>
              </w:rPr>
              <w:t>разделение (строительство)</w:t>
            </w:r>
          </w:p>
        </w:tc>
        <w:tc>
          <w:tcPr>
            <w:tcW w:type="dxa" w:w="2493"/>
          </w:tcPr>
          <w:p>
            <w:pPr>
              <w:spacing w:after="0" w:line="240" w:lineRule="auto"/>
              <w:ind w:firstLine="0"/>
              <w:jc w:val="center"/>
            </w:pPr>
            <w:r>
              <w:rPr>
                <w:b w:val="0"/>
                <w:i w:val="0"/>
                <w:sz w:val="20"/>
              </w:rPr>
              <w:t>Eneabba</w:t>
            </w:r>
          </w:p>
        </w:tc>
      </w:tr>
      <w:tr>
        <w:tc>
          <w:tcPr>
            <w:tcW w:type="dxa" w:w="2493"/>
          </w:tcPr>
          <w:p>
            <w:pPr>
              <w:spacing w:after="0" w:line="240" w:lineRule="auto"/>
              <w:ind w:firstLine="0"/>
              <w:jc w:val="left"/>
            </w:pPr>
            <w:r>
              <w:rPr>
                <w:b w:val="0"/>
                <w:i w:val="0"/>
                <w:sz w:val="20"/>
              </w:rPr>
              <w:t>Arafura Rare Earths</w:t>
            </w:r>
          </w:p>
        </w:tc>
        <w:tc>
          <w:tcPr>
            <w:tcW w:type="dxa" w:w="2493"/>
          </w:tcPr>
          <w:p>
            <w:pPr>
              <w:spacing w:after="0" w:line="240" w:lineRule="auto"/>
              <w:ind w:firstLine="0"/>
              <w:jc w:val="center"/>
            </w:pPr>
            <w:r>
              <w:rPr>
                <w:b w:val="0"/>
                <w:i w:val="0"/>
                <w:sz w:val="20"/>
              </w:rPr>
              <w:t>Австралия</w:t>
            </w:r>
          </w:p>
        </w:tc>
        <w:tc>
          <w:tcPr>
            <w:tcW w:type="dxa" w:w="2493"/>
          </w:tcPr>
          <w:p>
            <w:pPr>
              <w:spacing w:after="0" w:line="240" w:lineRule="auto"/>
              <w:ind w:firstLine="0"/>
              <w:jc w:val="center"/>
            </w:pPr>
            <w:r>
              <w:rPr>
                <w:b w:val="0"/>
                <w:i w:val="0"/>
                <w:sz w:val="20"/>
              </w:rPr>
              <w:t>проект полного цикла</w:t>
            </w:r>
          </w:p>
        </w:tc>
        <w:tc>
          <w:tcPr>
            <w:tcW w:type="dxa" w:w="2493"/>
          </w:tcPr>
          <w:p>
            <w:pPr>
              <w:spacing w:after="0" w:line="240" w:lineRule="auto"/>
              <w:ind w:firstLine="0"/>
              <w:jc w:val="center"/>
            </w:pPr>
            <w:r>
              <w:rPr>
                <w:b w:val="0"/>
                <w:i w:val="0"/>
                <w:sz w:val="20"/>
              </w:rPr>
              <w:t>Nolans</w:t>
            </w:r>
          </w:p>
        </w:tc>
      </w:tr>
      <w:tr>
        <w:tc>
          <w:tcPr>
            <w:tcW w:type="dxa" w:w="2493"/>
          </w:tcPr>
          <w:p>
            <w:pPr>
              <w:spacing w:after="0" w:line="240" w:lineRule="auto"/>
              <w:ind w:firstLine="0"/>
              <w:jc w:val="left"/>
            </w:pPr>
            <w:r>
              <w:rPr>
                <w:b w:val="0"/>
                <w:i w:val="0"/>
                <w:sz w:val="20"/>
              </w:rPr>
              <w:t>Solvay SA</w:t>
            </w:r>
          </w:p>
        </w:tc>
        <w:tc>
          <w:tcPr>
            <w:tcW w:type="dxa" w:w="2493"/>
          </w:tcPr>
          <w:p>
            <w:pPr>
              <w:spacing w:after="0" w:line="240" w:lineRule="auto"/>
              <w:ind w:firstLine="0"/>
              <w:jc w:val="center"/>
            </w:pPr>
            <w:r>
              <w:rPr>
                <w:b w:val="0"/>
                <w:i w:val="0"/>
                <w:sz w:val="20"/>
              </w:rPr>
              <w:t>Франция</w:t>
            </w:r>
          </w:p>
        </w:tc>
        <w:tc>
          <w:tcPr>
            <w:tcW w:type="dxa" w:w="2493"/>
          </w:tcPr>
          <w:p>
            <w:pPr>
              <w:spacing w:after="0" w:line="240" w:lineRule="auto"/>
              <w:ind w:firstLine="0"/>
              <w:jc w:val="center"/>
            </w:pPr>
            <w:r>
              <w:rPr>
                <w:b w:val="0"/>
                <w:i w:val="0"/>
                <w:sz w:val="20"/>
              </w:rPr>
              <w:t>разделение, спецхимия</w:t>
            </w:r>
          </w:p>
        </w:tc>
        <w:tc>
          <w:tcPr>
            <w:tcW w:type="dxa" w:w="2493"/>
          </w:tcPr>
          <w:p>
            <w:pPr>
              <w:spacing w:after="0" w:line="240" w:lineRule="auto"/>
              <w:ind w:firstLine="0"/>
              <w:jc w:val="center"/>
            </w:pPr>
            <w:r>
              <w:rPr>
                <w:b w:val="0"/>
                <w:i w:val="0"/>
                <w:sz w:val="20"/>
              </w:rPr>
              <w:t>Ла-Рошель</w:t>
            </w:r>
          </w:p>
        </w:tc>
      </w:tr>
      <w:tr>
        <w:tc>
          <w:tcPr>
            <w:tcW w:type="dxa" w:w="2493"/>
          </w:tcPr>
          <w:p>
            <w:pPr>
              <w:spacing w:after="0" w:line="240" w:lineRule="auto"/>
              <w:ind w:firstLine="0"/>
              <w:jc w:val="left"/>
            </w:pPr>
            <w:r>
              <w:rPr>
                <w:b w:val="0"/>
                <w:i w:val="0"/>
                <w:sz w:val="20"/>
              </w:rPr>
              <w:t>Carester SAS</w:t>
            </w:r>
          </w:p>
        </w:tc>
        <w:tc>
          <w:tcPr>
            <w:tcW w:type="dxa" w:w="2493"/>
          </w:tcPr>
          <w:p>
            <w:pPr>
              <w:spacing w:after="0" w:line="240" w:lineRule="auto"/>
              <w:ind w:firstLine="0"/>
              <w:jc w:val="center"/>
            </w:pPr>
            <w:r>
              <w:rPr>
                <w:b w:val="0"/>
                <w:i w:val="0"/>
                <w:sz w:val="20"/>
              </w:rPr>
              <w:t>Франция</w:t>
            </w:r>
          </w:p>
        </w:tc>
        <w:tc>
          <w:tcPr>
            <w:tcW w:type="dxa" w:w="2493"/>
          </w:tcPr>
          <w:p>
            <w:pPr>
              <w:spacing w:after="0" w:line="240" w:lineRule="auto"/>
              <w:ind w:firstLine="0"/>
              <w:jc w:val="center"/>
            </w:pPr>
            <w:r>
              <w:rPr>
                <w:b w:val="0"/>
                <w:i w:val="0"/>
                <w:sz w:val="20"/>
              </w:rPr>
              <w:t>разделение (строительство)</w:t>
            </w:r>
          </w:p>
        </w:tc>
        <w:tc>
          <w:tcPr>
            <w:tcW w:type="dxa" w:w="2493"/>
          </w:tcPr>
          <w:p>
            <w:pPr>
              <w:spacing w:after="0" w:line="240" w:lineRule="auto"/>
              <w:ind w:firstLine="0"/>
              <w:jc w:val="center"/>
            </w:pPr>
            <w:r>
              <w:rPr>
                <w:b w:val="0"/>
                <w:i w:val="0"/>
                <w:sz w:val="20"/>
              </w:rPr>
              <w:t>Лакк</w:t>
            </w:r>
          </w:p>
        </w:tc>
      </w:tr>
      <w:tr>
        <w:tc>
          <w:tcPr>
            <w:tcW w:type="dxa" w:w="2493"/>
          </w:tcPr>
          <w:p>
            <w:pPr>
              <w:spacing w:after="0" w:line="240" w:lineRule="auto"/>
              <w:ind w:firstLine="0"/>
              <w:jc w:val="left"/>
            </w:pPr>
            <w:r>
              <w:rPr>
                <w:b w:val="0"/>
                <w:i w:val="0"/>
                <w:sz w:val="20"/>
              </w:rPr>
              <w:t>IREL (India) Limited</w:t>
            </w:r>
          </w:p>
        </w:tc>
        <w:tc>
          <w:tcPr>
            <w:tcW w:type="dxa" w:w="2493"/>
          </w:tcPr>
          <w:p>
            <w:pPr>
              <w:spacing w:after="0" w:line="240" w:lineRule="auto"/>
              <w:ind w:firstLine="0"/>
              <w:jc w:val="center"/>
            </w:pPr>
            <w:r>
              <w:rPr>
                <w:b w:val="0"/>
                <w:i w:val="0"/>
                <w:sz w:val="20"/>
              </w:rPr>
              <w:t>Индия</w:t>
            </w:r>
          </w:p>
        </w:tc>
        <w:tc>
          <w:tcPr>
            <w:tcW w:type="dxa" w:w="2493"/>
          </w:tcPr>
          <w:p>
            <w:pPr>
              <w:spacing w:after="0" w:line="240" w:lineRule="auto"/>
              <w:ind w:firstLine="0"/>
              <w:jc w:val="center"/>
            </w:pPr>
            <w:r>
              <w:rPr>
                <w:b w:val="0"/>
                <w:i w:val="0"/>
                <w:sz w:val="20"/>
              </w:rPr>
              <w:t>добыча, разделение</w:t>
            </w:r>
          </w:p>
        </w:tc>
        <w:tc>
          <w:tcPr>
            <w:tcW w:type="dxa" w:w="2493"/>
          </w:tcPr>
          <w:p>
            <w:pPr>
              <w:spacing w:after="0" w:line="240" w:lineRule="auto"/>
              <w:ind w:firstLine="0"/>
              <w:jc w:val="center"/>
            </w:pPr>
            <w:r>
              <w:rPr>
                <w:b w:val="0"/>
                <w:i w:val="0"/>
                <w:sz w:val="20"/>
              </w:rPr>
              <w:t>Керала, Одиша</w:t>
            </w:r>
          </w:p>
        </w:tc>
      </w:tr>
      <w:tr>
        <w:tc>
          <w:tcPr>
            <w:tcW w:type="dxa" w:w="2493"/>
          </w:tcPr>
          <w:p>
            <w:pPr>
              <w:spacing w:after="0" w:line="240" w:lineRule="auto"/>
              <w:ind w:firstLine="0"/>
              <w:jc w:val="left"/>
            </w:pPr>
            <w:r>
              <w:rPr>
                <w:b w:val="0"/>
                <w:i w:val="0"/>
                <w:sz w:val="20"/>
              </w:rPr>
              <w:t>Serra Verde</w:t>
            </w:r>
          </w:p>
        </w:tc>
        <w:tc>
          <w:tcPr>
            <w:tcW w:type="dxa" w:w="2493"/>
          </w:tcPr>
          <w:p>
            <w:pPr>
              <w:spacing w:after="0" w:line="240" w:lineRule="auto"/>
              <w:ind w:firstLine="0"/>
              <w:jc w:val="center"/>
            </w:pPr>
            <w:r>
              <w:rPr>
                <w:b w:val="0"/>
                <w:i w:val="0"/>
                <w:sz w:val="20"/>
              </w:rPr>
              <w:t>Бразилия</w:t>
            </w:r>
          </w:p>
        </w:tc>
        <w:tc>
          <w:tcPr>
            <w:tcW w:type="dxa" w:w="2493"/>
          </w:tcPr>
          <w:p>
            <w:pPr>
              <w:spacing w:after="0" w:line="240" w:lineRule="auto"/>
              <w:ind w:firstLine="0"/>
              <w:jc w:val="center"/>
            </w:pPr>
            <w:r>
              <w:rPr>
                <w:b w:val="0"/>
                <w:i w:val="0"/>
                <w:sz w:val="20"/>
              </w:rPr>
              <w:t>добыча, переработка</w:t>
            </w:r>
          </w:p>
        </w:tc>
        <w:tc>
          <w:tcPr>
            <w:tcW w:type="dxa" w:w="2493"/>
          </w:tcPr>
          <w:p>
            <w:pPr>
              <w:spacing w:after="0" w:line="240" w:lineRule="auto"/>
              <w:ind w:firstLine="0"/>
              <w:jc w:val="center"/>
            </w:pPr>
            <w:r>
              <w:rPr>
                <w:b w:val="0"/>
                <w:i w:val="0"/>
                <w:sz w:val="20"/>
              </w:rPr>
              <w:t>Гояс</w:t>
            </w:r>
          </w:p>
        </w:tc>
      </w:tr>
      <w:tr>
        <w:tc>
          <w:tcPr>
            <w:tcW w:type="dxa" w:w="2493"/>
          </w:tcPr>
          <w:p>
            <w:pPr>
              <w:spacing w:after="0" w:line="240" w:lineRule="auto"/>
              <w:ind w:firstLine="0"/>
              <w:jc w:val="left"/>
            </w:pPr>
            <w:r>
              <w:rPr>
                <w:b w:val="0"/>
                <w:i w:val="0"/>
                <w:sz w:val="20"/>
              </w:rPr>
              <w:t>Vacuumschmelze (e-VAC)</w:t>
            </w:r>
          </w:p>
        </w:tc>
        <w:tc>
          <w:tcPr>
            <w:tcW w:type="dxa" w:w="2493"/>
          </w:tcPr>
          <w:p>
            <w:pPr>
              <w:spacing w:after="0" w:line="240" w:lineRule="auto"/>
              <w:ind w:firstLine="0"/>
              <w:jc w:val="center"/>
            </w:pPr>
            <w:r>
              <w:rPr>
                <w:b w:val="0"/>
                <w:i w:val="0"/>
                <w:sz w:val="20"/>
              </w:rPr>
              <w:t>Германия/США</w:t>
            </w:r>
          </w:p>
        </w:tc>
        <w:tc>
          <w:tcPr>
            <w:tcW w:type="dxa" w:w="2493"/>
          </w:tcPr>
          <w:p>
            <w:pPr>
              <w:spacing w:after="0" w:line="240" w:lineRule="auto"/>
              <w:ind w:firstLine="0"/>
              <w:jc w:val="center"/>
            </w:pPr>
            <w:r>
              <w:rPr>
                <w:b w:val="0"/>
                <w:i w:val="0"/>
                <w:sz w:val="20"/>
              </w:rPr>
              <w:t>магниты</w:t>
            </w:r>
          </w:p>
        </w:tc>
        <w:tc>
          <w:tcPr>
            <w:tcW w:type="dxa" w:w="2493"/>
          </w:tcPr>
          <w:p>
            <w:pPr>
              <w:spacing w:after="0" w:line="240" w:lineRule="auto"/>
              <w:ind w:firstLine="0"/>
              <w:jc w:val="center"/>
            </w:pPr>
            <w:r>
              <w:rPr>
                <w:b w:val="0"/>
                <w:i w:val="0"/>
                <w:sz w:val="20"/>
              </w:rPr>
              <w:t>Ханау, Сумтер</w:t>
            </w:r>
          </w:p>
        </w:tc>
      </w:tr>
      <w:tr>
        <w:tc>
          <w:tcPr>
            <w:tcW w:type="dxa" w:w="2493"/>
          </w:tcPr>
          <w:p>
            <w:pPr>
              <w:spacing w:after="0" w:line="240" w:lineRule="auto"/>
              <w:ind w:firstLine="0"/>
              <w:jc w:val="left"/>
            </w:pPr>
            <w:r>
              <w:rPr>
                <w:b w:val="0"/>
                <w:i w:val="0"/>
                <w:sz w:val="20"/>
              </w:rPr>
              <w:t>Shin-Etsu Chemical</w:t>
            </w:r>
          </w:p>
        </w:tc>
        <w:tc>
          <w:tcPr>
            <w:tcW w:type="dxa" w:w="2493"/>
          </w:tcPr>
          <w:p>
            <w:pPr>
              <w:spacing w:after="0" w:line="240" w:lineRule="auto"/>
              <w:ind w:firstLine="0"/>
              <w:jc w:val="center"/>
            </w:pPr>
            <w:r>
              <w:rPr>
                <w:b w:val="0"/>
                <w:i w:val="0"/>
                <w:sz w:val="20"/>
              </w:rPr>
              <w:t>Япония</w:t>
            </w:r>
          </w:p>
        </w:tc>
        <w:tc>
          <w:tcPr>
            <w:tcW w:type="dxa" w:w="2493"/>
          </w:tcPr>
          <w:p>
            <w:pPr>
              <w:spacing w:after="0" w:line="240" w:lineRule="auto"/>
              <w:ind w:firstLine="0"/>
              <w:jc w:val="center"/>
            </w:pPr>
            <w:r>
              <w:rPr>
                <w:b w:val="0"/>
                <w:i w:val="0"/>
                <w:sz w:val="20"/>
              </w:rPr>
              <w:t>магниты</w:t>
            </w:r>
          </w:p>
        </w:tc>
        <w:tc>
          <w:tcPr>
            <w:tcW w:type="dxa" w:w="2493"/>
          </w:tcPr>
          <w:p>
            <w:pPr>
              <w:spacing w:after="0" w:line="240" w:lineRule="auto"/>
              <w:ind w:firstLine="0"/>
              <w:jc w:val="center"/>
            </w:pPr>
            <w:r>
              <w:rPr>
                <w:b w:val="0"/>
                <w:i w:val="0"/>
                <w:sz w:val="20"/>
              </w:rPr>
              <w:t>Такэфу</w:t>
            </w:r>
          </w:p>
        </w:tc>
      </w:tr>
      <w:tr>
        <w:tc>
          <w:tcPr>
            <w:tcW w:type="dxa" w:w="2493"/>
          </w:tcPr>
          <w:p>
            <w:pPr>
              <w:spacing w:after="0" w:line="240" w:lineRule="auto"/>
              <w:ind w:firstLine="0"/>
              <w:jc w:val="left"/>
            </w:pPr>
            <w:r>
              <w:rPr>
                <w:b w:val="0"/>
                <w:i w:val="0"/>
                <w:sz w:val="20"/>
              </w:rPr>
              <w:t>Proterial (ранее Hitachi Metals)</w:t>
            </w:r>
          </w:p>
        </w:tc>
        <w:tc>
          <w:tcPr>
            <w:tcW w:type="dxa" w:w="2493"/>
          </w:tcPr>
          <w:p>
            <w:pPr>
              <w:spacing w:after="0" w:line="240" w:lineRule="auto"/>
              <w:ind w:firstLine="0"/>
              <w:jc w:val="center"/>
            </w:pPr>
            <w:r>
              <w:rPr>
                <w:b w:val="0"/>
                <w:i w:val="0"/>
                <w:sz w:val="20"/>
              </w:rPr>
              <w:t>Япония</w:t>
            </w:r>
          </w:p>
        </w:tc>
        <w:tc>
          <w:tcPr>
            <w:tcW w:type="dxa" w:w="2493"/>
          </w:tcPr>
          <w:p>
            <w:pPr>
              <w:spacing w:after="0" w:line="240" w:lineRule="auto"/>
              <w:ind w:firstLine="0"/>
              <w:jc w:val="center"/>
            </w:pPr>
            <w:r>
              <w:rPr>
                <w:b w:val="0"/>
                <w:i w:val="0"/>
                <w:sz w:val="20"/>
              </w:rPr>
              <w:t>магниты</w:t>
            </w:r>
          </w:p>
        </w:tc>
        <w:tc>
          <w:tcPr>
            <w:tcW w:type="dxa" w:w="2493"/>
          </w:tcPr>
          <w:p>
            <w:pPr>
              <w:spacing w:after="0" w:line="240" w:lineRule="auto"/>
              <w:ind w:firstLine="0"/>
              <w:jc w:val="center"/>
            </w:pPr>
            <w:r>
              <w:rPr>
                <w:b w:val="0"/>
                <w:i w:val="0"/>
                <w:sz w:val="20"/>
              </w:rPr>
              <w:t>различные</w:t>
            </w:r>
          </w:p>
        </w:tc>
      </w:tr>
      <w:tr>
        <w:tc>
          <w:tcPr>
            <w:tcW w:type="dxa" w:w="2493"/>
          </w:tcPr>
          <w:p>
            <w:pPr>
              <w:spacing w:after="0" w:line="240" w:lineRule="auto"/>
              <w:ind w:firstLine="0"/>
              <w:jc w:val="left"/>
            </w:pPr>
            <w:r>
              <w:rPr>
                <w:b w:val="0"/>
                <w:i w:val="0"/>
                <w:sz w:val="20"/>
              </w:rPr>
              <w:t>TDK Corporation</w:t>
            </w:r>
          </w:p>
        </w:tc>
        <w:tc>
          <w:tcPr>
            <w:tcW w:type="dxa" w:w="2493"/>
          </w:tcPr>
          <w:p>
            <w:pPr>
              <w:spacing w:after="0" w:line="240" w:lineRule="auto"/>
              <w:ind w:firstLine="0"/>
              <w:jc w:val="center"/>
            </w:pPr>
            <w:r>
              <w:rPr>
                <w:b w:val="0"/>
                <w:i w:val="0"/>
                <w:sz w:val="20"/>
              </w:rPr>
              <w:t>Япония</w:t>
            </w:r>
          </w:p>
        </w:tc>
        <w:tc>
          <w:tcPr>
            <w:tcW w:type="dxa" w:w="2493"/>
          </w:tcPr>
          <w:p>
            <w:pPr>
              <w:spacing w:after="0" w:line="240" w:lineRule="auto"/>
              <w:ind w:firstLine="0"/>
              <w:jc w:val="center"/>
            </w:pPr>
            <w:r>
              <w:rPr>
                <w:b w:val="0"/>
                <w:i w:val="0"/>
                <w:sz w:val="20"/>
              </w:rPr>
              <w:t>магниты</w:t>
            </w:r>
          </w:p>
        </w:tc>
        <w:tc>
          <w:tcPr>
            <w:tcW w:type="dxa" w:w="2493"/>
          </w:tcPr>
          <w:p>
            <w:pPr>
              <w:spacing w:after="0" w:line="240" w:lineRule="auto"/>
              <w:ind w:firstLine="0"/>
              <w:jc w:val="center"/>
            </w:pPr>
            <w:r>
              <w:rPr>
                <w:b w:val="0"/>
                <w:i w:val="0"/>
                <w:sz w:val="20"/>
              </w:rPr>
              <w:t>различные</w:t>
            </w:r>
          </w:p>
        </w:tc>
      </w:tr>
      <w:tr>
        <w:tc>
          <w:tcPr>
            <w:tcW w:type="dxa" w:w="2493"/>
          </w:tcPr>
          <w:p>
            <w:pPr>
              <w:spacing w:after="0" w:line="240" w:lineRule="auto"/>
              <w:ind w:firstLine="0"/>
              <w:jc w:val="left"/>
            </w:pPr>
            <w:r>
              <w:rPr>
                <w:b w:val="0"/>
                <w:i w:val="0"/>
                <w:sz w:val="20"/>
              </w:rPr>
              <w:t>Less Common Metals</w:t>
            </w:r>
          </w:p>
        </w:tc>
        <w:tc>
          <w:tcPr>
            <w:tcW w:type="dxa" w:w="2493"/>
          </w:tcPr>
          <w:p>
            <w:pPr>
              <w:spacing w:after="0" w:line="240" w:lineRule="auto"/>
              <w:ind w:firstLine="0"/>
              <w:jc w:val="center"/>
            </w:pPr>
            <w:r>
              <w:rPr>
                <w:b w:val="0"/>
                <w:i w:val="0"/>
                <w:sz w:val="20"/>
              </w:rPr>
              <w:t>Великобритания</w:t>
            </w:r>
          </w:p>
        </w:tc>
        <w:tc>
          <w:tcPr>
            <w:tcW w:type="dxa" w:w="2493"/>
          </w:tcPr>
          <w:p>
            <w:pPr>
              <w:spacing w:after="0" w:line="240" w:lineRule="auto"/>
              <w:ind w:firstLine="0"/>
              <w:jc w:val="center"/>
            </w:pPr>
            <w:r>
              <w:rPr>
                <w:b w:val="0"/>
                <w:i w:val="0"/>
                <w:sz w:val="20"/>
              </w:rPr>
              <w:t>металлы, сплавы</w:t>
            </w:r>
          </w:p>
        </w:tc>
        <w:tc>
          <w:tcPr>
            <w:tcW w:type="dxa" w:w="2493"/>
          </w:tcPr>
          <w:p>
            <w:pPr>
              <w:spacing w:after="0" w:line="240" w:lineRule="auto"/>
              <w:ind w:firstLine="0"/>
              <w:jc w:val="center"/>
            </w:pPr>
            <w:r>
              <w:rPr>
                <w:b w:val="0"/>
                <w:i w:val="0"/>
                <w:sz w:val="20"/>
              </w:rPr>
              <w:t>Эллсмир-Порт</w:t>
            </w:r>
          </w:p>
        </w:tc>
      </w:tr>
      <w:tr>
        <w:tc>
          <w:tcPr>
            <w:tcW w:type="dxa" w:w="2493"/>
          </w:tcPr>
          <w:p>
            <w:pPr>
              <w:spacing w:after="0" w:line="240" w:lineRule="auto"/>
              <w:ind w:firstLine="0"/>
              <w:jc w:val="left"/>
            </w:pPr>
            <w:r>
              <w:rPr>
                <w:b w:val="0"/>
                <w:i w:val="0"/>
                <w:sz w:val="20"/>
              </w:rPr>
              <w:t>Noveon Magnetics</w:t>
            </w:r>
          </w:p>
        </w:tc>
        <w:tc>
          <w:tcPr>
            <w:tcW w:type="dxa" w:w="2493"/>
          </w:tcPr>
          <w:p>
            <w:pPr>
              <w:spacing w:after="0" w:line="240" w:lineRule="auto"/>
              <w:ind w:firstLine="0"/>
              <w:jc w:val="center"/>
            </w:pPr>
            <w:r>
              <w:rPr>
                <w:b w:val="0"/>
                <w:i w:val="0"/>
                <w:sz w:val="20"/>
              </w:rPr>
              <w:t>США</w:t>
            </w:r>
          </w:p>
        </w:tc>
        <w:tc>
          <w:tcPr>
            <w:tcW w:type="dxa" w:w="2493"/>
          </w:tcPr>
          <w:p>
            <w:pPr>
              <w:spacing w:after="0" w:line="240" w:lineRule="auto"/>
              <w:ind w:firstLine="0"/>
              <w:jc w:val="center"/>
            </w:pPr>
            <w:r>
              <w:rPr>
                <w:b w:val="0"/>
                <w:i w:val="0"/>
                <w:sz w:val="20"/>
              </w:rPr>
              <w:t>магниты (рециклинг)</w:t>
            </w:r>
          </w:p>
        </w:tc>
        <w:tc>
          <w:tcPr>
            <w:tcW w:type="dxa" w:w="2493"/>
          </w:tcPr>
          <w:p>
            <w:pPr>
              <w:spacing w:after="0" w:line="240" w:lineRule="auto"/>
              <w:ind w:firstLine="0"/>
              <w:jc w:val="center"/>
            </w:pPr>
            <w:r>
              <w:rPr>
                <w:b w:val="0"/>
                <w:i w:val="0"/>
                <w:sz w:val="20"/>
              </w:rPr>
              <w:t>Сан-Маркос</w:t>
            </w:r>
          </w:p>
        </w:tc>
      </w:tr>
      <w:tr>
        <w:tc>
          <w:tcPr>
            <w:tcW w:type="dxa" w:w="2493"/>
          </w:tcPr>
          <w:p>
            <w:pPr>
              <w:spacing w:after="0" w:line="240" w:lineRule="auto"/>
              <w:ind w:firstLine="0"/>
              <w:jc w:val="left"/>
            </w:pPr>
            <w:r>
              <w:rPr>
                <w:b w:val="0"/>
                <w:i w:val="0"/>
                <w:sz w:val="20"/>
              </w:rPr>
              <w:t>Ucore Rare Metals</w:t>
            </w:r>
          </w:p>
        </w:tc>
        <w:tc>
          <w:tcPr>
            <w:tcW w:type="dxa" w:w="2493"/>
          </w:tcPr>
          <w:p>
            <w:pPr>
              <w:spacing w:after="0" w:line="240" w:lineRule="auto"/>
              <w:ind w:firstLine="0"/>
              <w:jc w:val="center"/>
            </w:pPr>
            <w:r>
              <w:rPr>
                <w:b w:val="0"/>
                <w:i w:val="0"/>
                <w:sz w:val="20"/>
              </w:rPr>
              <w:t>Канада/США</w:t>
            </w:r>
          </w:p>
        </w:tc>
        <w:tc>
          <w:tcPr>
            <w:tcW w:type="dxa" w:w="2493"/>
          </w:tcPr>
          <w:p>
            <w:pPr>
              <w:spacing w:after="0" w:line="240" w:lineRule="auto"/>
              <w:ind w:firstLine="0"/>
              <w:jc w:val="center"/>
            </w:pPr>
            <w:r>
              <w:rPr>
                <w:b w:val="0"/>
                <w:i w:val="0"/>
                <w:sz w:val="20"/>
              </w:rPr>
              <w:t>разделение (проект)</w:t>
            </w:r>
          </w:p>
        </w:tc>
        <w:tc>
          <w:tcPr>
            <w:tcW w:type="dxa" w:w="2493"/>
          </w:tcPr>
          <w:p>
            <w:pPr>
              <w:spacing w:after="0" w:line="240" w:lineRule="auto"/>
              <w:ind w:firstLine="0"/>
              <w:jc w:val="center"/>
            </w:pPr>
            <w:r>
              <w:rPr>
                <w:b w:val="0"/>
                <w:i w:val="0"/>
                <w:sz w:val="20"/>
              </w:rPr>
              <w:t>Луизиана</w:t>
            </w:r>
          </w:p>
        </w:tc>
      </w:tr>
    </w:tbl>
    <w:p>
      <w:pPr>
        <w:spacing w:after="180"/>
        <w:ind w:firstLine="0"/>
      </w:pPr>
      <w:r>
        <w:rPr>
          <w:i/>
          <w:sz w:val="20"/>
        </w:rPr>
        <w:t>Источник: аналитический центр по данным корпоративных раскрытий</w:t>
      </w:r>
    </w:p>
    <w:p>
      <w:r>
        <w:br w:type="page"/>
      </w:r>
    </w:p>
    <w:p>
      <w:pPr>
        <w:pStyle w:val="Heading1"/>
      </w:pPr>
      <w:r>
        <w:rPr>
          <w:b w:val="0"/>
          <w:i w:val="0"/>
        </w:rPr>
        <w:t>Приложение 2. Потребители редкоземельной продукции в Российской Федерации</w:t>
      </w:r>
    </w:p>
    <w:p>
      <w:pPr>
        <w:keepNext/>
        <w:spacing w:before="160" w:after="60"/>
        <w:ind w:firstLine="0"/>
        <w:jc w:val="left"/>
      </w:pPr>
      <w:r>
        <w:rPr>
          <w:b/>
          <w:sz w:val="22"/>
        </w:rPr>
        <w:t>Таблица 129. Основные российские предприятия — потребители редкоземельной продукции</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Организация</w:t>
            </w:r>
          </w:p>
        </w:tc>
        <w:tc>
          <w:tcPr>
            <w:tcW w:type="dxa" w:w="2493"/>
            <w:shd w:val="clear" w:fill="DCE6F1"/>
          </w:tcPr>
          <w:p>
            <w:pPr>
              <w:spacing w:after="0" w:line="240" w:lineRule="auto"/>
              <w:ind w:firstLine="0"/>
              <w:jc w:val="center"/>
            </w:pPr>
            <w:r>
              <w:rPr>
                <w:b/>
                <w:i w:val="0"/>
                <w:sz w:val="20"/>
              </w:rPr>
              <w:t>Регион</w:t>
            </w:r>
          </w:p>
        </w:tc>
        <w:tc>
          <w:tcPr>
            <w:tcW w:type="dxa" w:w="2493"/>
            <w:shd w:val="clear" w:fill="DCE6F1"/>
          </w:tcPr>
          <w:p>
            <w:pPr>
              <w:spacing w:after="0" w:line="240" w:lineRule="auto"/>
              <w:ind w:firstLine="0"/>
              <w:jc w:val="center"/>
            </w:pPr>
            <w:r>
              <w:rPr>
                <w:b/>
                <w:i w:val="0"/>
                <w:sz w:val="20"/>
              </w:rPr>
              <w:t>Отрасль</w:t>
            </w:r>
          </w:p>
        </w:tc>
        <w:tc>
          <w:tcPr>
            <w:tcW w:type="dxa" w:w="2493"/>
            <w:shd w:val="clear" w:fill="DCE6F1"/>
          </w:tcPr>
          <w:p>
            <w:pPr>
              <w:spacing w:after="0" w:line="240" w:lineRule="auto"/>
              <w:ind w:firstLine="0"/>
              <w:jc w:val="center"/>
            </w:pPr>
            <w:r>
              <w:rPr>
                <w:b/>
                <w:i w:val="0"/>
                <w:sz w:val="20"/>
              </w:rPr>
              <w:t>Потребляемая номенклатура</w:t>
            </w:r>
          </w:p>
        </w:tc>
      </w:tr>
      <w:tr>
        <w:tc>
          <w:tcPr>
            <w:tcW w:type="dxa" w:w="2493"/>
          </w:tcPr>
          <w:p>
            <w:pPr>
              <w:spacing w:after="0" w:line="240" w:lineRule="auto"/>
              <w:ind w:firstLine="0"/>
              <w:jc w:val="left"/>
            </w:pPr>
            <w:r>
              <w:rPr>
                <w:b w:val="0"/>
                <w:i w:val="0"/>
                <w:sz w:val="20"/>
              </w:rPr>
              <w:t>АО «Лыткаринский завод оптического стекла»</w:t>
            </w:r>
          </w:p>
        </w:tc>
        <w:tc>
          <w:tcPr>
            <w:tcW w:type="dxa" w:w="2493"/>
          </w:tcPr>
          <w:p>
            <w:pPr>
              <w:spacing w:after="0" w:line="240" w:lineRule="auto"/>
              <w:ind w:firstLine="0"/>
              <w:jc w:val="center"/>
            </w:pPr>
            <w:r>
              <w:rPr>
                <w:b w:val="0"/>
                <w:i w:val="0"/>
                <w:sz w:val="20"/>
              </w:rPr>
              <w:t>Московская обл.</w:t>
            </w:r>
          </w:p>
        </w:tc>
        <w:tc>
          <w:tcPr>
            <w:tcW w:type="dxa" w:w="2493"/>
          </w:tcPr>
          <w:p>
            <w:pPr>
              <w:spacing w:after="0" w:line="240" w:lineRule="auto"/>
              <w:ind w:firstLine="0"/>
              <w:jc w:val="center"/>
            </w:pPr>
            <w:r>
              <w:rPr>
                <w:b w:val="0"/>
                <w:i w:val="0"/>
                <w:sz w:val="20"/>
              </w:rPr>
              <w:t>оптическая</w:t>
            </w:r>
          </w:p>
        </w:tc>
        <w:tc>
          <w:tcPr>
            <w:tcW w:type="dxa" w:w="2493"/>
          </w:tcPr>
          <w:p>
            <w:pPr>
              <w:spacing w:after="0" w:line="240" w:lineRule="auto"/>
              <w:ind w:firstLine="0"/>
              <w:jc w:val="center"/>
            </w:pPr>
            <w:r>
              <w:rPr>
                <w:b w:val="0"/>
                <w:i w:val="0"/>
                <w:sz w:val="20"/>
              </w:rPr>
              <w:t>La₂O₃, CeO₂, Nd₂O₃, Er₂O₃</w:t>
            </w:r>
          </w:p>
        </w:tc>
      </w:tr>
      <w:tr>
        <w:tc>
          <w:tcPr>
            <w:tcW w:type="dxa" w:w="2493"/>
          </w:tcPr>
          <w:p>
            <w:pPr>
              <w:spacing w:after="0" w:line="240" w:lineRule="auto"/>
              <w:ind w:firstLine="0"/>
              <w:jc w:val="left"/>
            </w:pPr>
            <w:r>
              <w:rPr>
                <w:b w:val="0"/>
                <w:i w:val="0"/>
                <w:sz w:val="20"/>
              </w:rPr>
              <w:t>АО «Швабе» (предприятия холдинга)</w:t>
            </w:r>
          </w:p>
        </w:tc>
        <w:tc>
          <w:tcPr>
            <w:tcW w:type="dxa" w:w="2493"/>
          </w:tcPr>
          <w:p>
            <w:pPr>
              <w:spacing w:after="0" w:line="240" w:lineRule="auto"/>
              <w:ind w:firstLine="0"/>
              <w:jc w:val="center"/>
            </w:pPr>
            <w:r>
              <w:rPr>
                <w:b w:val="0"/>
                <w:i w:val="0"/>
                <w:sz w:val="20"/>
              </w:rPr>
              <w:t>различные</w:t>
            </w:r>
          </w:p>
        </w:tc>
        <w:tc>
          <w:tcPr>
            <w:tcW w:type="dxa" w:w="2493"/>
          </w:tcPr>
          <w:p>
            <w:pPr>
              <w:spacing w:after="0" w:line="240" w:lineRule="auto"/>
              <w:ind w:firstLine="0"/>
              <w:jc w:val="center"/>
            </w:pPr>
            <w:r>
              <w:rPr>
                <w:b w:val="0"/>
                <w:i w:val="0"/>
                <w:sz w:val="20"/>
              </w:rPr>
              <w:t>оптическая</w:t>
            </w:r>
          </w:p>
        </w:tc>
        <w:tc>
          <w:tcPr>
            <w:tcW w:type="dxa" w:w="2493"/>
          </w:tcPr>
          <w:p>
            <w:pPr>
              <w:spacing w:after="0" w:line="240" w:lineRule="auto"/>
              <w:ind w:firstLine="0"/>
              <w:jc w:val="center"/>
            </w:pPr>
            <w:r>
              <w:rPr>
                <w:b w:val="0"/>
                <w:i w:val="0"/>
                <w:sz w:val="20"/>
              </w:rPr>
              <w:t>La₂O₃, CeO₂</w:t>
            </w:r>
          </w:p>
        </w:tc>
      </w:tr>
      <w:tr>
        <w:tc>
          <w:tcPr>
            <w:tcW w:type="dxa" w:w="2493"/>
          </w:tcPr>
          <w:p>
            <w:pPr>
              <w:spacing w:after="0" w:line="240" w:lineRule="auto"/>
              <w:ind w:firstLine="0"/>
              <w:jc w:val="left"/>
            </w:pPr>
            <w:r>
              <w:rPr>
                <w:b w:val="0"/>
                <w:i w:val="0"/>
                <w:sz w:val="20"/>
              </w:rPr>
              <w:t>ВНЦ «ГОИ им. С. И. Вавилова»</w:t>
            </w:r>
          </w:p>
        </w:tc>
        <w:tc>
          <w:tcPr>
            <w:tcW w:type="dxa" w:w="2493"/>
          </w:tcPr>
          <w:p>
            <w:pPr>
              <w:spacing w:after="0" w:line="240" w:lineRule="auto"/>
              <w:ind w:firstLine="0"/>
              <w:jc w:val="center"/>
            </w:pPr>
            <w:r>
              <w:rPr>
                <w:b w:val="0"/>
                <w:i w:val="0"/>
                <w:sz w:val="20"/>
              </w:rPr>
              <w:t>Санкт-Петербург</w:t>
            </w:r>
          </w:p>
        </w:tc>
        <w:tc>
          <w:tcPr>
            <w:tcW w:type="dxa" w:w="2493"/>
          </w:tcPr>
          <w:p>
            <w:pPr>
              <w:spacing w:after="0" w:line="240" w:lineRule="auto"/>
              <w:ind w:firstLine="0"/>
              <w:jc w:val="center"/>
            </w:pPr>
            <w:r>
              <w:rPr>
                <w:b w:val="0"/>
                <w:i w:val="0"/>
                <w:sz w:val="20"/>
              </w:rPr>
              <w:t>оптическая, лазерная</w:t>
            </w:r>
          </w:p>
        </w:tc>
        <w:tc>
          <w:tcPr>
            <w:tcW w:type="dxa" w:w="2493"/>
          </w:tcPr>
          <w:p>
            <w:pPr>
              <w:spacing w:after="0" w:line="240" w:lineRule="auto"/>
              <w:ind w:firstLine="0"/>
              <w:jc w:val="center"/>
            </w:pPr>
            <w:r>
              <w:rPr>
                <w:b w:val="0"/>
                <w:i w:val="0"/>
                <w:sz w:val="20"/>
              </w:rPr>
              <w:t>Nd₂O₃, Yb₂O₃, Er₂O₃</w:t>
            </w:r>
          </w:p>
        </w:tc>
      </w:tr>
      <w:tr>
        <w:tc>
          <w:tcPr>
            <w:tcW w:type="dxa" w:w="2493"/>
          </w:tcPr>
          <w:p>
            <w:pPr>
              <w:spacing w:after="0" w:line="240" w:lineRule="auto"/>
              <w:ind w:firstLine="0"/>
              <w:jc w:val="left"/>
            </w:pPr>
            <w:r>
              <w:rPr>
                <w:b w:val="0"/>
                <w:i w:val="0"/>
                <w:sz w:val="20"/>
              </w:rPr>
              <w:t>АО «Машиностроительный завод»</w:t>
            </w:r>
          </w:p>
        </w:tc>
        <w:tc>
          <w:tcPr>
            <w:tcW w:type="dxa" w:w="2493"/>
          </w:tcPr>
          <w:p>
            <w:pPr>
              <w:spacing w:after="0" w:line="240" w:lineRule="auto"/>
              <w:ind w:firstLine="0"/>
              <w:jc w:val="center"/>
            </w:pPr>
            <w:r>
              <w:rPr>
                <w:b w:val="0"/>
                <w:i w:val="0"/>
                <w:sz w:val="20"/>
              </w:rPr>
              <w:t>Московская обл.</w:t>
            </w:r>
          </w:p>
        </w:tc>
        <w:tc>
          <w:tcPr>
            <w:tcW w:type="dxa" w:w="2493"/>
          </w:tcPr>
          <w:p>
            <w:pPr>
              <w:spacing w:after="0" w:line="240" w:lineRule="auto"/>
              <w:ind w:firstLine="0"/>
              <w:jc w:val="center"/>
            </w:pPr>
            <w:r>
              <w:rPr>
                <w:b w:val="0"/>
                <w:i w:val="0"/>
                <w:sz w:val="20"/>
              </w:rPr>
              <w:t>атомная</w:t>
            </w:r>
          </w:p>
        </w:tc>
        <w:tc>
          <w:tcPr>
            <w:tcW w:type="dxa" w:w="2493"/>
          </w:tcPr>
          <w:p>
            <w:pPr>
              <w:spacing w:after="0" w:line="240" w:lineRule="auto"/>
              <w:ind w:firstLine="0"/>
              <w:jc w:val="center"/>
            </w:pPr>
            <w:r>
              <w:rPr>
                <w:b w:val="0"/>
                <w:i w:val="0"/>
                <w:sz w:val="20"/>
              </w:rPr>
              <w:t>Gd₂O₃</w:t>
            </w:r>
          </w:p>
        </w:tc>
      </w:tr>
      <w:tr>
        <w:tc>
          <w:tcPr>
            <w:tcW w:type="dxa" w:w="2493"/>
          </w:tcPr>
          <w:p>
            <w:pPr>
              <w:spacing w:after="0" w:line="240" w:lineRule="auto"/>
              <w:ind w:firstLine="0"/>
              <w:jc w:val="left"/>
            </w:pPr>
            <w:r>
              <w:rPr>
                <w:b w:val="0"/>
                <w:i w:val="0"/>
                <w:sz w:val="20"/>
              </w:rPr>
              <w:t>ПАО «НЗХК»</w:t>
            </w:r>
          </w:p>
        </w:tc>
        <w:tc>
          <w:tcPr>
            <w:tcW w:type="dxa" w:w="2493"/>
          </w:tcPr>
          <w:p>
            <w:pPr>
              <w:spacing w:after="0" w:line="240" w:lineRule="auto"/>
              <w:ind w:firstLine="0"/>
              <w:jc w:val="center"/>
            </w:pPr>
            <w:r>
              <w:rPr>
                <w:b w:val="0"/>
                <w:i w:val="0"/>
                <w:sz w:val="20"/>
              </w:rPr>
              <w:t>Новосибирская обл.</w:t>
            </w:r>
          </w:p>
        </w:tc>
        <w:tc>
          <w:tcPr>
            <w:tcW w:type="dxa" w:w="2493"/>
          </w:tcPr>
          <w:p>
            <w:pPr>
              <w:spacing w:after="0" w:line="240" w:lineRule="auto"/>
              <w:ind w:firstLine="0"/>
              <w:jc w:val="center"/>
            </w:pPr>
            <w:r>
              <w:rPr>
                <w:b w:val="0"/>
                <w:i w:val="0"/>
                <w:sz w:val="20"/>
              </w:rPr>
              <w:t>атомная</w:t>
            </w:r>
          </w:p>
        </w:tc>
        <w:tc>
          <w:tcPr>
            <w:tcW w:type="dxa" w:w="2493"/>
          </w:tcPr>
          <w:p>
            <w:pPr>
              <w:spacing w:after="0" w:line="240" w:lineRule="auto"/>
              <w:ind w:firstLine="0"/>
              <w:jc w:val="center"/>
            </w:pPr>
            <w:r>
              <w:rPr>
                <w:b w:val="0"/>
                <w:i w:val="0"/>
                <w:sz w:val="20"/>
              </w:rPr>
              <w:t>Gd₂O₃</w:t>
            </w:r>
          </w:p>
        </w:tc>
      </w:tr>
      <w:tr>
        <w:tc>
          <w:tcPr>
            <w:tcW w:type="dxa" w:w="2493"/>
          </w:tcPr>
          <w:p>
            <w:pPr>
              <w:spacing w:after="0" w:line="240" w:lineRule="auto"/>
              <w:ind w:firstLine="0"/>
              <w:jc w:val="left"/>
            </w:pPr>
            <w:r>
              <w:rPr>
                <w:b w:val="0"/>
                <w:i w:val="0"/>
                <w:sz w:val="20"/>
              </w:rPr>
              <w:t>АО «Чепецкий механический завод»</w:t>
            </w:r>
          </w:p>
        </w:tc>
        <w:tc>
          <w:tcPr>
            <w:tcW w:type="dxa" w:w="2493"/>
          </w:tcPr>
          <w:p>
            <w:pPr>
              <w:spacing w:after="0" w:line="240" w:lineRule="auto"/>
              <w:ind w:firstLine="0"/>
              <w:jc w:val="center"/>
            </w:pPr>
            <w:r>
              <w:rPr>
                <w:b w:val="0"/>
                <w:i w:val="0"/>
                <w:sz w:val="20"/>
              </w:rPr>
              <w:t>Удмуртия</w:t>
            </w:r>
          </w:p>
        </w:tc>
        <w:tc>
          <w:tcPr>
            <w:tcW w:type="dxa" w:w="2493"/>
          </w:tcPr>
          <w:p>
            <w:pPr>
              <w:spacing w:after="0" w:line="240" w:lineRule="auto"/>
              <w:ind w:firstLine="0"/>
              <w:jc w:val="center"/>
            </w:pPr>
            <w:r>
              <w:rPr>
                <w:b w:val="0"/>
                <w:i w:val="0"/>
                <w:sz w:val="20"/>
              </w:rPr>
              <w:t>атомная, металлургия</w:t>
            </w:r>
          </w:p>
        </w:tc>
        <w:tc>
          <w:tcPr>
            <w:tcW w:type="dxa" w:w="2493"/>
          </w:tcPr>
          <w:p>
            <w:pPr>
              <w:spacing w:after="0" w:line="240" w:lineRule="auto"/>
              <w:ind w:firstLine="0"/>
              <w:jc w:val="center"/>
            </w:pPr>
            <w:r>
              <w:rPr>
                <w:b w:val="0"/>
                <w:i w:val="0"/>
                <w:sz w:val="20"/>
              </w:rPr>
              <w:t>Gd₂O₃, лигатуры</w:t>
            </w:r>
          </w:p>
        </w:tc>
      </w:tr>
      <w:tr>
        <w:tc>
          <w:tcPr>
            <w:tcW w:type="dxa" w:w="2493"/>
          </w:tcPr>
          <w:p>
            <w:pPr>
              <w:spacing w:after="0" w:line="240" w:lineRule="auto"/>
              <w:ind w:firstLine="0"/>
              <w:jc w:val="left"/>
            </w:pPr>
            <w:r>
              <w:rPr>
                <w:b w:val="0"/>
                <w:i w:val="0"/>
                <w:sz w:val="20"/>
              </w:rPr>
              <w:t>АО «Газпромнефть — Катализаторы»</w:t>
            </w:r>
          </w:p>
        </w:tc>
        <w:tc>
          <w:tcPr>
            <w:tcW w:type="dxa" w:w="2493"/>
          </w:tcPr>
          <w:p>
            <w:pPr>
              <w:spacing w:after="0" w:line="240" w:lineRule="auto"/>
              <w:ind w:firstLine="0"/>
              <w:jc w:val="center"/>
            </w:pPr>
            <w:r>
              <w:rPr>
                <w:b w:val="0"/>
                <w:i w:val="0"/>
                <w:sz w:val="20"/>
              </w:rPr>
              <w:t>Омская обл.</w:t>
            </w:r>
          </w:p>
        </w:tc>
        <w:tc>
          <w:tcPr>
            <w:tcW w:type="dxa" w:w="2493"/>
          </w:tcPr>
          <w:p>
            <w:pPr>
              <w:spacing w:after="0" w:line="240" w:lineRule="auto"/>
              <w:ind w:firstLine="0"/>
              <w:jc w:val="center"/>
            </w:pPr>
            <w:r>
              <w:rPr>
                <w:b w:val="0"/>
                <w:i w:val="0"/>
                <w:sz w:val="20"/>
              </w:rPr>
              <w:t>нефтехимия</w:t>
            </w:r>
          </w:p>
        </w:tc>
        <w:tc>
          <w:tcPr>
            <w:tcW w:type="dxa" w:w="2493"/>
          </w:tcPr>
          <w:p>
            <w:pPr>
              <w:spacing w:after="0" w:line="240" w:lineRule="auto"/>
              <w:ind w:firstLine="0"/>
              <w:jc w:val="center"/>
            </w:pPr>
            <w:r>
              <w:rPr>
                <w:b w:val="0"/>
                <w:i w:val="0"/>
                <w:sz w:val="20"/>
              </w:rPr>
              <w:t>La₂O₃, CeO₂</w:t>
            </w:r>
          </w:p>
        </w:tc>
      </w:tr>
      <w:tr>
        <w:tc>
          <w:tcPr>
            <w:tcW w:type="dxa" w:w="2493"/>
          </w:tcPr>
          <w:p>
            <w:pPr>
              <w:spacing w:after="0" w:line="240" w:lineRule="auto"/>
              <w:ind w:firstLine="0"/>
              <w:jc w:val="left"/>
            </w:pPr>
            <w:r>
              <w:rPr>
                <w:b w:val="0"/>
                <w:i w:val="0"/>
                <w:sz w:val="20"/>
              </w:rPr>
              <w:t>АО «Ангарский завод катализаторов»</w:t>
            </w:r>
          </w:p>
        </w:tc>
        <w:tc>
          <w:tcPr>
            <w:tcW w:type="dxa" w:w="2493"/>
          </w:tcPr>
          <w:p>
            <w:pPr>
              <w:spacing w:after="0" w:line="240" w:lineRule="auto"/>
              <w:ind w:firstLine="0"/>
              <w:jc w:val="center"/>
            </w:pPr>
            <w:r>
              <w:rPr>
                <w:b w:val="0"/>
                <w:i w:val="0"/>
                <w:sz w:val="20"/>
              </w:rPr>
              <w:t>Иркутская обл.</w:t>
            </w:r>
          </w:p>
        </w:tc>
        <w:tc>
          <w:tcPr>
            <w:tcW w:type="dxa" w:w="2493"/>
          </w:tcPr>
          <w:p>
            <w:pPr>
              <w:spacing w:after="0" w:line="240" w:lineRule="auto"/>
              <w:ind w:firstLine="0"/>
              <w:jc w:val="center"/>
            </w:pPr>
            <w:r>
              <w:rPr>
                <w:b w:val="0"/>
                <w:i w:val="0"/>
                <w:sz w:val="20"/>
              </w:rPr>
              <w:t>нефтехимия</w:t>
            </w:r>
          </w:p>
        </w:tc>
        <w:tc>
          <w:tcPr>
            <w:tcW w:type="dxa" w:w="2493"/>
          </w:tcPr>
          <w:p>
            <w:pPr>
              <w:spacing w:after="0" w:line="240" w:lineRule="auto"/>
              <w:ind w:firstLine="0"/>
              <w:jc w:val="center"/>
            </w:pPr>
            <w:r>
              <w:rPr>
                <w:b w:val="0"/>
                <w:i w:val="0"/>
                <w:sz w:val="20"/>
              </w:rPr>
              <w:t>La₂O₃, CeO₂</w:t>
            </w:r>
          </w:p>
        </w:tc>
      </w:tr>
      <w:tr>
        <w:tc>
          <w:tcPr>
            <w:tcW w:type="dxa" w:w="2493"/>
          </w:tcPr>
          <w:p>
            <w:pPr>
              <w:spacing w:after="0" w:line="240" w:lineRule="auto"/>
              <w:ind w:firstLine="0"/>
              <w:jc w:val="left"/>
            </w:pPr>
            <w:r>
              <w:rPr>
                <w:b w:val="0"/>
                <w:i w:val="0"/>
                <w:sz w:val="20"/>
              </w:rPr>
              <w:t>Холдинг «Русэлпром»</w:t>
            </w:r>
          </w:p>
        </w:tc>
        <w:tc>
          <w:tcPr>
            <w:tcW w:type="dxa" w:w="2493"/>
          </w:tcPr>
          <w:p>
            <w:pPr>
              <w:spacing w:after="0" w:line="240" w:lineRule="auto"/>
              <w:ind w:firstLine="0"/>
              <w:jc w:val="center"/>
            </w:pPr>
            <w:r>
              <w:rPr>
                <w:b w:val="0"/>
                <w:i w:val="0"/>
                <w:sz w:val="20"/>
              </w:rPr>
              <w:t>различные</w:t>
            </w:r>
          </w:p>
        </w:tc>
        <w:tc>
          <w:tcPr>
            <w:tcW w:type="dxa" w:w="2493"/>
          </w:tcPr>
          <w:p>
            <w:pPr>
              <w:spacing w:after="0" w:line="240" w:lineRule="auto"/>
              <w:ind w:firstLine="0"/>
              <w:jc w:val="center"/>
            </w:pPr>
            <w:r>
              <w:rPr>
                <w:b w:val="0"/>
                <w:i w:val="0"/>
                <w:sz w:val="20"/>
              </w:rPr>
              <w:t>электротехника</w:t>
            </w:r>
          </w:p>
        </w:tc>
        <w:tc>
          <w:tcPr>
            <w:tcW w:type="dxa" w:w="2493"/>
          </w:tcPr>
          <w:p>
            <w:pPr>
              <w:spacing w:after="0" w:line="240" w:lineRule="auto"/>
              <w:ind w:firstLine="0"/>
              <w:jc w:val="center"/>
            </w:pPr>
            <w:r>
              <w:rPr>
                <w:b w:val="0"/>
                <w:i w:val="0"/>
                <w:sz w:val="20"/>
              </w:rPr>
              <w:t>магниты NdFeB</w:t>
            </w:r>
          </w:p>
        </w:tc>
      </w:tr>
      <w:tr>
        <w:tc>
          <w:tcPr>
            <w:tcW w:type="dxa" w:w="2493"/>
          </w:tcPr>
          <w:p>
            <w:pPr>
              <w:spacing w:after="0" w:line="240" w:lineRule="auto"/>
              <w:ind w:firstLine="0"/>
              <w:jc w:val="left"/>
            </w:pPr>
            <w:r>
              <w:rPr>
                <w:b w:val="0"/>
                <w:i w:val="0"/>
                <w:sz w:val="20"/>
              </w:rPr>
              <w:t>АО «Сафоновский электромашзавод»</w:t>
            </w:r>
          </w:p>
        </w:tc>
        <w:tc>
          <w:tcPr>
            <w:tcW w:type="dxa" w:w="2493"/>
          </w:tcPr>
          <w:p>
            <w:pPr>
              <w:spacing w:after="0" w:line="240" w:lineRule="auto"/>
              <w:ind w:firstLine="0"/>
              <w:jc w:val="center"/>
            </w:pPr>
            <w:r>
              <w:rPr>
                <w:b w:val="0"/>
                <w:i w:val="0"/>
                <w:sz w:val="20"/>
              </w:rPr>
              <w:t>Смоленская обл.</w:t>
            </w:r>
          </w:p>
        </w:tc>
        <w:tc>
          <w:tcPr>
            <w:tcW w:type="dxa" w:w="2493"/>
          </w:tcPr>
          <w:p>
            <w:pPr>
              <w:spacing w:after="0" w:line="240" w:lineRule="auto"/>
              <w:ind w:firstLine="0"/>
              <w:jc w:val="center"/>
            </w:pPr>
            <w:r>
              <w:rPr>
                <w:b w:val="0"/>
                <w:i w:val="0"/>
                <w:sz w:val="20"/>
              </w:rPr>
              <w:t>электротехника</w:t>
            </w:r>
          </w:p>
        </w:tc>
        <w:tc>
          <w:tcPr>
            <w:tcW w:type="dxa" w:w="2493"/>
          </w:tcPr>
          <w:p>
            <w:pPr>
              <w:spacing w:after="0" w:line="240" w:lineRule="auto"/>
              <w:ind w:firstLine="0"/>
              <w:jc w:val="center"/>
            </w:pPr>
            <w:r>
              <w:rPr>
                <w:b w:val="0"/>
                <w:i w:val="0"/>
                <w:sz w:val="20"/>
              </w:rPr>
              <w:t>магниты NdFeB</w:t>
            </w:r>
          </w:p>
        </w:tc>
      </w:tr>
      <w:tr>
        <w:tc>
          <w:tcPr>
            <w:tcW w:type="dxa" w:w="2493"/>
          </w:tcPr>
          <w:p>
            <w:pPr>
              <w:spacing w:after="0" w:line="240" w:lineRule="auto"/>
              <w:ind w:firstLine="0"/>
              <w:jc w:val="left"/>
            </w:pPr>
            <w:r>
              <w:rPr>
                <w:b w:val="0"/>
                <w:i w:val="0"/>
                <w:sz w:val="20"/>
              </w:rPr>
              <w:t>ПАО «ТМК» (предприятия)</w:t>
            </w:r>
          </w:p>
        </w:tc>
        <w:tc>
          <w:tcPr>
            <w:tcW w:type="dxa" w:w="2493"/>
          </w:tcPr>
          <w:p>
            <w:pPr>
              <w:spacing w:after="0" w:line="240" w:lineRule="auto"/>
              <w:ind w:firstLine="0"/>
              <w:jc w:val="center"/>
            </w:pPr>
            <w:r>
              <w:rPr>
                <w:b w:val="0"/>
                <w:i w:val="0"/>
                <w:sz w:val="20"/>
              </w:rPr>
              <w:t>различные</w:t>
            </w:r>
          </w:p>
        </w:tc>
        <w:tc>
          <w:tcPr>
            <w:tcW w:type="dxa" w:w="2493"/>
          </w:tcPr>
          <w:p>
            <w:pPr>
              <w:spacing w:after="0" w:line="240" w:lineRule="auto"/>
              <w:ind w:firstLine="0"/>
              <w:jc w:val="center"/>
            </w:pPr>
            <w:r>
              <w:rPr>
                <w:b w:val="0"/>
                <w:i w:val="0"/>
                <w:sz w:val="20"/>
              </w:rPr>
              <w:t>металлургия</w:t>
            </w:r>
          </w:p>
        </w:tc>
        <w:tc>
          <w:tcPr>
            <w:tcW w:type="dxa" w:w="2493"/>
          </w:tcPr>
          <w:p>
            <w:pPr>
              <w:spacing w:after="0" w:line="240" w:lineRule="auto"/>
              <w:ind w:firstLine="0"/>
              <w:jc w:val="center"/>
            </w:pPr>
            <w:r>
              <w:rPr>
                <w:b w:val="0"/>
                <w:i w:val="0"/>
                <w:sz w:val="20"/>
              </w:rPr>
              <w:t>мишметалл, ферроцерий</w:t>
            </w:r>
          </w:p>
        </w:tc>
      </w:tr>
      <w:tr>
        <w:tc>
          <w:tcPr>
            <w:tcW w:type="dxa" w:w="2493"/>
          </w:tcPr>
          <w:p>
            <w:pPr>
              <w:spacing w:after="0" w:line="240" w:lineRule="auto"/>
              <w:ind w:firstLine="0"/>
              <w:jc w:val="left"/>
            </w:pPr>
            <w:r>
              <w:rPr>
                <w:b w:val="0"/>
                <w:i w:val="0"/>
                <w:sz w:val="20"/>
              </w:rPr>
              <w:t>ПАО «ЧТПЗ»</w:t>
            </w:r>
          </w:p>
        </w:tc>
        <w:tc>
          <w:tcPr>
            <w:tcW w:type="dxa" w:w="2493"/>
          </w:tcPr>
          <w:p>
            <w:pPr>
              <w:spacing w:after="0" w:line="240" w:lineRule="auto"/>
              <w:ind w:firstLine="0"/>
              <w:jc w:val="center"/>
            </w:pPr>
            <w:r>
              <w:rPr>
                <w:b w:val="0"/>
                <w:i w:val="0"/>
                <w:sz w:val="20"/>
              </w:rPr>
              <w:t>Челябинская обл.</w:t>
            </w:r>
          </w:p>
        </w:tc>
        <w:tc>
          <w:tcPr>
            <w:tcW w:type="dxa" w:w="2493"/>
          </w:tcPr>
          <w:p>
            <w:pPr>
              <w:spacing w:after="0" w:line="240" w:lineRule="auto"/>
              <w:ind w:firstLine="0"/>
              <w:jc w:val="center"/>
            </w:pPr>
            <w:r>
              <w:rPr>
                <w:b w:val="0"/>
                <w:i w:val="0"/>
                <w:sz w:val="20"/>
              </w:rPr>
              <w:t>металлургия</w:t>
            </w:r>
          </w:p>
        </w:tc>
        <w:tc>
          <w:tcPr>
            <w:tcW w:type="dxa" w:w="2493"/>
          </w:tcPr>
          <w:p>
            <w:pPr>
              <w:spacing w:after="0" w:line="240" w:lineRule="auto"/>
              <w:ind w:firstLine="0"/>
              <w:jc w:val="center"/>
            </w:pPr>
            <w:r>
              <w:rPr>
                <w:b w:val="0"/>
                <w:i w:val="0"/>
                <w:sz w:val="20"/>
              </w:rPr>
              <w:t>мишметалл</w:t>
            </w:r>
          </w:p>
        </w:tc>
      </w:tr>
      <w:tr>
        <w:tc>
          <w:tcPr>
            <w:tcW w:type="dxa" w:w="2493"/>
          </w:tcPr>
          <w:p>
            <w:pPr>
              <w:spacing w:after="0" w:line="240" w:lineRule="auto"/>
              <w:ind w:firstLine="0"/>
              <w:jc w:val="left"/>
            </w:pPr>
            <w:r>
              <w:rPr>
                <w:b w:val="0"/>
                <w:i w:val="0"/>
                <w:sz w:val="20"/>
              </w:rPr>
              <w:t>ОК «РУСАЛ»</w:t>
            </w:r>
          </w:p>
        </w:tc>
        <w:tc>
          <w:tcPr>
            <w:tcW w:type="dxa" w:w="2493"/>
          </w:tcPr>
          <w:p>
            <w:pPr>
              <w:spacing w:after="0" w:line="240" w:lineRule="auto"/>
              <w:ind w:firstLine="0"/>
              <w:jc w:val="center"/>
            </w:pPr>
            <w:r>
              <w:rPr>
                <w:b w:val="0"/>
                <w:i w:val="0"/>
                <w:sz w:val="20"/>
              </w:rPr>
              <w:t>различные</w:t>
            </w:r>
          </w:p>
        </w:tc>
        <w:tc>
          <w:tcPr>
            <w:tcW w:type="dxa" w:w="2493"/>
          </w:tcPr>
          <w:p>
            <w:pPr>
              <w:spacing w:after="0" w:line="240" w:lineRule="auto"/>
              <w:ind w:firstLine="0"/>
              <w:jc w:val="center"/>
            </w:pPr>
            <w:r>
              <w:rPr>
                <w:b w:val="0"/>
                <w:i w:val="0"/>
                <w:sz w:val="20"/>
              </w:rPr>
              <w:t>металлургия</w:t>
            </w:r>
          </w:p>
        </w:tc>
        <w:tc>
          <w:tcPr>
            <w:tcW w:type="dxa" w:w="2493"/>
          </w:tcPr>
          <w:p>
            <w:pPr>
              <w:spacing w:after="0" w:line="240" w:lineRule="auto"/>
              <w:ind w:firstLine="0"/>
              <w:jc w:val="center"/>
            </w:pPr>
            <w:r>
              <w:rPr>
                <w:b w:val="0"/>
                <w:i w:val="0"/>
                <w:sz w:val="20"/>
              </w:rPr>
              <w:t>Sc, Ce, лигатуры</w:t>
            </w:r>
          </w:p>
        </w:tc>
      </w:tr>
      <w:tr>
        <w:tc>
          <w:tcPr>
            <w:tcW w:type="dxa" w:w="2493"/>
          </w:tcPr>
          <w:p>
            <w:pPr>
              <w:spacing w:after="0" w:line="240" w:lineRule="auto"/>
              <w:ind w:firstLine="0"/>
              <w:jc w:val="left"/>
            </w:pPr>
            <w:r>
              <w:rPr>
                <w:b w:val="0"/>
                <w:i w:val="0"/>
                <w:sz w:val="20"/>
              </w:rPr>
              <w:t>ПАО «ВСМПО-АВИСМА»</w:t>
            </w:r>
          </w:p>
        </w:tc>
        <w:tc>
          <w:tcPr>
            <w:tcW w:type="dxa" w:w="2493"/>
          </w:tcPr>
          <w:p>
            <w:pPr>
              <w:spacing w:after="0" w:line="240" w:lineRule="auto"/>
              <w:ind w:firstLine="0"/>
              <w:jc w:val="center"/>
            </w:pPr>
            <w:r>
              <w:rPr>
                <w:b w:val="0"/>
                <w:i w:val="0"/>
                <w:sz w:val="20"/>
              </w:rPr>
              <w:t>Свердловская обл.</w:t>
            </w:r>
          </w:p>
        </w:tc>
        <w:tc>
          <w:tcPr>
            <w:tcW w:type="dxa" w:w="2493"/>
          </w:tcPr>
          <w:p>
            <w:pPr>
              <w:spacing w:after="0" w:line="240" w:lineRule="auto"/>
              <w:ind w:firstLine="0"/>
              <w:jc w:val="center"/>
            </w:pPr>
            <w:r>
              <w:rPr>
                <w:b w:val="0"/>
                <w:i w:val="0"/>
                <w:sz w:val="20"/>
              </w:rPr>
              <w:t>металлургия</w:t>
            </w:r>
          </w:p>
        </w:tc>
        <w:tc>
          <w:tcPr>
            <w:tcW w:type="dxa" w:w="2493"/>
          </w:tcPr>
          <w:p>
            <w:pPr>
              <w:spacing w:after="0" w:line="240" w:lineRule="auto"/>
              <w:ind w:firstLine="0"/>
              <w:jc w:val="center"/>
            </w:pPr>
            <w:r>
              <w:rPr>
                <w:b w:val="0"/>
                <w:i w:val="0"/>
                <w:sz w:val="20"/>
              </w:rPr>
              <w:t>лигатуры</w:t>
            </w:r>
          </w:p>
        </w:tc>
      </w:tr>
      <w:tr>
        <w:tc>
          <w:tcPr>
            <w:tcW w:type="dxa" w:w="2493"/>
          </w:tcPr>
          <w:p>
            <w:pPr>
              <w:spacing w:after="0" w:line="240" w:lineRule="auto"/>
              <w:ind w:firstLine="0"/>
              <w:jc w:val="left"/>
            </w:pPr>
            <w:r>
              <w:rPr>
                <w:b w:val="0"/>
                <w:i w:val="0"/>
                <w:sz w:val="20"/>
              </w:rPr>
              <w:t>Предприятия ОПК</w:t>
            </w:r>
          </w:p>
        </w:tc>
        <w:tc>
          <w:tcPr>
            <w:tcW w:type="dxa" w:w="2493"/>
          </w:tcPr>
          <w:p>
            <w:pPr>
              <w:spacing w:after="0" w:line="240" w:lineRule="auto"/>
              <w:ind w:firstLine="0"/>
              <w:jc w:val="center"/>
            </w:pPr>
            <w:r>
              <w:rPr>
                <w:b w:val="0"/>
                <w:i w:val="0"/>
                <w:sz w:val="20"/>
              </w:rPr>
              <w:t>различные</w:t>
            </w:r>
          </w:p>
        </w:tc>
        <w:tc>
          <w:tcPr>
            <w:tcW w:type="dxa" w:w="2493"/>
          </w:tcPr>
          <w:p>
            <w:pPr>
              <w:spacing w:after="0" w:line="240" w:lineRule="auto"/>
              <w:ind w:firstLine="0"/>
              <w:jc w:val="center"/>
            </w:pPr>
            <w:r>
              <w:rPr>
                <w:b w:val="0"/>
                <w:i w:val="0"/>
                <w:sz w:val="20"/>
              </w:rPr>
              <w:t>оборонная</w:t>
            </w:r>
          </w:p>
        </w:tc>
        <w:tc>
          <w:tcPr>
            <w:tcW w:type="dxa" w:w="2493"/>
          </w:tcPr>
          <w:p>
            <w:pPr>
              <w:spacing w:after="0" w:line="240" w:lineRule="auto"/>
              <w:ind w:firstLine="0"/>
              <w:jc w:val="center"/>
            </w:pPr>
            <w:r>
              <w:rPr>
                <w:b w:val="0"/>
                <w:i w:val="0"/>
                <w:sz w:val="20"/>
              </w:rPr>
              <w:t>магниты NdFeB, SmCo</w:t>
            </w:r>
          </w:p>
        </w:tc>
      </w:tr>
      <w:tr>
        <w:tc>
          <w:tcPr>
            <w:tcW w:type="dxa" w:w="2493"/>
          </w:tcPr>
          <w:p>
            <w:pPr>
              <w:spacing w:after="0" w:line="240" w:lineRule="auto"/>
              <w:ind w:firstLine="0"/>
              <w:jc w:val="left"/>
            </w:pPr>
            <w:r>
              <w:rPr>
                <w:b w:val="0"/>
                <w:i w:val="0"/>
                <w:sz w:val="20"/>
              </w:rPr>
              <w:t>АО «Обнинское НПП «Технология»</w:t>
            </w:r>
          </w:p>
        </w:tc>
        <w:tc>
          <w:tcPr>
            <w:tcW w:type="dxa" w:w="2493"/>
          </w:tcPr>
          <w:p>
            <w:pPr>
              <w:spacing w:after="0" w:line="240" w:lineRule="auto"/>
              <w:ind w:firstLine="0"/>
              <w:jc w:val="center"/>
            </w:pPr>
            <w:r>
              <w:rPr>
                <w:b w:val="0"/>
                <w:i w:val="0"/>
                <w:sz w:val="20"/>
              </w:rPr>
              <w:t>Калужская обл.</w:t>
            </w:r>
          </w:p>
        </w:tc>
        <w:tc>
          <w:tcPr>
            <w:tcW w:type="dxa" w:w="2493"/>
          </w:tcPr>
          <w:p>
            <w:pPr>
              <w:spacing w:after="0" w:line="240" w:lineRule="auto"/>
              <w:ind w:firstLine="0"/>
              <w:jc w:val="center"/>
            </w:pPr>
            <w:r>
              <w:rPr>
                <w:b w:val="0"/>
                <w:i w:val="0"/>
                <w:sz w:val="20"/>
              </w:rPr>
              <w:t>керамика</w:t>
            </w:r>
          </w:p>
        </w:tc>
        <w:tc>
          <w:tcPr>
            <w:tcW w:type="dxa" w:w="2493"/>
          </w:tcPr>
          <w:p>
            <w:pPr>
              <w:spacing w:after="0" w:line="240" w:lineRule="auto"/>
              <w:ind w:firstLine="0"/>
              <w:jc w:val="center"/>
            </w:pPr>
            <w:r>
              <w:rPr>
                <w:b w:val="0"/>
                <w:i w:val="0"/>
                <w:sz w:val="20"/>
              </w:rPr>
              <w:t>Y₂O₃</w:t>
            </w:r>
          </w:p>
        </w:tc>
      </w:tr>
      <w:tr>
        <w:tc>
          <w:tcPr>
            <w:tcW w:type="dxa" w:w="2493"/>
          </w:tcPr>
          <w:p>
            <w:pPr>
              <w:spacing w:after="0" w:line="240" w:lineRule="auto"/>
              <w:ind w:firstLine="0"/>
              <w:jc w:val="left"/>
            </w:pPr>
            <w:r>
              <w:rPr>
                <w:b w:val="0"/>
                <w:i w:val="0"/>
                <w:sz w:val="20"/>
              </w:rPr>
              <w:t>Производители стекла (совокупно)</w:t>
            </w:r>
          </w:p>
        </w:tc>
        <w:tc>
          <w:tcPr>
            <w:tcW w:type="dxa" w:w="2493"/>
          </w:tcPr>
          <w:p>
            <w:pPr>
              <w:spacing w:after="0" w:line="240" w:lineRule="auto"/>
              <w:ind w:firstLine="0"/>
              <w:jc w:val="center"/>
            </w:pPr>
            <w:r>
              <w:rPr>
                <w:b w:val="0"/>
                <w:i w:val="0"/>
                <w:sz w:val="20"/>
              </w:rPr>
              <w:t>различные</w:t>
            </w:r>
          </w:p>
        </w:tc>
        <w:tc>
          <w:tcPr>
            <w:tcW w:type="dxa" w:w="2493"/>
          </w:tcPr>
          <w:p>
            <w:pPr>
              <w:spacing w:after="0" w:line="240" w:lineRule="auto"/>
              <w:ind w:firstLine="0"/>
              <w:jc w:val="center"/>
            </w:pPr>
            <w:r>
              <w:rPr>
                <w:b w:val="0"/>
                <w:i w:val="0"/>
                <w:sz w:val="20"/>
              </w:rPr>
              <w:t>стекольная</w:t>
            </w:r>
          </w:p>
        </w:tc>
        <w:tc>
          <w:tcPr>
            <w:tcW w:type="dxa" w:w="2493"/>
          </w:tcPr>
          <w:p>
            <w:pPr>
              <w:spacing w:after="0" w:line="240" w:lineRule="auto"/>
              <w:ind w:firstLine="0"/>
              <w:jc w:val="center"/>
            </w:pPr>
            <w:r>
              <w:rPr>
                <w:b w:val="0"/>
                <w:i w:val="0"/>
                <w:sz w:val="20"/>
              </w:rPr>
              <w:t>CeO₂</w:t>
            </w:r>
          </w:p>
        </w:tc>
      </w:tr>
      <w:tr>
        <w:tc>
          <w:tcPr>
            <w:tcW w:type="dxa" w:w="2493"/>
          </w:tcPr>
          <w:p>
            <w:pPr>
              <w:spacing w:after="0" w:line="240" w:lineRule="auto"/>
              <w:ind w:firstLine="0"/>
              <w:jc w:val="left"/>
            </w:pPr>
            <w:r>
              <w:rPr>
                <w:b w:val="0"/>
                <w:i w:val="0"/>
                <w:sz w:val="20"/>
              </w:rPr>
              <w:t>АО «Радиевый институт им. В. Г. Хлопина»</w:t>
            </w:r>
          </w:p>
        </w:tc>
        <w:tc>
          <w:tcPr>
            <w:tcW w:type="dxa" w:w="2493"/>
          </w:tcPr>
          <w:p>
            <w:pPr>
              <w:spacing w:after="0" w:line="240" w:lineRule="auto"/>
              <w:ind w:firstLine="0"/>
              <w:jc w:val="center"/>
            </w:pPr>
            <w:r>
              <w:rPr>
                <w:b w:val="0"/>
                <w:i w:val="0"/>
                <w:sz w:val="20"/>
              </w:rPr>
              <w:t>Санкт-Петербург</w:t>
            </w:r>
          </w:p>
        </w:tc>
        <w:tc>
          <w:tcPr>
            <w:tcW w:type="dxa" w:w="2493"/>
          </w:tcPr>
          <w:p>
            <w:pPr>
              <w:spacing w:after="0" w:line="240" w:lineRule="auto"/>
              <w:ind w:firstLine="0"/>
              <w:jc w:val="center"/>
            </w:pPr>
            <w:r>
              <w:rPr>
                <w:b w:val="0"/>
                <w:i w:val="0"/>
                <w:sz w:val="20"/>
              </w:rPr>
              <w:t>радиофармацевтика</w:t>
            </w:r>
          </w:p>
        </w:tc>
        <w:tc>
          <w:tcPr>
            <w:tcW w:type="dxa" w:w="2493"/>
          </w:tcPr>
          <w:p>
            <w:pPr>
              <w:spacing w:after="0" w:line="240" w:lineRule="auto"/>
              <w:ind w:firstLine="0"/>
              <w:jc w:val="center"/>
            </w:pPr>
            <w:r>
              <w:rPr>
                <w:b w:val="0"/>
                <w:i w:val="0"/>
                <w:sz w:val="20"/>
              </w:rPr>
              <w:t>Lu, Ho, Y</w:t>
            </w:r>
          </w:p>
        </w:tc>
      </w:tr>
    </w:tbl>
    <w:p>
      <w:pPr>
        <w:spacing w:after="180"/>
        <w:ind w:firstLine="0"/>
      </w:pPr>
      <w:r>
        <w:rPr>
          <w:i/>
          <w:sz w:val="20"/>
        </w:rPr>
        <w:t>Источник: аналитический центр по данным Единой информационной системы в сфере закупок, корпоративных раскрытий и отраслевой информации</w:t>
      </w:r>
    </w:p>
    <w:p>
      <w:r>
        <w:br w:type="page"/>
      </w:r>
    </w:p>
    <w:p>
      <w:pPr>
        <w:pStyle w:val="Heading1"/>
      </w:pPr>
      <w:r>
        <w:rPr>
          <w:b w:val="0"/>
          <w:i w:val="0"/>
        </w:rPr>
        <w:t>Приложение 3. Перечень месторождений редкоземельных металлов</w:t>
      </w:r>
    </w:p>
    <w:p>
      <w:pPr>
        <w:keepNext/>
        <w:spacing w:before="160" w:after="60"/>
        <w:ind w:firstLine="0"/>
        <w:jc w:val="left"/>
      </w:pPr>
      <w:r>
        <w:rPr>
          <w:b/>
          <w:sz w:val="22"/>
        </w:rPr>
        <w:t>Таблица 130. Месторождения редкоземельных металлов Российской Федерации</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Месторождение</w:t>
            </w:r>
          </w:p>
        </w:tc>
        <w:tc>
          <w:tcPr>
            <w:tcW w:type="dxa" w:w="1662"/>
            <w:shd w:val="clear" w:fill="DCE6F1"/>
          </w:tcPr>
          <w:p>
            <w:pPr>
              <w:spacing w:after="0" w:line="240" w:lineRule="auto"/>
              <w:ind w:firstLine="0"/>
              <w:jc w:val="center"/>
            </w:pPr>
            <w:r>
              <w:rPr>
                <w:b/>
                <w:i w:val="0"/>
                <w:sz w:val="20"/>
              </w:rPr>
              <w:t>Субъект РФ</w:t>
            </w:r>
          </w:p>
        </w:tc>
        <w:tc>
          <w:tcPr>
            <w:tcW w:type="dxa" w:w="1662"/>
            <w:shd w:val="clear" w:fill="DCE6F1"/>
          </w:tcPr>
          <w:p>
            <w:pPr>
              <w:spacing w:after="0" w:line="240" w:lineRule="auto"/>
              <w:ind w:firstLine="0"/>
              <w:jc w:val="center"/>
            </w:pPr>
            <w:r>
              <w:rPr>
                <w:b/>
                <w:i w:val="0"/>
                <w:sz w:val="20"/>
              </w:rPr>
              <w:t>Тип руд</w:t>
            </w:r>
          </w:p>
        </w:tc>
        <w:tc>
          <w:tcPr>
            <w:tcW w:type="dxa" w:w="1662"/>
            <w:shd w:val="clear" w:fill="DCE6F1"/>
          </w:tcPr>
          <w:p>
            <w:pPr>
              <w:spacing w:after="0" w:line="240" w:lineRule="auto"/>
              <w:ind w:firstLine="0"/>
              <w:jc w:val="center"/>
            </w:pPr>
            <w:r>
              <w:rPr>
                <w:b/>
                <w:i w:val="0"/>
                <w:sz w:val="20"/>
              </w:rPr>
              <w:t>TREO, %</w:t>
            </w:r>
          </w:p>
        </w:tc>
        <w:tc>
          <w:tcPr>
            <w:tcW w:type="dxa" w:w="1662"/>
            <w:shd w:val="clear" w:fill="DCE6F1"/>
          </w:tcPr>
          <w:p>
            <w:pPr>
              <w:spacing w:after="0" w:line="240" w:lineRule="auto"/>
              <w:ind w:firstLine="0"/>
              <w:jc w:val="center"/>
            </w:pPr>
            <w:r>
              <w:rPr>
                <w:b/>
                <w:i w:val="0"/>
                <w:sz w:val="20"/>
              </w:rPr>
              <w:t>Запасы TREO, тыс. т</w:t>
            </w:r>
          </w:p>
        </w:tc>
        <w:tc>
          <w:tcPr>
            <w:tcW w:type="dxa" w:w="1662"/>
            <w:shd w:val="clear" w:fill="DCE6F1"/>
          </w:tcPr>
          <w:p>
            <w:pPr>
              <w:spacing w:after="0" w:line="240" w:lineRule="auto"/>
              <w:ind w:firstLine="0"/>
              <w:jc w:val="center"/>
            </w:pPr>
            <w:r>
              <w:rPr>
                <w:b/>
                <w:i w:val="0"/>
                <w:sz w:val="20"/>
              </w:rPr>
              <w:t>Недропользователь</w:t>
            </w:r>
          </w:p>
        </w:tc>
      </w:tr>
      <w:tr>
        <w:tc>
          <w:tcPr>
            <w:tcW w:type="dxa" w:w="1662"/>
          </w:tcPr>
          <w:p>
            <w:pPr>
              <w:spacing w:after="0" w:line="240" w:lineRule="auto"/>
              <w:ind w:firstLine="0"/>
              <w:jc w:val="left"/>
            </w:pPr>
            <w:r>
              <w:rPr>
                <w:b w:val="0"/>
                <w:i w:val="0"/>
                <w:sz w:val="20"/>
              </w:rPr>
              <w:t>Ловозёрское (лопарит)</w:t>
            </w:r>
          </w:p>
        </w:tc>
        <w:tc>
          <w:tcPr>
            <w:tcW w:type="dxa" w:w="1662"/>
          </w:tcPr>
          <w:p>
            <w:pPr>
              <w:spacing w:after="0" w:line="240" w:lineRule="auto"/>
              <w:ind w:firstLine="0"/>
              <w:jc w:val="center"/>
            </w:pPr>
            <w:r>
              <w:rPr>
                <w:b w:val="0"/>
                <w:i w:val="0"/>
                <w:sz w:val="20"/>
              </w:rPr>
              <w:t>Мурманская обл.</w:t>
            </w:r>
          </w:p>
        </w:tc>
        <w:tc>
          <w:tcPr>
            <w:tcW w:type="dxa" w:w="1662"/>
          </w:tcPr>
          <w:p>
            <w:pPr>
              <w:spacing w:after="0" w:line="240" w:lineRule="auto"/>
              <w:ind w:firstLine="0"/>
              <w:jc w:val="center"/>
            </w:pPr>
            <w:r>
              <w:rPr>
                <w:b w:val="0"/>
                <w:i w:val="0"/>
                <w:sz w:val="20"/>
              </w:rPr>
              <w:t>щелочной</w:t>
            </w:r>
          </w:p>
        </w:tc>
        <w:tc>
          <w:tcPr>
            <w:tcW w:type="dxa" w:w="1662"/>
          </w:tcPr>
          <w:p>
            <w:pPr>
              <w:spacing w:after="0" w:line="240" w:lineRule="auto"/>
              <w:ind w:firstLine="0"/>
              <w:jc w:val="center"/>
            </w:pPr>
            <w:r>
              <w:rPr>
                <w:b w:val="0"/>
                <w:i w:val="0"/>
                <w:sz w:val="20"/>
              </w:rPr>
              <w:t>1,1</w:t>
            </w:r>
          </w:p>
        </w:tc>
        <w:tc>
          <w:tcPr>
            <w:tcW w:type="dxa" w:w="1662"/>
          </w:tcPr>
          <w:p>
            <w:pPr>
              <w:spacing w:after="0" w:line="240" w:lineRule="auto"/>
              <w:ind w:firstLine="0"/>
              <w:jc w:val="center"/>
            </w:pPr>
            <w:r>
              <w:rPr>
                <w:b w:val="0"/>
                <w:i w:val="0"/>
                <w:sz w:val="20"/>
              </w:rPr>
              <w:t>520</w:t>
            </w:r>
          </w:p>
        </w:tc>
        <w:tc>
          <w:tcPr>
            <w:tcW w:type="dxa" w:w="1662"/>
          </w:tcPr>
          <w:p>
            <w:pPr>
              <w:spacing w:after="0" w:line="240" w:lineRule="auto"/>
              <w:ind w:firstLine="0"/>
              <w:jc w:val="center"/>
            </w:pPr>
            <w:r>
              <w:rPr>
                <w:b w:val="0"/>
                <w:i w:val="0"/>
                <w:sz w:val="20"/>
              </w:rPr>
              <w:t>Ловозёрский ГОК</w:t>
            </w:r>
          </w:p>
        </w:tc>
      </w:tr>
      <w:tr>
        <w:tc>
          <w:tcPr>
            <w:tcW w:type="dxa" w:w="1662"/>
          </w:tcPr>
          <w:p>
            <w:pPr>
              <w:spacing w:after="0" w:line="240" w:lineRule="auto"/>
              <w:ind w:firstLine="0"/>
              <w:jc w:val="left"/>
            </w:pPr>
            <w:r>
              <w:rPr>
                <w:b w:val="0"/>
                <w:i w:val="0"/>
                <w:sz w:val="20"/>
              </w:rPr>
              <w:t>Ловозёрское (эвдиалит)</w:t>
            </w:r>
          </w:p>
        </w:tc>
        <w:tc>
          <w:tcPr>
            <w:tcW w:type="dxa" w:w="1662"/>
          </w:tcPr>
          <w:p>
            <w:pPr>
              <w:spacing w:after="0" w:line="240" w:lineRule="auto"/>
              <w:ind w:firstLine="0"/>
              <w:jc w:val="center"/>
            </w:pPr>
            <w:r>
              <w:rPr>
                <w:b w:val="0"/>
                <w:i w:val="0"/>
                <w:sz w:val="20"/>
              </w:rPr>
              <w:t>Мурманская обл.</w:t>
            </w:r>
          </w:p>
        </w:tc>
        <w:tc>
          <w:tcPr>
            <w:tcW w:type="dxa" w:w="1662"/>
          </w:tcPr>
          <w:p>
            <w:pPr>
              <w:spacing w:after="0" w:line="240" w:lineRule="auto"/>
              <w:ind w:firstLine="0"/>
              <w:jc w:val="center"/>
            </w:pPr>
            <w:r>
              <w:rPr>
                <w:b w:val="0"/>
                <w:i w:val="0"/>
                <w:sz w:val="20"/>
              </w:rPr>
              <w:t>щелочной</w:t>
            </w:r>
          </w:p>
        </w:tc>
        <w:tc>
          <w:tcPr>
            <w:tcW w:type="dxa" w:w="1662"/>
          </w:tcPr>
          <w:p>
            <w:pPr>
              <w:spacing w:after="0" w:line="240" w:lineRule="auto"/>
              <w:ind w:firstLine="0"/>
              <w:jc w:val="center"/>
            </w:pPr>
            <w:r>
              <w:rPr>
                <w:b w:val="0"/>
                <w:i w:val="0"/>
                <w:sz w:val="20"/>
              </w:rPr>
              <w:t>0,25</w:t>
            </w:r>
          </w:p>
        </w:tc>
        <w:tc>
          <w:tcPr>
            <w:tcW w:type="dxa" w:w="1662"/>
          </w:tcPr>
          <w:p>
            <w:pPr>
              <w:spacing w:after="0" w:line="240" w:lineRule="auto"/>
              <w:ind w:firstLine="0"/>
              <w:jc w:val="center"/>
            </w:pPr>
            <w:r>
              <w:rPr>
                <w:b w:val="0"/>
                <w:i w:val="0"/>
                <w:sz w:val="20"/>
              </w:rPr>
              <w:t>5 500</w:t>
            </w:r>
          </w:p>
        </w:tc>
        <w:tc>
          <w:tcPr>
            <w:tcW w:type="dxa" w:w="1662"/>
          </w:tcPr>
          <w:p>
            <w:pPr>
              <w:spacing w:after="0" w:line="240" w:lineRule="auto"/>
              <w:ind w:firstLine="0"/>
              <w:jc w:val="center"/>
            </w:pPr>
            <w:r>
              <w:rPr>
                <w:b w:val="0"/>
                <w:i w:val="0"/>
                <w:sz w:val="20"/>
              </w:rPr>
              <w:t>нераспределённый фонд</w:t>
            </w:r>
          </w:p>
        </w:tc>
      </w:tr>
      <w:tr>
        <w:tc>
          <w:tcPr>
            <w:tcW w:type="dxa" w:w="1662"/>
          </w:tcPr>
          <w:p>
            <w:pPr>
              <w:spacing w:after="0" w:line="240" w:lineRule="auto"/>
              <w:ind w:firstLine="0"/>
              <w:jc w:val="left"/>
            </w:pPr>
            <w:r>
              <w:rPr>
                <w:b w:val="0"/>
                <w:i w:val="0"/>
                <w:sz w:val="20"/>
              </w:rPr>
              <w:t>Томторское (Буранный)</w:t>
            </w:r>
          </w:p>
        </w:tc>
        <w:tc>
          <w:tcPr>
            <w:tcW w:type="dxa" w:w="1662"/>
          </w:tcPr>
          <w:p>
            <w:pPr>
              <w:spacing w:after="0" w:line="240" w:lineRule="auto"/>
              <w:ind w:firstLine="0"/>
              <w:jc w:val="center"/>
            </w:pPr>
            <w:r>
              <w:rPr>
                <w:b w:val="0"/>
                <w:i w:val="0"/>
                <w:sz w:val="20"/>
              </w:rPr>
              <w:t>Респ. Саха (Якутия)</w:t>
            </w:r>
          </w:p>
        </w:tc>
        <w:tc>
          <w:tcPr>
            <w:tcW w:type="dxa" w:w="1662"/>
          </w:tcPr>
          <w:p>
            <w:pPr>
              <w:spacing w:after="0" w:line="240" w:lineRule="auto"/>
              <w:ind w:firstLine="0"/>
              <w:jc w:val="center"/>
            </w:pPr>
            <w:r>
              <w:rPr>
                <w:b w:val="0"/>
                <w:i w:val="0"/>
                <w:sz w:val="20"/>
              </w:rPr>
              <w:t>кора выветривания</w:t>
            </w:r>
          </w:p>
        </w:tc>
        <w:tc>
          <w:tcPr>
            <w:tcW w:type="dxa" w:w="1662"/>
          </w:tcPr>
          <w:p>
            <w:pPr>
              <w:spacing w:after="0" w:line="240" w:lineRule="auto"/>
              <w:ind w:firstLine="0"/>
              <w:jc w:val="center"/>
            </w:pPr>
            <w:r>
              <w:rPr>
                <w:b w:val="0"/>
                <w:i w:val="0"/>
                <w:sz w:val="20"/>
              </w:rPr>
              <w:t>9,5</w:t>
            </w:r>
          </w:p>
        </w:tc>
        <w:tc>
          <w:tcPr>
            <w:tcW w:type="dxa" w:w="1662"/>
          </w:tcPr>
          <w:p>
            <w:pPr>
              <w:spacing w:after="0" w:line="240" w:lineRule="auto"/>
              <w:ind w:firstLine="0"/>
              <w:jc w:val="center"/>
            </w:pPr>
            <w:r>
              <w:rPr>
                <w:b w:val="0"/>
                <w:i w:val="0"/>
                <w:sz w:val="20"/>
              </w:rPr>
              <w:t>1 550</w:t>
            </w:r>
          </w:p>
        </w:tc>
        <w:tc>
          <w:tcPr>
            <w:tcW w:type="dxa" w:w="1662"/>
          </w:tcPr>
          <w:p>
            <w:pPr>
              <w:spacing w:after="0" w:line="240" w:lineRule="auto"/>
              <w:ind w:firstLine="0"/>
              <w:jc w:val="center"/>
            </w:pPr>
            <w:r>
              <w:rPr>
                <w:b w:val="0"/>
                <w:i w:val="0"/>
                <w:sz w:val="20"/>
              </w:rPr>
              <w:t>Восток Инжиниринг</w:t>
            </w:r>
          </w:p>
        </w:tc>
      </w:tr>
      <w:tr>
        <w:tc>
          <w:tcPr>
            <w:tcW w:type="dxa" w:w="1662"/>
          </w:tcPr>
          <w:p>
            <w:pPr>
              <w:spacing w:after="0" w:line="240" w:lineRule="auto"/>
              <w:ind w:firstLine="0"/>
              <w:jc w:val="left"/>
            </w:pPr>
            <w:r>
              <w:rPr>
                <w:b w:val="0"/>
                <w:i w:val="0"/>
                <w:sz w:val="20"/>
              </w:rPr>
              <w:t>Томторское (прочие участки)</w:t>
            </w:r>
          </w:p>
        </w:tc>
        <w:tc>
          <w:tcPr>
            <w:tcW w:type="dxa" w:w="1662"/>
          </w:tcPr>
          <w:p>
            <w:pPr>
              <w:spacing w:after="0" w:line="240" w:lineRule="auto"/>
              <w:ind w:firstLine="0"/>
              <w:jc w:val="center"/>
            </w:pPr>
            <w:r>
              <w:rPr>
                <w:b w:val="0"/>
                <w:i w:val="0"/>
                <w:sz w:val="20"/>
              </w:rPr>
              <w:t>Респ. Саха (Якутия)</w:t>
            </w:r>
          </w:p>
        </w:tc>
        <w:tc>
          <w:tcPr>
            <w:tcW w:type="dxa" w:w="1662"/>
          </w:tcPr>
          <w:p>
            <w:pPr>
              <w:spacing w:after="0" w:line="240" w:lineRule="auto"/>
              <w:ind w:firstLine="0"/>
              <w:jc w:val="center"/>
            </w:pPr>
            <w:r>
              <w:rPr>
                <w:b w:val="0"/>
                <w:i w:val="0"/>
                <w:sz w:val="20"/>
              </w:rPr>
              <w:t>кора выветривания</w:t>
            </w:r>
          </w:p>
        </w:tc>
        <w:tc>
          <w:tcPr>
            <w:tcW w:type="dxa" w:w="1662"/>
          </w:tcPr>
          <w:p>
            <w:pPr>
              <w:spacing w:after="0" w:line="240" w:lineRule="auto"/>
              <w:ind w:firstLine="0"/>
              <w:jc w:val="center"/>
            </w:pPr>
            <w:r>
              <w:rPr>
                <w:b w:val="0"/>
                <w:i w:val="0"/>
                <w:sz w:val="20"/>
              </w:rPr>
              <w:t>6–8</w:t>
            </w:r>
          </w:p>
        </w:tc>
        <w:tc>
          <w:tcPr>
            <w:tcW w:type="dxa" w:w="1662"/>
          </w:tcPr>
          <w:p>
            <w:pPr>
              <w:spacing w:after="0" w:line="240" w:lineRule="auto"/>
              <w:ind w:firstLine="0"/>
              <w:jc w:val="center"/>
            </w:pPr>
            <w:r>
              <w:rPr>
                <w:b w:val="0"/>
                <w:i w:val="0"/>
                <w:sz w:val="20"/>
              </w:rPr>
              <w:t>2 200</w:t>
            </w:r>
          </w:p>
        </w:tc>
        <w:tc>
          <w:tcPr>
            <w:tcW w:type="dxa" w:w="1662"/>
          </w:tcPr>
          <w:p>
            <w:pPr>
              <w:spacing w:after="0" w:line="240" w:lineRule="auto"/>
              <w:ind w:firstLine="0"/>
              <w:jc w:val="center"/>
            </w:pPr>
            <w:r>
              <w:rPr>
                <w:b w:val="0"/>
                <w:i w:val="0"/>
                <w:sz w:val="20"/>
              </w:rPr>
              <w:t>нераспределённый фонд</w:t>
            </w:r>
          </w:p>
        </w:tc>
      </w:tr>
      <w:tr>
        <w:tc>
          <w:tcPr>
            <w:tcW w:type="dxa" w:w="1662"/>
          </w:tcPr>
          <w:p>
            <w:pPr>
              <w:spacing w:after="0" w:line="240" w:lineRule="auto"/>
              <w:ind w:firstLine="0"/>
              <w:jc w:val="left"/>
            </w:pPr>
            <w:r>
              <w:rPr>
                <w:b w:val="0"/>
                <w:i w:val="0"/>
                <w:sz w:val="20"/>
              </w:rPr>
              <w:t>Чуктуконское</w:t>
            </w:r>
          </w:p>
        </w:tc>
        <w:tc>
          <w:tcPr>
            <w:tcW w:type="dxa" w:w="1662"/>
          </w:tcPr>
          <w:p>
            <w:pPr>
              <w:spacing w:after="0" w:line="240" w:lineRule="auto"/>
              <w:ind w:firstLine="0"/>
              <w:jc w:val="center"/>
            </w:pPr>
            <w:r>
              <w:rPr>
                <w:b w:val="0"/>
                <w:i w:val="0"/>
                <w:sz w:val="20"/>
              </w:rPr>
              <w:t>Красноярский край</w:t>
            </w:r>
          </w:p>
        </w:tc>
        <w:tc>
          <w:tcPr>
            <w:tcW w:type="dxa" w:w="1662"/>
          </w:tcPr>
          <w:p>
            <w:pPr>
              <w:spacing w:after="0" w:line="240" w:lineRule="auto"/>
              <w:ind w:firstLine="0"/>
              <w:jc w:val="center"/>
            </w:pPr>
            <w:r>
              <w:rPr>
                <w:b w:val="0"/>
                <w:i w:val="0"/>
                <w:sz w:val="20"/>
              </w:rPr>
              <w:t>кора выветривания</w:t>
            </w:r>
          </w:p>
        </w:tc>
        <w:tc>
          <w:tcPr>
            <w:tcW w:type="dxa" w:w="1662"/>
          </w:tcPr>
          <w:p>
            <w:pPr>
              <w:spacing w:after="0" w:line="240" w:lineRule="auto"/>
              <w:ind w:firstLine="0"/>
              <w:jc w:val="center"/>
            </w:pPr>
            <w:r>
              <w:rPr>
                <w:b w:val="0"/>
                <w:i w:val="0"/>
                <w:sz w:val="20"/>
              </w:rPr>
              <w:t>3,8</w:t>
            </w:r>
          </w:p>
        </w:tc>
        <w:tc>
          <w:tcPr>
            <w:tcW w:type="dxa" w:w="1662"/>
          </w:tcPr>
          <w:p>
            <w:pPr>
              <w:spacing w:after="0" w:line="240" w:lineRule="auto"/>
              <w:ind w:firstLine="0"/>
              <w:jc w:val="center"/>
            </w:pPr>
            <w:r>
              <w:rPr>
                <w:b w:val="0"/>
                <w:i w:val="0"/>
                <w:sz w:val="20"/>
              </w:rPr>
              <w:t>1 100</w:t>
            </w:r>
          </w:p>
        </w:tc>
        <w:tc>
          <w:tcPr>
            <w:tcW w:type="dxa" w:w="1662"/>
          </w:tcPr>
          <w:p>
            <w:pPr>
              <w:spacing w:after="0" w:line="240" w:lineRule="auto"/>
              <w:ind w:firstLine="0"/>
              <w:jc w:val="center"/>
            </w:pPr>
            <w:r>
              <w:rPr>
                <w:b w:val="0"/>
                <w:i w:val="0"/>
                <w:sz w:val="20"/>
              </w:rPr>
              <w:t>нераспределённый фонд</w:t>
            </w:r>
          </w:p>
        </w:tc>
      </w:tr>
      <w:tr>
        <w:tc>
          <w:tcPr>
            <w:tcW w:type="dxa" w:w="1662"/>
          </w:tcPr>
          <w:p>
            <w:pPr>
              <w:spacing w:after="0" w:line="240" w:lineRule="auto"/>
              <w:ind w:firstLine="0"/>
              <w:jc w:val="left"/>
            </w:pPr>
            <w:r>
              <w:rPr>
                <w:b w:val="0"/>
                <w:i w:val="0"/>
                <w:sz w:val="20"/>
              </w:rPr>
              <w:t>Катугинское</w:t>
            </w:r>
          </w:p>
        </w:tc>
        <w:tc>
          <w:tcPr>
            <w:tcW w:type="dxa" w:w="1662"/>
          </w:tcPr>
          <w:p>
            <w:pPr>
              <w:spacing w:after="0" w:line="240" w:lineRule="auto"/>
              <w:ind w:firstLine="0"/>
              <w:jc w:val="center"/>
            </w:pPr>
            <w:r>
              <w:rPr>
                <w:b w:val="0"/>
                <w:i w:val="0"/>
                <w:sz w:val="20"/>
              </w:rPr>
              <w:t>Забайкальский край</w:t>
            </w:r>
          </w:p>
        </w:tc>
        <w:tc>
          <w:tcPr>
            <w:tcW w:type="dxa" w:w="1662"/>
          </w:tcPr>
          <w:p>
            <w:pPr>
              <w:spacing w:after="0" w:line="240" w:lineRule="auto"/>
              <w:ind w:firstLine="0"/>
              <w:jc w:val="center"/>
            </w:pPr>
            <w:r>
              <w:rPr>
                <w:b w:val="0"/>
                <w:i w:val="0"/>
                <w:sz w:val="20"/>
              </w:rPr>
              <w:t>метасоматиты</w:t>
            </w:r>
          </w:p>
        </w:tc>
        <w:tc>
          <w:tcPr>
            <w:tcW w:type="dxa" w:w="1662"/>
          </w:tcPr>
          <w:p>
            <w:pPr>
              <w:spacing w:after="0" w:line="240" w:lineRule="auto"/>
              <w:ind w:firstLine="0"/>
              <w:jc w:val="center"/>
            </w:pPr>
            <w:r>
              <w:rPr>
                <w:b w:val="0"/>
                <w:i w:val="0"/>
                <w:sz w:val="20"/>
              </w:rPr>
              <w:t>0,25</w:t>
            </w:r>
          </w:p>
        </w:tc>
        <w:tc>
          <w:tcPr>
            <w:tcW w:type="dxa" w:w="1662"/>
          </w:tcPr>
          <w:p>
            <w:pPr>
              <w:spacing w:after="0" w:line="240" w:lineRule="auto"/>
              <w:ind w:firstLine="0"/>
              <w:jc w:val="center"/>
            </w:pPr>
            <w:r>
              <w:rPr>
                <w:b w:val="0"/>
                <w:i w:val="0"/>
                <w:sz w:val="20"/>
              </w:rPr>
              <w:t>1 300</w:t>
            </w:r>
          </w:p>
        </w:tc>
        <w:tc>
          <w:tcPr>
            <w:tcW w:type="dxa" w:w="1662"/>
          </w:tcPr>
          <w:p>
            <w:pPr>
              <w:spacing w:after="0" w:line="240" w:lineRule="auto"/>
              <w:ind w:firstLine="0"/>
              <w:jc w:val="center"/>
            </w:pPr>
            <w:r>
              <w:rPr>
                <w:b w:val="0"/>
                <w:i w:val="0"/>
                <w:sz w:val="20"/>
              </w:rPr>
              <w:t>нераспределённый фонд</w:t>
            </w:r>
          </w:p>
        </w:tc>
      </w:tr>
      <w:tr>
        <w:tc>
          <w:tcPr>
            <w:tcW w:type="dxa" w:w="1662"/>
          </w:tcPr>
          <w:p>
            <w:pPr>
              <w:spacing w:after="0" w:line="240" w:lineRule="auto"/>
              <w:ind w:firstLine="0"/>
              <w:jc w:val="left"/>
            </w:pPr>
            <w:r>
              <w:rPr>
                <w:b w:val="0"/>
                <w:i w:val="0"/>
                <w:sz w:val="20"/>
              </w:rPr>
              <w:t>Улуг-Танзекское</w:t>
            </w:r>
          </w:p>
        </w:tc>
        <w:tc>
          <w:tcPr>
            <w:tcW w:type="dxa" w:w="1662"/>
          </w:tcPr>
          <w:p>
            <w:pPr>
              <w:spacing w:after="0" w:line="240" w:lineRule="auto"/>
              <w:ind w:firstLine="0"/>
              <w:jc w:val="center"/>
            </w:pPr>
            <w:r>
              <w:rPr>
                <w:b w:val="0"/>
                <w:i w:val="0"/>
                <w:sz w:val="20"/>
              </w:rPr>
              <w:t>Респ. Тыва</w:t>
            </w:r>
          </w:p>
        </w:tc>
        <w:tc>
          <w:tcPr>
            <w:tcW w:type="dxa" w:w="1662"/>
          </w:tcPr>
          <w:p>
            <w:pPr>
              <w:spacing w:after="0" w:line="240" w:lineRule="auto"/>
              <w:ind w:firstLine="0"/>
              <w:jc w:val="center"/>
            </w:pPr>
            <w:r>
              <w:rPr>
                <w:b w:val="0"/>
                <w:i w:val="0"/>
                <w:sz w:val="20"/>
              </w:rPr>
              <w:t>метасоматиты</w:t>
            </w:r>
          </w:p>
        </w:tc>
        <w:tc>
          <w:tcPr>
            <w:tcW w:type="dxa" w:w="1662"/>
          </w:tcPr>
          <w:p>
            <w:pPr>
              <w:spacing w:after="0" w:line="240" w:lineRule="auto"/>
              <w:ind w:firstLine="0"/>
              <w:jc w:val="center"/>
            </w:pPr>
            <w:r>
              <w:rPr>
                <w:b w:val="0"/>
                <w:i w:val="0"/>
                <w:sz w:val="20"/>
              </w:rPr>
              <w:t>0,18</w:t>
            </w:r>
          </w:p>
        </w:tc>
        <w:tc>
          <w:tcPr>
            <w:tcW w:type="dxa" w:w="1662"/>
          </w:tcPr>
          <w:p>
            <w:pPr>
              <w:spacing w:after="0" w:line="240" w:lineRule="auto"/>
              <w:ind w:firstLine="0"/>
              <w:jc w:val="center"/>
            </w:pPr>
            <w:r>
              <w:rPr>
                <w:b w:val="0"/>
                <w:i w:val="0"/>
                <w:sz w:val="20"/>
              </w:rPr>
              <w:t>780</w:t>
            </w:r>
          </w:p>
        </w:tc>
        <w:tc>
          <w:tcPr>
            <w:tcW w:type="dxa" w:w="1662"/>
          </w:tcPr>
          <w:p>
            <w:pPr>
              <w:spacing w:after="0" w:line="240" w:lineRule="auto"/>
              <w:ind w:firstLine="0"/>
              <w:jc w:val="center"/>
            </w:pPr>
            <w:r>
              <w:rPr>
                <w:b w:val="0"/>
                <w:i w:val="0"/>
                <w:sz w:val="20"/>
              </w:rPr>
              <w:t>нераспределённый фонд</w:t>
            </w:r>
          </w:p>
        </w:tc>
      </w:tr>
      <w:tr>
        <w:tc>
          <w:tcPr>
            <w:tcW w:type="dxa" w:w="1662"/>
          </w:tcPr>
          <w:p>
            <w:pPr>
              <w:spacing w:after="0" w:line="240" w:lineRule="auto"/>
              <w:ind w:firstLine="0"/>
              <w:jc w:val="left"/>
            </w:pPr>
            <w:r>
              <w:rPr>
                <w:b w:val="0"/>
                <w:i w:val="0"/>
                <w:sz w:val="20"/>
              </w:rPr>
              <w:t>Зашихинское</w:t>
            </w:r>
          </w:p>
        </w:tc>
        <w:tc>
          <w:tcPr>
            <w:tcW w:type="dxa" w:w="1662"/>
          </w:tcPr>
          <w:p>
            <w:pPr>
              <w:spacing w:after="0" w:line="240" w:lineRule="auto"/>
              <w:ind w:firstLine="0"/>
              <w:jc w:val="center"/>
            </w:pPr>
            <w:r>
              <w:rPr>
                <w:b w:val="0"/>
                <w:i w:val="0"/>
                <w:sz w:val="20"/>
              </w:rPr>
              <w:t>Иркутская обл.</w:t>
            </w:r>
          </w:p>
        </w:tc>
        <w:tc>
          <w:tcPr>
            <w:tcW w:type="dxa" w:w="1662"/>
          </w:tcPr>
          <w:p>
            <w:pPr>
              <w:spacing w:after="0" w:line="240" w:lineRule="auto"/>
              <w:ind w:firstLine="0"/>
              <w:jc w:val="center"/>
            </w:pPr>
            <w:r>
              <w:rPr>
                <w:b w:val="0"/>
                <w:i w:val="0"/>
                <w:sz w:val="20"/>
              </w:rPr>
              <w:t>метасоматиты</w:t>
            </w:r>
          </w:p>
        </w:tc>
        <w:tc>
          <w:tcPr>
            <w:tcW w:type="dxa" w:w="1662"/>
          </w:tcPr>
          <w:p>
            <w:pPr>
              <w:spacing w:after="0" w:line="240" w:lineRule="auto"/>
              <w:ind w:firstLine="0"/>
              <w:jc w:val="center"/>
            </w:pPr>
            <w:r>
              <w:rPr>
                <w:b w:val="0"/>
                <w:i w:val="0"/>
                <w:sz w:val="20"/>
              </w:rPr>
              <w:t>0,32</w:t>
            </w:r>
          </w:p>
        </w:tc>
        <w:tc>
          <w:tcPr>
            <w:tcW w:type="dxa" w:w="1662"/>
          </w:tcPr>
          <w:p>
            <w:pPr>
              <w:spacing w:after="0" w:line="240" w:lineRule="auto"/>
              <w:ind w:firstLine="0"/>
              <w:jc w:val="center"/>
            </w:pPr>
            <w:r>
              <w:rPr>
                <w:b w:val="0"/>
                <w:i w:val="0"/>
                <w:sz w:val="20"/>
              </w:rPr>
              <w:t>220</w:t>
            </w:r>
          </w:p>
        </w:tc>
        <w:tc>
          <w:tcPr>
            <w:tcW w:type="dxa" w:w="1662"/>
          </w:tcPr>
          <w:p>
            <w:pPr>
              <w:spacing w:after="0" w:line="240" w:lineRule="auto"/>
              <w:ind w:firstLine="0"/>
              <w:jc w:val="center"/>
            </w:pPr>
            <w:r>
              <w:rPr>
                <w:b w:val="0"/>
                <w:i w:val="0"/>
                <w:sz w:val="20"/>
              </w:rPr>
              <w:t>Техноинвест Альянс</w:t>
            </w:r>
          </w:p>
        </w:tc>
      </w:tr>
      <w:tr>
        <w:tc>
          <w:tcPr>
            <w:tcW w:type="dxa" w:w="1662"/>
          </w:tcPr>
          <w:p>
            <w:pPr>
              <w:spacing w:after="0" w:line="240" w:lineRule="auto"/>
              <w:ind w:firstLine="0"/>
              <w:jc w:val="left"/>
            </w:pPr>
            <w:r>
              <w:rPr>
                <w:b w:val="0"/>
                <w:i w:val="0"/>
                <w:sz w:val="20"/>
              </w:rPr>
              <w:t>Африканда</w:t>
            </w:r>
          </w:p>
        </w:tc>
        <w:tc>
          <w:tcPr>
            <w:tcW w:type="dxa" w:w="1662"/>
          </w:tcPr>
          <w:p>
            <w:pPr>
              <w:spacing w:after="0" w:line="240" w:lineRule="auto"/>
              <w:ind w:firstLine="0"/>
              <w:jc w:val="center"/>
            </w:pPr>
            <w:r>
              <w:rPr>
                <w:b w:val="0"/>
                <w:i w:val="0"/>
                <w:sz w:val="20"/>
              </w:rPr>
              <w:t>Мурманская обл.</w:t>
            </w:r>
          </w:p>
        </w:tc>
        <w:tc>
          <w:tcPr>
            <w:tcW w:type="dxa" w:w="1662"/>
          </w:tcPr>
          <w:p>
            <w:pPr>
              <w:spacing w:after="0" w:line="240" w:lineRule="auto"/>
              <w:ind w:firstLine="0"/>
              <w:jc w:val="center"/>
            </w:pPr>
            <w:r>
              <w:rPr>
                <w:b w:val="0"/>
                <w:i w:val="0"/>
                <w:sz w:val="20"/>
              </w:rPr>
              <w:t>перовскит-титанит</w:t>
            </w:r>
          </w:p>
        </w:tc>
        <w:tc>
          <w:tcPr>
            <w:tcW w:type="dxa" w:w="1662"/>
          </w:tcPr>
          <w:p>
            <w:pPr>
              <w:spacing w:after="0" w:line="240" w:lineRule="auto"/>
              <w:ind w:firstLine="0"/>
              <w:jc w:val="center"/>
            </w:pPr>
            <w:r>
              <w:rPr>
                <w:b w:val="0"/>
                <w:i w:val="0"/>
                <w:sz w:val="20"/>
              </w:rPr>
              <w:t>0,55</w:t>
            </w:r>
          </w:p>
        </w:tc>
        <w:tc>
          <w:tcPr>
            <w:tcW w:type="dxa" w:w="1662"/>
          </w:tcPr>
          <w:p>
            <w:pPr>
              <w:spacing w:after="0" w:line="240" w:lineRule="auto"/>
              <w:ind w:firstLine="0"/>
              <w:jc w:val="center"/>
            </w:pPr>
            <w:r>
              <w:rPr>
                <w:b w:val="0"/>
                <w:i w:val="0"/>
                <w:sz w:val="20"/>
              </w:rPr>
              <w:t>340</w:t>
            </w:r>
          </w:p>
        </w:tc>
        <w:tc>
          <w:tcPr>
            <w:tcW w:type="dxa" w:w="1662"/>
          </w:tcPr>
          <w:p>
            <w:pPr>
              <w:spacing w:after="0" w:line="240" w:lineRule="auto"/>
              <w:ind w:firstLine="0"/>
              <w:jc w:val="center"/>
            </w:pPr>
            <w:r>
              <w:rPr>
                <w:b w:val="0"/>
                <w:i w:val="0"/>
                <w:sz w:val="20"/>
              </w:rPr>
              <w:t>Аркминерал-Ресурс</w:t>
            </w:r>
          </w:p>
        </w:tc>
      </w:tr>
      <w:tr>
        <w:tc>
          <w:tcPr>
            <w:tcW w:type="dxa" w:w="1662"/>
          </w:tcPr>
          <w:p>
            <w:pPr>
              <w:spacing w:after="0" w:line="240" w:lineRule="auto"/>
              <w:ind w:firstLine="0"/>
              <w:jc w:val="left"/>
            </w:pPr>
            <w:r>
              <w:rPr>
                <w:b w:val="0"/>
                <w:i w:val="0"/>
                <w:sz w:val="20"/>
              </w:rPr>
              <w:t>Белозиминское</w:t>
            </w:r>
          </w:p>
        </w:tc>
        <w:tc>
          <w:tcPr>
            <w:tcW w:type="dxa" w:w="1662"/>
          </w:tcPr>
          <w:p>
            <w:pPr>
              <w:spacing w:after="0" w:line="240" w:lineRule="auto"/>
              <w:ind w:firstLine="0"/>
              <w:jc w:val="center"/>
            </w:pPr>
            <w:r>
              <w:rPr>
                <w:b w:val="0"/>
                <w:i w:val="0"/>
                <w:sz w:val="20"/>
              </w:rPr>
              <w:t>Иркутская обл.</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1,2</w:t>
            </w:r>
          </w:p>
        </w:tc>
        <w:tc>
          <w:tcPr>
            <w:tcW w:type="dxa" w:w="1662"/>
          </w:tcPr>
          <w:p>
            <w:pPr>
              <w:spacing w:after="0" w:line="240" w:lineRule="auto"/>
              <w:ind w:firstLine="0"/>
              <w:jc w:val="center"/>
            </w:pPr>
            <w:r>
              <w:rPr>
                <w:b w:val="0"/>
                <w:i w:val="0"/>
                <w:sz w:val="20"/>
              </w:rPr>
              <w:t>290</w:t>
            </w:r>
          </w:p>
        </w:tc>
        <w:tc>
          <w:tcPr>
            <w:tcW w:type="dxa" w:w="1662"/>
          </w:tcPr>
          <w:p>
            <w:pPr>
              <w:spacing w:after="0" w:line="240" w:lineRule="auto"/>
              <w:ind w:firstLine="0"/>
              <w:jc w:val="center"/>
            </w:pPr>
            <w:r>
              <w:rPr>
                <w:b w:val="0"/>
                <w:i w:val="0"/>
                <w:sz w:val="20"/>
              </w:rPr>
              <w:t>нераспределённый фонд</w:t>
            </w:r>
          </w:p>
        </w:tc>
      </w:tr>
      <w:tr>
        <w:tc>
          <w:tcPr>
            <w:tcW w:type="dxa" w:w="1662"/>
          </w:tcPr>
          <w:p>
            <w:pPr>
              <w:spacing w:after="0" w:line="240" w:lineRule="auto"/>
              <w:ind w:firstLine="0"/>
              <w:jc w:val="left"/>
            </w:pPr>
            <w:r>
              <w:rPr>
                <w:b w:val="0"/>
                <w:i w:val="0"/>
                <w:sz w:val="20"/>
              </w:rPr>
              <w:t>Ковдорское</w:t>
            </w:r>
          </w:p>
        </w:tc>
        <w:tc>
          <w:tcPr>
            <w:tcW w:type="dxa" w:w="1662"/>
          </w:tcPr>
          <w:p>
            <w:pPr>
              <w:spacing w:after="0" w:line="240" w:lineRule="auto"/>
              <w:ind w:firstLine="0"/>
              <w:jc w:val="center"/>
            </w:pPr>
            <w:r>
              <w:rPr>
                <w:b w:val="0"/>
                <w:i w:val="0"/>
                <w:sz w:val="20"/>
              </w:rPr>
              <w:t>Мурманская обл.</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0,35</w:t>
            </w:r>
          </w:p>
        </w:tc>
        <w:tc>
          <w:tcPr>
            <w:tcW w:type="dxa" w:w="1662"/>
          </w:tcPr>
          <w:p>
            <w:pPr>
              <w:spacing w:after="0" w:line="240" w:lineRule="auto"/>
              <w:ind w:firstLine="0"/>
              <w:jc w:val="center"/>
            </w:pPr>
            <w:r>
              <w:rPr>
                <w:b w:val="0"/>
                <w:i w:val="0"/>
                <w:sz w:val="20"/>
              </w:rPr>
              <w:t>480</w:t>
            </w:r>
          </w:p>
        </w:tc>
        <w:tc>
          <w:tcPr>
            <w:tcW w:type="dxa" w:w="1662"/>
          </w:tcPr>
          <w:p>
            <w:pPr>
              <w:spacing w:after="0" w:line="240" w:lineRule="auto"/>
              <w:ind w:firstLine="0"/>
              <w:jc w:val="center"/>
            </w:pPr>
            <w:r>
              <w:rPr>
                <w:b w:val="0"/>
                <w:i w:val="0"/>
                <w:sz w:val="20"/>
              </w:rPr>
              <w:t>ЕвроХим</w:t>
            </w:r>
          </w:p>
        </w:tc>
      </w:tr>
      <w:tr>
        <w:tc>
          <w:tcPr>
            <w:tcW w:type="dxa" w:w="1662"/>
          </w:tcPr>
          <w:p>
            <w:pPr>
              <w:spacing w:after="0" w:line="240" w:lineRule="auto"/>
              <w:ind w:firstLine="0"/>
              <w:jc w:val="left"/>
            </w:pPr>
            <w:r>
              <w:rPr>
                <w:b w:val="0"/>
                <w:i w:val="0"/>
                <w:sz w:val="20"/>
              </w:rPr>
              <w:t>Хибинская группа (совокупно)</w:t>
            </w:r>
          </w:p>
        </w:tc>
        <w:tc>
          <w:tcPr>
            <w:tcW w:type="dxa" w:w="1662"/>
          </w:tcPr>
          <w:p>
            <w:pPr>
              <w:spacing w:after="0" w:line="240" w:lineRule="auto"/>
              <w:ind w:firstLine="0"/>
              <w:jc w:val="center"/>
            </w:pPr>
            <w:r>
              <w:rPr>
                <w:b w:val="0"/>
                <w:i w:val="0"/>
                <w:sz w:val="20"/>
              </w:rPr>
              <w:t>Мурманская обл.</w:t>
            </w:r>
          </w:p>
        </w:tc>
        <w:tc>
          <w:tcPr>
            <w:tcW w:type="dxa" w:w="1662"/>
          </w:tcPr>
          <w:p>
            <w:pPr>
              <w:spacing w:after="0" w:line="240" w:lineRule="auto"/>
              <w:ind w:firstLine="0"/>
              <w:jc w:val="center"/>
            </w:pPr>
            <w:r>
              <w:rPr>
                <w:b w:val="0"/>
                <w:i w:val="0"/>
                <w:sz w:val="20"/>
              </w:rPr>
              <w:t>апатит-нефелин</w:t>
            </w:r>
          </w:p>
        </w:tc>
        <w:tc>
          <w:tcPr>
            <w:tcW w:type="dxa" w:w="1662"/>
          </w:tcPr>
          <w:p>
            <w:pPr>
              <w:spacing w:after="0" w:line="240" w:lineRule="auto"/>
              <w:ind w:firstLine="0"/>
              <w:jc w:val="center"/>
            </w:pPr>
            <w:r>
              <w:rPr>
                <w:b w:val="0"/>
                <w:i w:val="0"/>
                <w:sz w:val="20"/>
              </w:rPr>
              <w:t>0,45</w:t>
            </w:r>
          </w:p>
        </w:tc>
        <w:tc>
          <w:tcPr>
            <w:tcW w:type="dxa" w:w="1662"/>
          </w:tcPr>
          <w:p>
            <w:pPr>
              <w:spacing w:after="0" w:line="240" w:lineRule="auto"/>
              <w:ind w:firstLine="0"/>
              <w:jc w:val="center"/>
            </w:pPr>
            <w:r>
              <w:rPr>
                <w:b w:val="0"/>
                <w:i w:val="0"/>
                <w:sz w:val="20"/>
              </w:rPr>
              <w:t>12 500</w:t>
            </w:r>
          </w:p>
        </w:tc>
        <w:tc>
          <w:tcPr>
            <w:tcW w:type="dxa" w:w="1662"/>
          </w:tcPr>
          <w:p>
            <w:pPr>
              <w:spacing w:after="0" w:line="240" w:lineRule="auto"/>
              <w:ind w:firstLine="0"/>
              <w:jc w:val="center"/>
            </w:pPr>
            <w:r>
              <w:rPr>
                <w:b w:val="0"/>
                <w:i w:val="0"/>
                <w:sz w:val="20"/>
              </w:rPr>
              <w:t>ФосАгро</w:t>
            </w:r>
          </w:p>
        </w:tc>
      </w:tr>
      <w:tr>
        <w:tc>
          <w:tcPr>
            <w:tcW w:type="dxa" w:w="1662"/>
          </w:tcPr>
          <w:p>
            <w:pPr>
              <w:spacing w:after="0" w:line="240" w:lineRule="auto"/>
              <w:ind w:firstLine="0"/>
              <w:jc w:val="left"/>
            </w:pPr>
            <w:r>
              <w:rPr>
                <w:b w:val="0"/>
                <w:i w:val="0"/>
                <w:sz w:val="20"/>
              </w:rPr>
              <w:t>Селигдарское</w:t>
            </w:r>
          </w:p>
        </w:tc>
        <w:tc>
          <w:tcPr>
            <w:tcW w:type="dxa" w:w="1662"/>
          </w:tcPr>
          <w:p>
            <w:pPr>
              <w:spacing w:after="0" w:line="240" w:lineRule="auto"/>
              <w:ind w:firstLine="0"/>
              <w:jc w:val="center"/>
            </w:pPr>
            <w:r>
              <w:rPr>
                <w:b w:val="0"/>
                <w:i w:val="0"/>
                <w:sz w:val="20"/>
              </w:rPr>
              <w:t>Респ. Саха (Якутия)</w:t>
            </w:r>
          </w:p>
        </w:tc>
        <w:tc>
          <w:tcPr>
            <w:tcW w:type="dxa" w:w="1662"/>
          </w:tcPr>
          <w:p>
            <w:pPr>
              <w:spacing w:after="0" w:line="240" w:lineRule="auto"/>
              <w:ind w:firstLine="0"/>
              <w:jc w:val="center"/>
            </w:pPr>
            <w:r>
              <w:rPr>
                <w:b w:val="0"/>
                <w:i w:val="0"/>
                <w:sz w:val="20"/>
              </w:rPr>
              <w:t>апатит</w:t>
            </w:r>
          </w:p>
        </w:tc>
        <w:tc>
          <w:tcPr>
            <w:tcW w:type="dxa" w:w="1662"/>
          </w:tcPr>
          <w:p>
            <w:pPr>
              <w:spacing w:after="0" w:line="240" w:lineRule="auto"/>
              <w:ind w:firstLine="0"/>
              <w:jc w:val="center"/>
            </w:pPr>
            <w:r>
              <w:rPr>
                <w:b w:val="0"/>
                <w:i w:val="0"/>
                <w:sz w:val="20"/>
              </w:rPr>
              <w:t>0,3</w:t>
            </w:r>
          </w:p>
        </w:tc>
        <w:tc>
          <w:tcPr>
            <w:tcW w:type="dxa" w:w="1662"/>
          </w:tcPr>
          <w:p>
            <w:pPr>
              <w:spacing w:after="0" w:line="240" w:lineRule="auto"/>
              <w:ind w:firstLine="0"/>
              <w:jc w:val="center"/>
            </w:pPr>
            <w:r>
              <w:rPr>
                <w:b w:val="0"/>
                <w:i w:val="0"/>
                <w:sz w:val="20"/>
              </w:rPr>
              <w:t>260</w:t>
            </w:r>
          </w:p>
        </w:tc>
        <w:tc>
          <w:tcPr>
            <w:tcW w:type="dxa" w:w="1662"/>
          </w:tcPr>
          <w:p>
            <w:pPr>
              <w:spacing w:after="0" w:line="240" w:lineRule="auto"/>
              <w:ind w:firstLine="0"/>
              <w:jc w:val="center"/>
            </w:pPr>
            <w:r>
              <w:rPr>
                <w:b w:val="0"/>
                <w:i w:val="0"/>
                <w:sz w:val="20"/>
              </w:rPr>
              <w:t>нераспределённый фонд</w:t>
            </w:r>
          </w:p>
        </w:tc>
      </w:tr>
      <w:tr>
        <w:tc>
          <w:tcPr>
            <w:tcW w:type="dxa" w:w="1662"/>
          </w:tcPr>
          <w:p>
            <w:pPr>
              <w:spacing w:after="0" w:line="240" w:lineRule="auto"/>
              <w:ind w:firstLine="0"/>
              <w:jc w:val="left"/>
            </w:pPr>
            <w:r>
              <w:rPr>
                <w:b w:val="0"/>
                <w:i w:val="0"/>
                <w:sz w:val="20"/>
              </w:rPr>
              <w:t>Ярегское (попутно)</w:t>
            </w:r>
          </w:p>
        </w:tc>
        <w:tc>
          <w:tcPr>
            <w:tcW w:type="dxa" w:w="1662"/>
          </w:tcPr>
          <w:p>
            <w:pPr>
              <w:spacing w:after="0" w:line="240" w:lineRule="auto"/>
              <w:ind w:firstLine="0"/>
              <w:jc w:val="center"/>
            </w:pPr>
            <w:r>
              <w:rPr>
                <w:b w:val="0"/>
                <w:i w:val="0"/>
                <w:sz w:val="20"/>
              </w:rPr>
              <w:t>Респ. Коми</w:t>
            </w:r>
          </w:p>
        </w:tc>
        <w:tc>
          <w:tcPr>
            <w:tcW w:type="dxa" w:w="1662"/>
          </w:tcPr>
          <w:p>
            <w:pPr>
              <w:spacing w:after="0" w:line="240" w:lineRule="auto"/>
              <w:ind w:firstLine="0"/>
              <w:jc w:val="center"/>
            </w:pPr>
            <w:r>
              <w:rPr>
                <w:b w:val="0"/>
                <w:i w:val="0"/>
                <w:sz w:val="20"/>
              </w:rPr>
              <w:t>титан-нефтеносн.</w:t>
            </w:r>
          </w:p>
        </w:tc>
        <w:tc>
          <w:tcPr>
            <w:tcW w:type="dxa" w:w="1662"/>
          </w:tcPr>
          <w:p>
            <w:pPr>
              <w:spacing w:after="0" w:line="240" w:lineRule="auto"/>
              <w:ind w:firstLine="0"/>
              <w:jc w:val="center"/>
            </w:pPr>
            <w:r>
              <w:rPr>
                <w:b w:val="0"/>
                <w:i w:val="0"/>
                <w:sz w:val="20"/>
              </w:rPr>
              <w:t>0,15</w:t>
            </w:r>
          </w:p>
        </w:tc>
        <w:tc>
          <w:tcPr>
            <w:tcW w:type="dxa" w:w="1662"/>
          </w:tcPr>
          <w:p>
            <w:pPr>
              <w:spacing w:after="0" w:line="240" w:lineRule="auto"/>
              <w:ind w:firstLine="0"/>
              <w:jc w:val="center"/>
            </w:pPr>
            <w:r>
              <w:rPr>
                <w:b w:val="0"/>
                <w:i w:val="0"/>
                <w:sz w:val="20"/>
              </w:rPr>
              <w:t>90</w:t>
            </w:r>
          </w:p>
        </w:tc>
        <w:tc>
          <w:tcPr>
            <w:tcW w:type="dxa" w:w="1662"/>
          </w:tcPr>
          <w:p>
            <w:pPr>
              <w:spacing w:after="0" w:line="240" w:lineRule="auto"/>
              <w:ind w:firstLine="0"/>
              <w:jc w:val="center"/>
            </w:pPr>
            <w:r>
              <w:rPr>
                <w:b w:val="0"/>
                <w:i w:val="0"/>
                <w:sz w:val="20"/>
              </w:rPr>
              <w:t>различные</w:t>
            </w:r>
          </w:p>
        </w:tc>
      </w:tr>
      <w:tr>
        <w:tc>
          <w:tcPr>
            <w:tcW w:type="dxa" w:w="1662"/>
          </w:tcPr>
          <w:p>
            <w:pPr>
              <w:spacing w:after="0" w:line="240" w:lineRule="auto"/>
              <w:ind w:firstLine="0"/>
              <w:jc w:val="left"/>
            </w:pPr>
            <w:r>
              <w:rPr>
                <w:b w:val="0"/>
                <w:i w:val="0"/>
                <w:sz w:val="20"/>
              </w:rPr>
              <w:t>Кия-Шалтырское</w:t>
            </w:r>
          </w:p>
        </w:tc>
        <w:tc>
          <w:tcPr>
            <w:tcW w:type="dxa" w:w="1662"/>
          </w:tcPr>
          <w:p>
            <w:pPr>
              <w:spacing w:after="0" w:line="240" w:lineRule="auto"/>
              <w:ind w:firstLine="0"/>
              <w:jc w:val="center"/>
            </w:pPr>
            <w:r>
              <w:rPr>
                <w:b w:val="0"/>
                <w:i w:val="0"/>
                <w:sz w:val="20"/>
              </w:rPr>
              <w:t>Кемеровская обл.</w:t>
            </w:r>
          </w:p>
        </w:tc>
        <w:tc>
          <w:tcPr>
            <w:tcW w:type="dxa" w:w="1662"/>
          </w:tcPr>
          <w:p>
            <w:pPr>
              <w:spacing w:after="0" w:line="240" w:lineRule="auto"/>
              <w:ind w:firstLine="0"/>
              <w:jc w:val="center"/>
            </w:pPr>
            <w:r>
              <w:rPr>
                <w:b w:val="0"/>
                <w:i w:val="0"/>
                <w:sz w:val="20"/>
              </w:rPr>
              <w:t>уртиты</w:t>
            </w:r>
          </w:p>
        </w:tc>
        <w:tc>
          <w:tcPr>
            <w:tcW w:type="dxa" w:w="1662"/>
          </w:tcPr>
          <w:p>
            <w:pPr>
              <w:spacing w:after="0" w:line="240" w:lineRule="auto"/>
              <w:ind w:firstLine="0"/>
              <w:jc w:val="center"/>
            </w:pPr>
            <w:r>
              <w:rPr>
                <w:b w:val="0"/>
                <w:i w:val="0"/>
                <w:sz w:val="20"/>
              </w:rPr>
              <w:t>0,2</w:t>
            </w:r>
          </w:p>
        </w:tc>
        <w:tc>
          <w:tcPr>
            <w:tcW w:type="dxa" w:w="1662"/>
          </w:tcPr>
          <w:p>
            <w:pPr>
              <w:spacing w:after="0" w:line="240" w:lineRule="auto"/>
              <w:ind w:firstLine="0"/>
              <w:jc w:val="center"/>
            </w:pPr>
            <w:r>
              <w:rPr>
                <w:b w:val="0"/>
                <w:i w:val="0"/>
                <w:sz w:val="20"/>
              </w:rPr>
              <w:t>65</w:t>
            </w:r>
          </w:p>
        </w:tc>
        <w:tc>
          <w:tcPr>
            <w:tcW w:type="dxa" w:w="1662"/>
          </w:tcPr>
          <w:p>
            <w:pPr>
              <w:spacing w:after="0" w:line="240" w:lineRule="auto"/>
              <w:ind w:firstLine="0"/>
              <w:jc w:val="center"/>
            </w:pPr>
            <w:r>
              <w:rPr>
                <w:b w:val="0"/>
                <w:i w:val="0"/>
                <w:sz w:val="20"/>
              </w:rPr>
              <w:t>различные</w:t>
            </w:r>
          </w:p>
        </w:tc>
      </w:tr>
      <w:tr>
        <w:tc>
          <w:tcPr>
            <w:tcW w:type="dxa" w:w="1662"/>
          </w:tcPr>
          <w:p>
            <w:pPr>
              <w:spacing w:after="0" w:line="240" w:lineRule="auto"/>
              <w:ind w:firstLine="0"/>
              <w:jc w:val="left"/>
            </w:pPr>
            <w:r>
              <w:rPr>
                <w:b w:val="0"/>
                <w:i w:val="0"/>
                <w:sz w:val="20"/>
              </w:rPr>
              <w:t>Вишнёвогорское</w:t>
            </w:r>
          </w:p>
        </w:tc>
        <w:tc>
          <w:tcPr>
            <w:tcW w:type="dxa" w:w="1662"/>
          </w:tcPr>
          <w:p>
            <w:pPr>
              <w:spacing w:after="0" w:line="240" w:lineRule="auto"/>
              <w:ind w:firstLine="0"/>
              <w:jc w:val="center"/>
            </w:pPr>
            <w:r>
              <w:rPr>
                <w:b w:val="0"/>
                <w:i w:val="0"/>
                <w:sz w:val="20"/>
              </w:rPr>
              <w:t>Челябинская обл.</w:t>
            </w:r>
          </w:p>
        </w:tc>
        <w:tc>
          <w:tcPr>
            <w:tcW w:type="dxa" w:w="1662"/>
          </w:tcPr>
          <w:p>
            <w:pPr>
              <w:spacing w:after="0" w:line="240" w:lineRule="auto"/>
              <w:ind w:firstLine="0"/>
              <w:jc w:val="center"/>
            </w:pPr>
            <w:r>
              <w:rPr>
                <w:b w:val="0"/>
                <w:i w:val="0"/>
                <w:sz w:val="20"/>
              </w:rPr>
              <w:t>миаскиты</w:t>
            </w:r>
          </w:p>
        </w:tc>
        <w:tc>
          <w:tcPr>
            <w:tcW w:type="dxa" w:w="1662"/>
          </w:tcPr>
          <w:p>
            <w:pPr>
              <w:spacing w:after="0" w:line="240" w:lineRule="auto"/>
              <w:ind w:firstLine="0"/>
              <w:jc w:val="center"/>
            </w:pPr>
            <w:r>
              <w:rPr>
                <w:b w:val="0"/>
                <w:i w:val="0"/>
                <w:sz w:val="20"/>
              </w:rPr>
              <w:t>0,3</w:t>
            </w:r>
          </w:p>
        </w:tc>
        <w:tc>
          <w:tcPr>
            <w:tcW w:type="dxa" w:w="1662"/>
          </w:tcPr>
          <w:p>
            <w:pPr>
              <w:spacing w:after="0" w:line="240" w:lineRule="auto"/>
              <w:ind w:firstLine="0"/>
              <w:jc w:val="center"/>
            </w:pPr>
            <w:r>
              <w:rPr>
                <w:b w:val="0"/>
                <w:i w:val="0"/>
                <w:sz w:val="20"/>
              </w:rPr>
              <w:t>120</w:t>
            </w:r>
          </w:p>
        </w:tc>
        <w:tc>
          <w:tcPr>
            <w:tcW w:type="dxa" w:w="1662"/>
          </w:tcPr>
          <w:p>
            <w:pPr>
              <w:spacing w:after="0" w:line="240" w:lineRule="auto"/>
              <w:ind w:firstLine="0"/>
              <w:jc w:val="center"/>
            </w:pPr>
            <w:r>
              <w:rPr>
                <w:b w:val="0"/>
                <w:i w:val="0"/>
                <w:sz w:val="20"/>
              </w:rPr>
              <w:t>различные</w:t>
            </w:r>
          </w:p>
        </w:tc>
      </w:tr>
    </w:tbl>
    <w:p>
      <w:pPr>
        <w:spacing w:after="180"/>
        <w:ind w:firstLine="0"/>
      </w:pPr>
      <w:r>
        <w:rPr>
          <w:i/>
          <w:sz w:val="20"/>
        </w:rPr>
        <w:t>Источник: аналитический центр по данным Государственного баланса запасов полезных ископаемых РФ и публикаций геологических организаций</w:t>
      </w:r>
    </w:p>
    <w:p>
      <w:pPr>
        <w:keepNext/>
        <w:spacing w:before="160" w:after="60"/>
        <w:ind w:firstLine="0"/>
        <w:jc w:val="left"/>
      </w:pPr>
      <w:r>
        <w:rPr>
          <w:b/>
          <w:sz w:val="22"/>
        </w:rPr>
        <w:t>Таблица 131. Крупнейшие месторождения редкоземельных металлов мира</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Месторождение</w:t>
            </w:r>
          </w:p>
        </w:tc>
        <w:tc>
          <w:tcPr>
            <w:tcW w:type="dxa" w:w="1662"/>
            <w:shd w:val="clear" w:fill="DCE6F1"/>
          </w:tcPr>
          <w:p>
            <w:pPr>
              <w:spacing w:after="0" w:line="240" w:lineRule="auto"/>
              <w:ind w:firstLine="0"/>
              <w:jc w:val="center"/>
            </w:pPr>
            <w:r>
              <w:rPr>
                <w:b/>
                <w:i w:val="0"/>
                <w:sz w:val="20"/>
              </w:rPr>
              <w:t>Страна</w:t>
            </w:r>
          </w:p>
        </w:tc>
        <w:tc>
          <w:tcPr>
            <w:tcW w:type="dxa" w:w="1662"/>
            <w:shd w:val="clear" w:fill="DCE6F1"/>
          </w:tcPr>
          <w:p>
            <w:pPr>
              <w:spacing w:after="0" w:line="240" w:lineRule="auto"/>
              <w:ind w:firstLine="0"/>
              <w:jc w:val="center"/>
            </w:pPr>
            <w:r>
              <w:rPr>
                <w:b/>
                <w:i w:val="0"/>
                <w:sz w:val="20"/>
              </w:rPr>
              <w:t>Тип руд</w:t>
            </w:r>
          </w:p>
        </w:tc>
        <w:tc>
          <w:tcPr>
            <w:tcW w:type="dxa" w:w="1662"/>
            <w:shd w:val="clear" w:fill="DCE6F1"/>
          </w:tcPr>
          <w:p>
            <w:pPr>
              <w:spacing w:after="0" w:line="240" w:lineRule="auto"/>
              <w:ind w:firstLine="0"/>
              <w:jc w:val="center"/>
            </w:pPr>
            <w:r>
              <w:rPr>
                <w:b/>
                <w:i w:val="0"/>
                <w:sz w:val="20"/>
              </w:rPr>
              <w:t>TREO, %</w:t>
            </w:r>
          </w:p>
        </w:tc>
        <w:tc>
          <w:tcPr>
            <w:tcW w:type="dxa" w:w="1662"/>
            <w:shd w:val="clear" w:fill="DCE6F1"/>
          </w:tcPr>
          <w:p>
            <w:pPr>
              <w:spacing w:after="0" w:line="240" w:lineRule="auto"/>
              <w:ind w:firstLine="0"/>
              <w:jc w:val="center"/>
            </w:pPr>
            <w:r>
              <w:rPr>
                <w:b/>
                <w:i w:val="0"/>
                <w:sz w:val="20"/>
              </w:rPr>
              <w:t>Ресурсы TREO, тыс. т</w:t>
            </w:r>
          </w:p>
        </w:tc>
        <w:tc>
          <w:tcPr>
            <w:tcW w:type="dxa" w:w="1662"/>
            <w:shd w:val="clear" w:fill="DCE6F1"/>
          </w:tcPr>
          <w:p>
            <w:pPr>
              <w:spacing w:after="0" w:line="240" w:lineRule="auto"/>
              <w:ind w:firstLine="0"/>
              <w:jc w:val="center"/>
            </w:pPr>
            <w:r>
              <w:rPr>
                <w:b/>
                <w:i w:val="0"/>
                <w:sz w:val="20"/>
              </w:rPr>
              <w:t>Оператор</w:t>
            </w:r>
          </w:p>
        </w:tc>
      </w:tr>
      <w:tr>
        <w:tc>
          <w:tcPr>
            <w:tcW w:type="dxa" w:w="1662"/>
          </w:tcPr>
          <w:p>
            <w:pPr>
              <w:spacing w:after="0" w:line="240" w:lineRule="auto"/>
              <w:ind w:firstLine="0"/>
              <w:jc w:val="left"/>
            </w:pPr>
            <w:r>
              <w:rPr>
                <w:b w:val="0"/>
                <w:i w:val="0"/>
                <w:sz w:val="20"/>
              </w:rPr>
              <w:t>Bayan Obo</w:t>
            </w:r>
          </w:p>
        </w:tc>
        <w:tc>
          <w:tcPr>
            <w:tcW w:type="dxa" w:w="1662"/>
          </w:tcPr>
          <w:p>
            <w:pPr>
              <w:spacing w:after="0" w:line="240" w:lineRule="auto"/>
              <w:ind w:firstLine="0"/>
              <w:jc w:val="center"/>
            </w:pPr>
            <w:r>
              <w:rPr>
                <w:b w:val="0"/>
                <w:i w:val="0"/>
                <w:sz w:val="20"/>
              </w:rPr>
              <w:t>КНР</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5,5</w:t>
            </w:r>
          </w:p>
        </w:tc>
        <w:tc>
          <w:tcPr>
            <w:tcW w:type="dxa" w:w="1662"/>
          </w:tcPr>
          <w:p>
            <w:pPr>
              <w:spacing w:after="0" w:line="240" w:lineRule="auto"/>
              <w:ind w:firstLine="0"/>
              <w:jc w:val="center"/>
            </w:pPr>
            <w:r>
              <w:rPr>
                <w:b w:val="0"/>
                <w:i w:val="0"/>
                <w:sz w:val="20"/>
              </w:rPr>
              <w:t>44 000</w:t>
            </w:r>
          </w:p>
        </w:tc>
        <w:tc>
          <w:tcPr>
            <w:tcW w:type="dxa" w:w="1662"/>
          </w:tcPr>
          <w:p>
            <w:pPr>
              <w:spacing w:after="0" w:line="240" w:lineRule="auto"/>
              <w:ind w:firstLine="0"/>
              <w:jc w:val="center"/>
            </w:pPr>
            <w:r>
              <w:rPr>
                <w:b w:val="0"/>
                <w:i w:val="0"/>
                <w:sz w:val="20"/>
              </w:rPr>
              <w:t>Northern RE Group</w:t>
            </w:r>
          </w:p>
        </w:tc>
      </w:tr>
      <w:tr>
        <w:tc>
          <w:tcPr>
            <w:tcW w:type="dxa" w:w="1662"/>
          </w:tcPr>
          <w:p>
            <w:pPr>
              <w:spacing w:after="0" w:line="240" w:lineRule="auto"/>
              <w:ind w:firstLine="0"/>
              <w:jc w:val="left"/>
            </w:pPr>
            <w:r>
              <w:rPr>
                <w:b w:val="0"/>
                <w:i w:val="0"/>
                <w:sz w:val="20"/>
              </w:rPr>
              <w:t>Maoniuping</w:t>
            </w:r>
          </w:p>
        </w:tc>
        <w:tc>
          <w:tcPr>
            <w:tcW w:type="dxa" w:w="1662"/>
          </w:tcPr>
          <w:p>
            <w:pPr>
              <w:spacing w:after="0" w:line="240" w:lineRule="auto"/>
              <w:ind w:firstLine="0"/>
              <w:jc w:val="center"/>
            </w:pPr>
            <w:r>
              <w:rPr>
                <w:b w:val="0"/>
                <w:i w:val="0"/>
                <w:sz w:val="20"/>
              </w:rPr>
              <w:t>КНР</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2,9</w:t>
            </w:r>
          </w:p>
        </w:tc>
        <w:tc>
          <w:tcPr>
            <w:tcW w:type="dxa" w:w="1662"/>
          </w:tcPr>
          <w:p>
            <w:pPr>
              <w:spacing w:after="0" w:line="240" w:lineRule="auto"/>
              <w:ind w:firstLine="0"/>
              <w:jc w:val="center"/>
            </w:pPr>
            <w:r>
              <w:rPr>
                <w:b w:val="0"/>
                <w:i w:val="0"/>
                <w:sz w:val="20"/>
              </w:rPr>
              <w:t>1 400</w:t>
            </w:r>
          </w:p>
        </w:tc>
        <w:tc>
          <w:tcPr>
            <w:tcW w:type="dxa" w:w="1662"/>
          </w:tcPr>
          <w:p>
            <w:pPr>
              <w:spacing w:after="0" w:line="240" w:lineRule="auto"/>
              <w:ind w:firstLine="0"/>
              <w:jc w:val="center"/>
            </w:pPr>
            <w:r>
              <w:rPr>
                <w:b w:val="0"/>
                <w:i w:val="0"/>
                <w:sz w:val="20"/>
              </w:rPr>
              <w:t>China RE / Shenghe</w:t>
            </w:r>
          </w:p>
        </w:tc>
      </w:tr>
      <w:tr>
        <w:tc>
          <w:tcPr>
            <w:tcW w:type="dxa" w:w="1662"/>
          </w:tcPr>
          <w:p>
            <w:pPr>
              <w:spacing w:after="0" w:line="240" w:lineRule="auto"/>
              <w:ind w:firstLine="0"/>
              <w:jc w:val="left"/>
            </w:pPr>
            <w:r>
              <w:rPr>
                <w:b w:val="0"/>
                <w:i w:val="0"/>
                <w:sz w:val="20"/>
              </w:rPr>
              <w:t>Ганьчжоуская группа</w:t>
            </w:r>
          </w:p>
        </w:tc>
        <w:tc>
          <w:tcPr>
            <w:tcW w:type="dxa" w:w="1662"/>
          </w:tcPr>
          <w:p>
            <w:pPr>
              <w:spacing w:after="0" w:line="240" w:lineRule="auto"/>
              <w:ind w:firstLine="0"/>
              <w:jc w:val="center"/>
            </w:pPr>
            <w:r>
              <w:rPr>
                <w:b w:val="0"/>
                <w:i w:val="0"/>
                <w:sz w:val="20"/>
              </w:rPr>
              <w:t>КНР</w:t>
            </w:r>
          </w:p>
        </w:tc>
        <w:tc>
          <w:tcPr>
            <w:tcW w:type="dxa" w:w="1662"/>
          </w:tcPr>
          <w:p>
            <w:pPr>
              <w:spacing w:after="0" w:line="240" w:lineRule="auto"/>
              <w:ind w:firstLine="0"/>
              <w:jc w:val="center"/>
            </w:pPr>
            <w:r>
              <w:rPr>
                <w:b w:val="0"/>
                <w:i w:val="0"/>
                <w:sz w:val="20"/>
              </w:rPr>
              <w:t>ионно-адсорбц.</w:t>
            </w:r>
          </w:p>
        </w:tc>
        <w:tc>
          <w:tcPr>
            <w:tcW w:type="dxa" w:w="1662"/>
          </w:tcPr>
          <w:p>
            <w:pPr>
              <w:spacing w:after="0" w:line="240" w:lineRule="auto"/>
              <w:ind w:firstLine="0"/>
              <w:jc w:val="center"/>
            </w:pPr>
            <w:r>
              <w:rPr>
                <w:b w:val="0"/>
                <w:i w:val="0"/>
                <w:sz w:val="20"/>
              </w:rPr>
              <w:t>0,10</w:t>
            </w:r>
          </w:p>
        </w:tc>
        <w:tc>
          <w:tcPr>
            <w:tcW w:type="dxa" w:w="1662"/>
          </w:tcPr>
          <w:p>
            <w:pPr>
              <w:spacing w:after="0" w:line="240" w:lineRule="auto"/>
              <w:ind w:firstLine="0"/>
              <w:jc w:val="center"/>
            </w:pPr>
            <w:r>
              <w:rPr>
                <w:b w:val="0"/>
                <w:i w:val="0"/>
                <w:sz w:val="20"/>
              </w:rPr>
              <w:t>1 000</w:t>
            </w:r>
          </w:p>
        </w:tc>
        <w:tc>
          <w:tcPr>
            <w:tcW w:type="dxa" w:w="1662"/>
          </w:tcPr>
          <w:p>
            <w:pPr>
              <w:spacing w:after="0" w:line="240" w:lineRule="auto"/>
              <w:ind w:firstLine="0"/>
              <w:jc w:val="center"/>
            </w:pPr>
            <w:r>
              <w:rPr>
                <w:b w:val="0"/>
                <w:i w:val="0"/>
                <w:sz w:val="20"/>
              </w:rPr>
              <w:t>China RE Group</w:t>
            </w:r>
          </w:p>
        </w:tc>
      </w:tr>
      <w:tr>
        <w:tc>
          <w:tcPr>
            <w:tcW w:type="dxa" w:w="1662"/>
          </w:tcPr>
          <w:p>
            <w:pPr>
              <w:spacing w:after="0" w:line="240" w:lineRule="auto"/>
              <w:ind w:firstLine="0"/>
              <w:jc w:val="left"/>
            </w:pPr>
            <w:r>
              <w:rPr>
                <w:b w:val="0"/>
                <w:i w:val="0"/>
                <w:sz w:val="20"/>
              </w:rPr>
              <w:t>Araxá</w:t>
            </w:r>
          </w:p>
        </w:tc>
        <w:tc>
          <w:tcPr>
            <w:tcW w:type="dxa" w:w="1662"/>
          </w:tcPr>
          <w:p>
            <w:pPr>
              <w:spacing w:after="0" w:line="240" w:lineRule="auto"/>
              <w:ind w:firstLine="0"/>
              <w:jc w:val="center"/>
            </w:pPr>
            <w:r>
              <w:rPr>
                <w:b w:val="0"/>
                <w:i w:val="0"/>
                <w:sz w:val="20"/>
              </w:rPr>
              <w:t>Бразилия</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4,0</w:t>
            </w:r>
          </w:p>
        </w:tc>
        <w:tc>
          <w:tcPr>
            <w:tcW w:type="dxa" w:w="1662"/>
          </w:tcPr>
          <w:p>
            <w:pPr>
              <w:spacing w:after="0" w:line="240" w:lineRule="auto"/>
              <w:ind w:firstLine="0"/>
              <w:jc w:val="center"/>
            </w:pPr>
            <w:r>
              <w:rPr>
                <w:b w:val="0"/>
                <w:i w:val="0"/>
                <w:sz w:val="20"/>
              </w:rPr>
              <w:t>2 000</w:t>
            </w:r>
          </w:p>
        </w:tc>
        <w:tc>
          <w:tcPr>
            <w:tcW w:type="dxa" w:w="1662"/>
          </w:tcPr>
          <w:p>
            <w:pPr>
              <w:spacing w:after="0" w:line="240" w:lineRule="auto"/>
              <w:ind w:firstLine="0"/>
              <w:jc w:val="center"/>
            </w:pPr>
            <w:r>
              <w:rPr>
                <w:b w:val="0"/>
                <w:i w:val="0"/>
                <w:sz w:val="20"/>
              </w:rPr>
              <w:t>CBMM / прочие</w:t>
            </w:r>
          </w:p>
        </w:tc>
      </w:tr>
      <w:tr>
        <w:tc>
          <w:tcPr>
            <w:tcW w:type="dxa" w:w="1662"/>
          </w:tcPr>
          <w:p>
            <w:pPr>
              <w:spacing w:after="0" w:line="240" w:lineRule="auto"/>
              <w:ind w:firstLine="0"/>
              <w:jc w:val="left"/>
            </w:pPr>
            <w:r>
              <w:rPr>
                <w:b w:val="0"/>
                <w:i w:val="0"/>
                <w:sz w:val="20"/>
              </w:rPr>
              <w:t>Serra Verde</w:t>
            </w:r>
          </w:p>
        </w:tc>
        <w:tc>
          <w:tcPr>
            <w:tcW w:type="dxa" w:w="1662"/>
          </w:tcPr>
          <w:p>
            <w:pPr>
              <w:spacing w:after="0" w:line="240" w:lineRule="auto"/>
              <w:ind w:firstLine="0"/>
              <w:jc w:val="center"/>
            </w:pPr>
            <w:r>
              <w:rPr>
                <w:b w:val="0"/>
                <w:i w:val="0"/>
                <w:sz w:val="20"/>
              </w:rPr>
              <w:t>Бразилия</w:t>
            </w:r>
          </w:p>
        </w:tc>
        <w:tc>
          <w:tcPr>
            <w:tcW w:type="dxa" w:w="1662"/>
          </w:tcPr>
          <w:p>
            <w:pPr>
              <w:spacing w:after="0" w:line="240" w:lineRule="auto"/>
              <w:ind w:firstLine="0"/>
              <w:jc w:val="center"/>
            </w:pPr>
            <w:r>
              <w:rPr>
                <w:b w:val="0"/>
                <w:i w:val="0"/>
                <w:sz w:val="20"/>
              </w:rPr>
              <w:t>ионно-адсорбц.</w:t>
            </w:r>
          </w:p>
        </w:tc>
        <w:tc>
          <w:tcPr>
            <w:tcW w:type="dxa" w:w="1662"/>
          </w:tcPr>
          <w:p>
            <w:pPr>
              <w:spacing w:after="0" w:line="240" w:lineRule="auto"/>
              <w:ind w:firstLine="0"/>
              <w:jc w:val="center"/>
            </w:pPr>
            <w:r>
              <w:rPr>
                <w:b w:val="0"/>
                <w:i w:val="0"/>
                <w:sz w:val="20"/>
              </w:rPr>
              <w:t>0,15</w:t>
            </w:r>
          </w:p>
        </w:tc>
        <w:tc>
          <w:tcPr>
            <w:tcW w:type="dxa" w:w="1662"/>
          </w:tcPr>
          <w:p>
            <w:pPr>
              <w:spacing w:after="0" w:line="240" w:lineRule="auto"/>
              <w:ind w:firstLine="0"/>
              <w:jc w:val="center"/>
            </w:pPr>
            <w:r>
              <w:rPr>
                <w:b w:val="0"/>
                <w:i w:val="0"/>
                <w:sz w:val="20"/>
              </w:rPr>
              <w:t>900</w:t>
            </w:r>
          </w:p>
        </w:tc>
        <w:tc>
          <w:tcPr>
            <w:tcW w:type="dxa" w:w="1662"/>
          </w:tcPr>
          <w:p>
            <w:pPr>
              <w:spacing w:after="0" w:line="240" w:lineRule="auto"/>
              <w:ind w:firstLine="0"/>
              <w:jc w:val="center"/>
            </w:pPr>
            <w:r>
              <w:rPr>
                <w:b w:val="0"/>
                <w:i w:val="0"/>
                <w:sz w:val="20"/>
              </w:rPr>
              <w:t>Serra Verde</w:t>
            </w:r>
          </w:p>
        </w:tc>
      </w:tr>
      <w:tr>
        <w:tc>
          <w:tcPr>
            <w:tcW w:type="dxa" w:w="1662"/>
          </w:tcPr>
          <w:p>
            <w:pPr>
              <w:spacing w:after="0" w:line="240" w:lineRule="auto"/>
              <w:ind w:firstLine="0"/>
              <w:jc w:val="left"/>
            </w:pPr>
            <w:r>
              <w:rPr>
                <w:b w:val="0"/>
                <w:i w:val="0"/>
                <w:sz w:val="20"/>
              </w:rPr>
              <w:t>Caldeira</w:t>
            </w:r>
          </w:p>
        </w:tc>
        <w:tc>
          <w:tcPr>
            <w:tcW w:type="dxa" w:w="1662"/>
          </w:tcPr>
          <w:p>
            <w:pPr>
              <w:spacing w:after="0" w:line="240" w:lineRule="auto"/>
              <w:ind w:firstLine="0"/>
              <w:jc w:val="center"/>
            </w:pPr>
            <w:r>
              <w:rPr>
                <w:b w:val="0"/>
                <w:i w:val="0"/>
                <w:sz w:val="20"/>
              </w:rPr>
              <w:t>Бразилия</w:t>
            </w:r>
          </w:p>
        </w:tc>
        <w:tc>
          <w:tcPr>
            <w:tcW w:type="dxa" w:w="1662"/>
          </w:tcPr>
          <w:p>
            <w:pPr>
              <w:spacing w:after="0" w:line="240" w:lineRule="auto"/>
              <w:ind w:firstLine="0"/>
              <w:jc w:val="center"/>
            </w:pPr>
            <w:r>
              <w:rPr>
                <w:b w:val="0"/>
                <w:i w:val="0"/>
                <w:sz w:val="20"/>
              </w:rPr>
              <w:t>ионно-адсорбц.</w:t>
            </w:r>
          </w:p>
        </w:tc>
        <w:tc>
          <w:tcPr>
            <w:tcW w:type="dxa" w:w="1662"/>
          </w:tcPr>
          <w:p>
            <w:pPr>
              <w:spacing w:after="0" w:line="240" w:lineRule="auto"/>
              <w:ind w:firstLine="0"/>
              <w:jc w:val="center"/>
            </w:pPr>
            <w:r>
              <w:rPr>
                <w:b w:val="0"/>
                <w:i w:val="0"/>
                <w:sz w:val="20"/>
              </w:rPr>
              <w:t>0,25</w:t>
            </w:r>
          </w:p>
        </w:tc>
        <w:tc>
          <w:tcPr>
            <w:tcW w:type="dxa" w:w="1662"/>
          </w:tcPr>
          <w:p>
            <w:pPr>
              <w:spacing w:after="0" w:line="240" w:lineRule="auto"/>
              <w:ind w:firstLine="0"/>
              <w:jc w:val="center"/>
            </w:pPr>
            <w:r>
              <w:rPr>
                <w:b w:val="0"/>
                <w:i w:val="0"/>
                <w:sz w:val="20"/>
              </w:rPr>
              <w:t>500</w:t>
            </w:r>
          </w:p>
        </w:tc>
        <w:tc>
          <w:tcPr>
            <w:tcW w:type="dxa" w:w="1662"/>
          </w:tcPr>
          <w:p>
            <w:pPr>
              <w:spacing w:after="0" w:line="240" w:lineRule="auto"/>
              <w:ind w:firstLine="0"/>
              <w:jc w:val="center"/>
            </w:pPr>
            <w:r>
              <w:rPr>
                <w:b w:val="0"/>
                <w:i w:val="0"/>
                <w:sz w:val="20"/>
              </w:rPr>
              <w:t>Meteoric Resources</w:t>
            </w:r>
          </w:p>
        </w:tc>
      </w:tr>
      <w:tr>
        <w:tc>
          <w:tcPr>
            <w:tcW w:type="dxa" w:w="1662"/>
          </w:tcPr>
          <w:p>
            <w:pPr>
              <w:spacing w:after="0" w:line="240" w:lineRule="auto"/>
              <w:ind w:firstLine="0"/>
              <w:jc w:val="left"/>
            </w:pPr>
            <w:r>
              <w:rPr>
                <w:b w:val="0"/>
                <w:i w:val="0"/>
                <w:sz w:val="20"/>
              </w:rPr>
              <w:t>Mount Weld</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кора выветривания</w:t>
            </w:r>
          </w:p>
        </w:tc>
        <w:tc>
          <w:tcPr>
            <w:tcW w:type="dxa" w:w="1662"/>
          </w:tcPr>
          <w:p>
            <w:pPr>
              <w:spacing w:after="0" w:line="240" w:lineRule="auto"/>
              <w:ind w:firstLine="0"/>
              <w:jc w:val="center"/>
            </w:pPr>
            <w:r>
              <w:rPr>
                <w:b w:val="0"/>
                <w:i w:val="0"/>
                <w:sz w:val="20"/>
              </w:rPr>
              <w:t>9,5</w:t>
            </w:r>
          </w:p>
        </w:tc>
        <w:tc>
          <w:tcPr>
            <w:tcW w:type="dxa" w:w="1662"/>
          </w:tcPr>
          <w:p>
            <w:pPr>
              <w:spacing w:after="0" w:line="240" w:lineRule="auto"/>
              <w:ind w:firstLine="0"/>
              <w:jc w:val="center"/>
            </w:pPr>
            <w:r>
              <w:rPr>
                <w:b w:val="0"/>
                <w:i w:val="0"/>
                <w:sz w:val="20"/>
              </w:rPr>
              <w:t>1 750</w:t>
            </w:r>
          </w:p>
        </w:tc>
        <w:tc>
          <w:tcPr>
            <w:tcW w:type="dxa" w:w="1662"/>
          </w:tcPr>
          <w:p>
            <w:pPr>
              <w:spacing w:after="0" w:line="240" w:lineRule="auto"/>
              <w:ind w:firstLine="0"/>
              <w:jc w:val="center"/>
            </w:pPr>
            <w:r>
              <w:rPr>
                <w:b w:val="0"/>
                <w:i w:val="0"/>
                <w:sz w:val="20"/>
              </w:rPr>
              <w:t>Lynas</w:t>
            </w:r>
          </w:p>
        </w:tc>
      </w:tr>
      <w:tr>
        <w:tc>
          <w:tcPr>
            <w:tcW w:type="dxa" w:w="1662"/>
          </w:tcPr>
          <w:p>
            <w:pPr>
              <w:spacing w:after="0" w:line="240" w:lineRule="auto"/>
              <w:ind w:firstLine="0"/>
              <w:jc w:val="left"/>
            </w:pPr>
            <w:r>
              <w:rPr>
                <w:b w:val="0"/>
                <w:i w:val="0"/>
                <w:sz w:val="20"/>
              </w:rPr>
              <w:t>Nolans Bore</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апатит-алланит</w:t>
            </w:r>
          </w:p>
        </w:tc>
        <w:tc>
          <w:tcPr>
            <w:tcW w:type="dxa" w:w="1662"/>
          </w:tcPr>
          <w:p>
            <w:pPr>
              <w:spacing w:after="0" w:line="240" w:lineRule="auto"/>
              <w:ind w:firstLine="0"/>
              <w:jc w:val="center"/>
            </w:pPr>
            <w:r>
              <w:rPr>
                <w:b w:val="0"/>
                <w:i w:val="0"/>
                <w:sz w:val="20"/>
              </w:rPr>
              <w:t>2,6</w:t>
            </w:r>
          </w:p>
        </w:tc>
        <w:tc>
          <w:tcPr>
            <w:tcW w:type="dxa" w:w="1662"/>
          </w:tcPr>
          <w:p>
            <w:pPr>
              <w:spacing w:after="0" w:line="240" w:lineRule="auto"/>
              <w:ind w:firstLine="0"/>
              <w:jc w:val="center"/>
            </w:pPr>
            <w:r>
              <w:rPr>
                <w:b w:val="0"/>
                <w:i w:val="0"/>
                <w:sz w:val="20"/>
              </w:rPr>
              <w:t>1 250</w:t>
            </w:r>
          </w:p>
        </w:tc>
        <w:tc>
          <w:tcPr>
            <w:tcW w:type="dxa" w:w="1662"/>
          </w:tcPr>
          <w:p>
            <w:pPr>
              <w:spacing w:after="0" w:line="240" w:lineRule="auto"/>
              <w:ind w:firstLine="0"/>
              <w:jc w:val="center"/>
            </w:pPr>
            <w:r>
              <w:rPr>
                <w:b w:val="0"/>
                <w:i w:val="0"/>
                <w:sz w:val="20"/>
              </w:rPr>
              <w:t>Arafura</w:t>
            </w:r>
          </w:p>
        </w:tc>
      </w:tr>
      <w:tr>
        <w:tc>
          <w:tcPr>
            <w:tcW w:type="dxa" w:w="1662"/>
          </w:tcPr>
          <w:p>
            <w:pPr>
              <w:spacing w:after="0" w:line="240" w:lineRule="auto"/>
              <w:ind w:firstLine="0"/>
              <w:jc w:val="left"/>
            </w:pPr>
            <w:r>
              <w:rPr>
                <w:b w:val="0"/>
                <w:i w:val="0"/>
                <w:sz w:val="20"/>
              </w:rPr>
              <w:t>Eneabba</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складир. концентраты</w:t>
            </w:r>
          </w:p>
        </w:tc>
        <w:tc>
          <w:tcPr>
            <w:tcW w:type="dxa" w:w="1662"/>
          </w:tcPr>
          <w:p>
            <w:pPr>
              <w:spacing w:after="0" w:line="240" w:lineRule="auto"/>
              <w:ind w:firstLine="0"/>
              <w:jc w:val="center"/>
            </w:pPr>
            <w:r>
              <w:rPr>
                <w:b w:val="0"/>
                <w:i w:val="0"/>
                <w:sz w:val="20"/>
              </w:rPr>
              <w:t>20–90</w:t>
            </w:r>
          </w:p>
        </w:tc>
        <w:tc>
          <w:tcPr>
            <w:tcW w:type="dxa" w:w="1662"/>
          </w:tcPr>
          <w:p>
            <w:pPr>
              <w:spacing w:after="0" w:line="240" w:lineRule="auto"/>
              <w:ind w:firstLine="0"/>
              <w:jc w:val="center"/>
            </w:pPr>
            <w:r>
              <w:rPr>
                <w:b w:val="0"/>
                <w:i w:val="0"/>
                <w:sz w:val="20"/>
              </w:rPr>
              <w:t>850</w:t>
            </w:r>
          </w:p>
        </w:tc>
        <w:tc>
          <w:tcPr>
            <w:tcW w:type="dxa" w:w="1662"/>
          </w:tcPr>
          <w:p>
            <w:pPr>
              <w:spacing w:after="0" w:line="240" w:lineRule="auto"/>
              <w:ind w:firstLine="0"/>
              <w:jc w:val="center"/>
            </w:pPr>
            <w:r>
              <w:rPr>
                <w:b w:val="0"/>
                <w:i w:val="0"/>
                <w:sz w:val="20"/>
              </w:rPr>
              <w:t>Iluka</w:t>
            </w:r>
          </w:p>
        </w:tc>
      </w:tr>
      <w:tr>
        <w:tc>
          <w:tcPr>
            <w:tcW w:type="dxa" w:w="1662"/>
          </w:tcPr>
          <w:p>
            <w:pPr>
              <w:spacing w:after="0" w:line="240" w:lineRule="auto"/>
              <w:ind w:firstLine="0"/>
              <w:jc w:val="left"/>
            </w:pPr>
            <w:r>
              <w:rPr>
                <w:b w:val="0"/>
                <w:i w:val="0"/>
                <w:sz w:val="20"/>
              </w:rPr>
              <w:t>Browns Range</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ксенотим</w:t>
            </w:r>
          </w:p>
        </w:tc>
        <w:tc>
          <w:tcPr>
            <w:tcW w:type="dxa" w:w="1662"/>
          </w:tcPr>
          <w:p>
            <w:pPr>
              <w:spacing w:after="0" w:line="240" w:lineRule="auto"/>
              <w:ind w:firstLine="0"/>
              <w:jc w:val="center"/>
            </w:pPr>
            <w:r>
              <w:rPr>
                <w:b w:val="0"/>
                <w:i w:val="0"/>
                <w:sz w:val="20"/>
              </w:rPr>
              <w:t>0,8</w:t>
            </w:r>
          </w:p>
        </w:tc>
        <w:tc>
          <w:tcPr>
            <w:tcW w:type="dxa" w:w="1662"/>
          </w:tcPr>
          <w:p>
            <w:pPr>
              <w:spacing w:after="0" w:line="240" w:lineRule="auto"/>
              <w:ind w:firstLine="0"/>
              <w:jc w:val="center"/>
            </w:pPr>
            <w:r>
              <w:rPr>
                <w:b w:val="0"/>
                <w:i w:val="0"/>
                <w:sz w:val="20"/>
              </w:rPr>
              <w:t>125</w:t>
            </w:r>
          </w:p>
        </w:tc>
        <w:tc>
          <w:tcPr>
            <w:tcW w:type="dxa" w:w="1662"/>
          </w:tcPr>
          <w:p>
            <w:pPr>
              <w:spacing w:after="0" w:line="240" w:lineRule="auto"/>
              <w:ind w:firstLine="0"/>
              <w:jc w:val="center"/>
            </w:pPr>
            <w:r>
              <w:rPr>
                <w:b w:val="0"/>
                <w:i w:val="0"/>
                <w:sz w:val="20"/>
              </w:rPr>
              <w:t>Northern Minerals</w:t>
            </w:r>
          </w:p>
        </w:tc>
      </w:tr>
      <w:tr>
        <w:tc>
          <w:tcPr>
            <w:tcW w:type="dxa" w:w="1662"/>
          </w:tcPr>
          <w:p>
            <w:pPr>
              <w:spacing w:after="0" w:line="240" w:lineRule="auto"/>
              <w:ind w:firstLine="0"/>
              <w:jc w:val="left"/>
            </w:pPr>
            <w:r>
              <w:rPr>
                <w:b w:val="0"/>
                <w:i w:val="0"/>
                <w:sz w:val="20"/>
              </w:rPr>
              <w:t>Dubbo</w:t>
            </w:r>
          </w:p>
        </w:tc>
        <w:tc>
          <w:tcPr>
            <w:tcW w:type="dxa" w:w="1662"/>
          </w:tcPr>
          <w:p>
            <w:pPr>
              <w:spacing w:after="0" w:line="240" w:lineRule="auto"/>
              <w:ind w:firstLine="0"/>
              <w:jc w:val="center"/>
            </w:pPr>
            <w:r>
              <w:rPr>
                <w:b w:val="0"/>
                <w:i w:val="0"/>
                <w:sz w:val="20"/>
              </w:rPr>
              <w:t>Австралия</w:t>
            </w:r>
          </w:p>
        </w:tc>
        <w:tc>
          <w:tcPr>
            <w:tcW w:type="dxa" w:w="1662"/>
          </w:tcPr>
          <w:p>
            <w:pPr>
              <w:spacing w:after="0" w:line="240" w:lineRule="auto"/>
              <w:ind w:firstLine="0"/>
              <w:jc w:val="center"/>
            </w:pPr>
            <w:r>
              <w:rPr>
                <w:b w:val="0"/>
                <w:i w:val="0"/>
                <w:sz w:val="20"/>
              </w:rPr>
              <w:t>щелочной</w:t>
            </w:r>
          </w:p>
        </w:tc>
        <w:tc>
          <w:tcPr>
            <w:tcW w:type="dxa" w:w="1662"/>
          </w:tcPr>
          <w:p>
            <w:pPr>
              <w:spacing w:after="0" w:line="240" w:lineRule="auto"/>
              <w:ind w:firstLine="0"/>
              <w:jc w:val="center"/>
            </w:pPr>
            <w:r>
              <w:rPr>
                <w:b w:val="0"/>
                <w:i w:val="0"/>
                <w:sz w:val="20"/>
              </w:rPr>
              <w:t>0,9</w:t>
            </w:r>
          </w:p>
        </w:tc>
        <w:tc>
          <w:tcPr>
            <w:tcW w:type="dxa" w:w="1662"/>
          </w:tcPr>
          <w:p>
            <w:pPr>
              <w:spacing w:after="0" w:line="240" w:lineRule="auto"/>
              <w:ind w:firstLine="0"/>
              <w:jc w:val="center"/>
            </w:pPr>
            <w:r>
              <w:rPr>
                <w:b w:val="0"/>
                <w:i w:val="0"/>
                <w:sz w:val="20"/>
              </w:rPr>
              <w:t>600</w:t>
            </w:r>
          </w:p>
        </w:tc>
        <w:tc>
          <w:tcPr>
            <w:tcW w:type="dxa" w:w="1662"/>
          </w:tcPr>
          <w:p>
            <w:pPr>
              <w:spacing w:after="0" w:line="240" w:lineRule="auto"/>
              <w:ind w:firstLine="0"/>
              <w:jc w:val="center"/>
            </w:pPr>
            <w:r>
              <w:rPr>
                <w:b w:val="0"/>
                <w:i w:val="0"/>
                <w:sz w:val="20"/>
              </w:rPr>
              <w:t>ASM</w:t>
            </w:r>
          </w:p>
        </w:tc>
      </w:tr>
      <w:tr>
        <w:tc>
          <w:tcPr>
            <w:tcW w:type="dxa" w:w="1662"/>
          </w:tcPr>
          <w:p>
            <w:pPr>
              <w:spacing w:after="0" w:line="240" w:lineRule="auto"/>
              <w:ind w:firstLine="0"/>
              <w:jc w:val="left"/>
            </w:pPr>
            <w:r>
              <w:rPr>
                <w:b w:val="0"/>
                <w:i w:val="0"/>
                <w:sz w:val="20"/>
              </w:rPr>
              <w:t>Mountain Pass</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7,0</w:t>
            </w:r>
          </w:p>
        </w:tc>
        <w:tc>
          <w:tcPr>
            <w:tcW w:type="dxa" w:w="1662"/>
          </w:tcPr>
          <w:p>
            <w:pPr>
              <w:spacing w:after="0" w:line="240" w:lineRule="auto"/>
              <w:ind w:firstLine="0"/>
              <w:jc w:val="center"/>
            </w:pPr>
            <w:r>
              <w:rPr>
                <w:b w:val="0"/>
                <w:i w:val="0"/>
                <w:sz w:val="20"/>
              </w:rPr>
              <w:t>1 550</w:t>
            </w:r>
          </w:p>
        </w:tc>
        <w:tc>
          <w:tcPr>
            <w:tcW w:type="dxa" w:w="1662"/>
          </w:tcPr>
          <w:p>
            <w:pPr>
              <w:spacing w:after="0" w:line="240" w:lineRule="auto"/>
              <w:ind w:firstLine="0"/>
              <w:jc w:val="center"/>
            </w:pPr>
            <w:r>
              <w:rPr>
                <w:b w:val="0"/>
                <w:i w:val="0"/>
                <w:sz w:val="20"/>
              </w:rPr>
              <w:t>MP Materials</w:t>
            </w:r>
          </w:p>
        </w:tc>
      </w:tr>
      <w:tr>
        <w:tc>
          <w:tcPr>
            <w:tcW w:type="dxa" w:w="1662"/>
          </w:tcPr>
          <w:p>
            <w:pPr>
              <w:spacing w:after="0" w:line="240" w:lineRule="auto"/>
              <w:ind w:firstLine="0"/>
              <w:jc w:val="left"/>
            </w:pPr>
            <w:r>
              <w:rPr>
                <w:b w:val="0"/>
                <w:i w:val="0"/>
                <w:sz w:val="20"/>
              </w:rPr>
              <w:t>Bear Lodge</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2,9</w:t>
            </w:r>
          </w:p>
        </w:tc>
        <w:tc>
          <w:tcPr>
            <w:tcW w:type="dxa" w:w="1662"/>
          </w:tcPr>
          <w:p>
            <w:pPr>
              <w:spacing w:after="0" w:line="240" w:lineRule="auto"/>
              <w:ind w:firstLine="0"/>
              <w:jc w:val="center"/>
            </w:pPr>
            <w:r>
              <w:rPr>
                <w:b w:val="0"/>
                <w:i w:val="0"/>
                <w:sz w:val="20"/>
              </w:rPr>
              <w:t>500</w:t>
            </w:r>
          </w:p>
        </w:tc>
        <w:tc>
          <w:tcPr>
            <w:tcW w:type="dxa" w:w="1662"/>
          </w:tcPr>
          <w:p>
            <w:pPr>
              <w:spacing w:after="0" w:line="240" w:lineRule="auto"/>
              <w:ind w:firstLine="0"/>
              <w:jc w:val="center"/>
            </w:pPr>
            <w:r>
              <w:rPr>
                <w:b w:val="0"/>
                <w:i w:val="0"/>
                <w:sz w:val="20"/>
              </w:rPr>
              <w:t>Rare Element Res.</w:t>
            </w:r>
          </w:p>
        </w:tc>
      </w:tr>
      <w:tr>
        <w:tc>
          <w:tcPr>
            <w:tcW w:type="dxa" w:w="1662"/>
          </w:tcPr>
          <w:p>
            <w:pPr>
              <w:spacing w:after="0" w:line="240" w:lineRule="auto"/>
              <w:ind w:firstLine="0"/>
              <w:jc w:val="left"/>
            </w:pPr>
            <w:r>
              <w:rPr>
                <w:b w:val="0"/>
                <w:i w:val="0"/>
                <w:sz w:val="20"/>
              </w:rPr>
              <w:t>Round Top</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риолитовый</w:t>
            </w:r>
          </w:p>
        </w:tc>
        <w:tc>
          <w:tcPr>
            <w:tcW w:type="dxa" w:w="1662"/>
          </w:tcPr>
          <w:p>
            <w:pPr>
              <w:spacing w:after="0" w:line="240" w:lineRule="auto"/>
              <w:ind w:firstLine="0"/>
              <w:jc w:val="center"/>
            </w:pPr>
            <w:r>
              <w:rPr>
                <w:b w:val="0"/>
                <w:i w:val="0"/>
                <w:sz w:val="20"/>
              </w:rPr>
              <w:t>0,06</w:t>
            </w:r>
          </w:p>
        </w:tc>
        <w:tc>
          <w:tcPr>
            <w:tcW w:type="dxa" w:w="1662"/>
          </w:tcPr>
          <w:p>
            <w:pPr>
              <w:spacing w:after="0" w:line="240" w:lineRule="auto"/>
              <w:ind w:firstLine="0"/>
              <w:jc w:val="center"/>
            </w:pPr>
            <w:r>
              <w:rPr>
                <w:b w:val="0"/>
                <w:i w:val="0"/>
                <w:sz w:val="20"/>
              </w:rPr>
              <w:t>650</w:t>
            </w:r>
          </w:p>
        </w:tc>
        <w:tc>
          <w:tcPr>
            <w:tcW w:type="dxa" w:w="1662"/>
          </w:tcPr>
          <w:p>
            <w:pPr>
              <w:spacing w:after="0" w:line="240" w:lineRule="auto"/>
              <w:ind w:firstLine="0"/>
              <w:jc w:val="center"/>
            </w:pPr>
            <w:r>
              <w:rPr>
                <w:b w:val="0"/>
                <w:i w:val="0"/>
                <w:sz w:val="20"/>
              </w:rPr>
              <w:t>TMRC</w:t>
            </w:r>
          </w:p>
        </w:tc>
      </w:tr>
      <w:tr>
        <w:tc>
          <w:tcPr>
            <w:tcW w:type="dxa" w:w="1662"/>
          </w:tcPr>
          <w:p>
            <w:pPr>
              <w:spacing w:after="0" w:line="240" w:lineRule="auto"/>
              <w:ind w:firstLine="0"/>
              <w:jc w:val="left"/>
            </w:pPr>
            <w:r>
              <w:rPr>
                <w:b w:val="0"/>
                <w:i w:val="0"/>
                <w:sz w:val="20"/>
              </w:rPr>
              <w:t>Elk Creek</w:t>
            </w:r>
          </w:p>
        </w:tc>
        <w:tc>
          <w:tcPr>
            <w:tcW w:type="dxa" w:w="1662"/>
          </w:tcPr>
          <w:p>
            <w:pPr>
              <w:spacing w:after="0" w:line="240" w:lineRule="auto"/>
              <w:ind w:firstLine="0"/>
              <w:jc w:val="center"/>
            </w:pPr>
            <w:r>
              <w:rPr>
                <w:b w:val="0"/>
                <w:i w:val="0"/>
                <w:sz w:val="20"/>
              </w:rPr>
              <w:t>США</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0,5</w:t>
            </w:r>
          </w:p>
        </w:tc>
        <w:tc>
          <w:tcPr>
            <w:tcW w:type="dxa" w:w="1662"/>
          </w:tcPr>
          <w:p>
            <w:pPr>
              <w:spacing w:after="0" w:line="240" w:lineRule="auto"/>
              <w:ind w:firstLine="0"/>
              <w:jc w:val="center"/>
            </w:pPr>
            <w:r>
              <w:rPr>
                <w:b w:val="0"/>
                <w:i w:val="0"/>
                <w:sz w:val="20"/>
              </w:rPr>
              <w:t>250</w:t>
            </w:r>
          </w:p>
        </w:tc>
        <w:tc>
          <w:tcPr>
            <w:tcW w:type="dxa" w:w="1662"/>
          </w:tcPr>
          <w:p>
            <w:pPr>
              <w:spacing w:after="0" w:line="240" w:lineRule="auto"/>
              <w:ind w:firstLine="0"/>
              <w:jc w:val="center"/>
            </w:pPr>
            <w:r>
              <w:rPr>
                <w:b w:val="0"/>
                <w:i w:val="0"/>
                <w:sz w:val="20"/>
              </w:rPr>
              <w:t>NioCorp</w:t>
            </w:r>
          </w:p>
        </w:tc>
      </w:tr>
      <w:tr>
        <w:tc>
          <w:tcPr>
            <w:tcW w:type="dxa" w:w="1662"/>
          </w:tcPr>
          <w:p>
            <w:pPr>
              <w:spacing w:after="0" w:line="240" w:lineRule="auto"/>
              <w:ind w:firstLine="0"/>
              <w:jc w:val="left"/>
            </w:pPr>
            <w:r>
              <w:rPr>
                <w:b w:val="0"/>
                <w:i w:val="0"/>
                <w:sz w:val="20"/>
              </w:rPr>
              <w:t>Nechalacho</w:t>
            </w:r>
          </w:p>
        </w:tc>
        <w:tc>
          <w:tcPr>
            <w:tcW w:type="dxa" w:w="1662"/>
          </w:tcPr>
          <w:p>
            <w:pPr>
              <w:spacing w:after="0" w:line="240" w:lineRule="auto"/>
              <w:ind w:firstLine="0"/>
              <w:jc w:val="center"/>
            </w:pPr>
            <w:r>
              <w:rPr>
                <w:b w:val="0"/>
                <w:i w:val="0"/>
                <w:sz w:val="20"/>
              </w:rPr>
              <w:t>Канада</w:t>
            </w:r>
          </w:p>
        </w:tc>
        <w:tc>
          <w:tcPr>
            <w:tcW w:type="dxa" w:w="1662"/>
          </w:tcPr>
          <w:p>
            <w:pPr>
              <w:spacing w:after="0" w:line="240" w:lineRule="auto"/>
              <w:ind w:firstLine="0"/>
              <w:jc w:val="center"/>
            </w:pPr>
            <w:r>
              <w:rPr>
                <w:b w:val="0"/>
                <w:i w:val="0"/>
                <w:sz w:val="20"/>
              </w:rPr>
              <w:t>щелочной</w:t>
            </w:r>
          </w:p>
        </w:tc>
        <w:tc>
          <w:tcPr>
            <w:tcW w:type="dxa" w:w="1662"/>
          </w:tcPr>
          <w:p>
            <w:pPr>
              <w:spacing w:after="0" w:line="240" w:lineRule="auto"/>
              <w:ind w:firstLine="0"/>
              <w:jc w:val="center"/>
            </w:pPr>
            <w:r>
              <w:rPr>
                <w:b w:val="0"/>
                <w:i w:val="0"/>
                <w:sz w:val="20"/>
              </w:rPr>
              <w:t>2,2</w:t>
            </w:r>
          </w:p>
        </w:tc>
        <w:tc>
          <w:tcPr>
            <w:tcW w:type="dxa" w:w="1662"/>
          </w:tcPr>
          <w:p>
            <w:pPr>
              <w:spacing w:after="0" w:line="240" w:lineRule="auto"/>
              <w:ind w:firstLine="0"/>
              <w:jc w:val="center"/>
            </w:pPr>
            <w:r>
              <w:rPr>
                <w:b w:val="0"/>
                <w:i w:val="0"/>
                <w:sz w:val="20"/>
              </w:rPr>
              <w:t>275</w:t>
            </w:r>
          </w:p>
        </w:tc>
        <w:tc>
          <w:tcPr>
            <w:tcW w:type="dxa" w:w="1662"/>
          </w:tcPr>
          <w:p>
            <w:pPr>
              <w:spacing w:after="0" w:line="240" w:lineRule="auto"/>
              <w:ind w:firstLine="0"/>
              <w:jc w:val="center"/>
            </w:pPr>
            <w:r>
              <w:rPr>
                <w:b w:val="0"/>
                <w:i w:val="0"/>
                <w:sz w:val="20"/>
              </w:rPr>
              <w:t>Vital Metals</w:t>
            </w:r>
          </w:p>
        </w:tc>
      </w:tr>
      <w:tr>
        <w:tc>
          <w:tcPr>
            <w:tcW w:type="dxa" w:w="1662"/>
          </w:tcPr>
          <w:p>
            <w:pPr>
              <w:spacing w:after="0" w:line="240" w:lineRule="auto"/>
              <w:ind w:firstLine="0"/>
              <w:jc w:val="left"/>
            </w:pPr>
            <w:r>
              <w:rPr>
                <w:b w:val="0"/>
                <w:i w:val="0"/>
                <w:sz w:val="20"/>
              </w:rPr>
              <w:t>Ashram</w:t>
            </w:r>
          </w:p>
        </w:tc>
        <w:tc>
          <w:tcPr>
            <w:tcW w:type="dxa" w:w="1662"/>
          </w:tcPr>
          <w:p>
            <w:pPr>
              <w:spacing w:after="0" w:line="240" w:lineRule="auto"/>
              <w:ind w:firstLine="0"/>
              <w:jc w:val="center"/>
            </w:pPr>
            <w:r>
              <w:rPr>
                <w:b w:val="0"/>
                <w:i w:val="0"/>
                <w:sz w:val="20"/>
              </w:rPr>
              <w:t>Канада</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1,8</w:t>
            </w:r>
          </w:p>
        </w:tc>
        <w:tc>
          <w:tcPr>
            <w:tcW w:type="dxa" w:w="1662"/>
          </w:tcPr>
          <w:p>
            <w:pPr>
              <w:spacing w:after="0" w:line="240" w:lineRule="auto"/>
              <w:ind w:firstLine="0"/>
              <w:jc w:val="center"/>
            </w:pPr>
            <w:r>
              <w:rPr>
                <w:b w:val="0"/>
                <w:i w:val="0"/>
                <w:sz w:val="20"/>
              </w:rPr>
              <w:t>1 050</w:t>
            </w:r>
          </w:p>
        </w:tc>
        <w:tc>
          <w:tcPr>
            <w:tcW w:type="dxa" w:w="1662"/>
          </w:tcPr>
          <w:p>
            <w:pPr>
              <w:spacing w:after="0" w:line="240" w:lineRule="auto"/>
              <w:ind w:firstLine="0"/>
              <w:jc w:val="center"/>
            </w:pPr>
            <w:r>
              <w:rPr>
                <w:b w:val="0"/>
                <w:i w:val="0"/>
                <w:sz w:val="20"/>
              </w:rPr>
              <w:t>Commerce Res.</w:t>
            </w:r>
          </w:p>
        </w:tc>
      </w:tr>
      <w:tr>
        <w:tc>
          <w:tcPr>
            <w:tcW w:type="dxa" w:w="1662"/>
          </w:tcPr>
          <w:p>
            <w:pPr>
              <w:spacing w:after="0" w:line="240" w:lineRule="auto"/>
              <w:ind w:firstLine="0"/>
              <w:jc w:val="left"/>
            </w:pPr>
            <w:r>
              <w:rPr>
                <w:b w:val="0"/>
                <w:i w:val="0"/>
                <w:sz w:val="20"/>
              </w:rPr>
              <w:t>Strange Lake</w:t>
            </w:r>
          </w:p>
        </w:tc>
        <w:tc>
          <w:tcPr>
            <w:tcW w:type="dxa" w:w="1662"/>
          </w:tcPr>
          <w:p>
            <w:pPr>
              <w:spacing w:after="0" w:line="240" w:lineRule="auto"/>
              <w:ind w:firstLine="0"/>
              <w:jc w:val="center"/>
            </w:pPr>
            <w:r>
              <w:rPr>
                <w:b w:val="0"/>
                <w:i w:val="0"/>
                <w:sz w:val="20"/>
              </w:rPr>
              <w:t>Канада</w:t>
            </w:r>
          </w:p>
        </w:tc>
        <w:tc>
          <w:tcPr>
            <w:tcW w:type="dxa" w:w="1662"/>
          </w:tcPr>
          <w:p>
            <w:pPr>
              <w:spacing w:after="0" w:line="240" w:lineRule="auto"/>
              <w:ind w:firstLine="0"/>
              <w:jc w:val="center"/>
            </w:pPr>
            <w:r>
              <w:rPr>
                <w:b w:val="0"/>
                <w:i w:val="0"/>
                <w:sz w:val="20"/>
              </w:rPr>
              <w:t>щелочной</w:t>
            </w:r>
          </w:p>
        </w:tc>
        <w:tc>
          <w:tcPr>
            <w:tcW w:type="dxa" w:w="1662"/>
          </w:tcPr>
          <w:p>
            <w:pPr>
              <w:spacing w:after="0" w:line="240" w:lineRule="auto"/>
              <w:ind w:firstLine="0"/>
              <w:jc w:val="center"/>
            </w:pPr>
            <w:r>
              <w:rPr>
                <w:b w:val="0"/>
                <w:i w:val="0"/>
                <w:sz w:val="20"/>
              </w:rPr>
              <w:t>0,9</w:t>
            </w:r>
          </w:p>
        </w:tc>
        <w:tc>
          <w:tcPr>
            <w:tcW w:type="dxa" w:w="1662"/>
          </w:tcPr>
          <w:p>
            <w:pPr>
              <w:spacing w:after="0" w:line="240" w:lineRule="auto"/>
              <w:ind w:firstLine="0"/>
              <w:jc w:val="center"/>
            </w:pPr>
            <w:r>
              <w:rPr>
                <w:b w:val="0"/>
                <w:i w:val="0"/>
                <w:sz w:val="20"/>
              </w:rPr>
              <w:t>500</w:t>
            </w:r>
          </w:p>
        </w:tc>
        <w:tc>
          <w:tcPr>
            <w:tcW w:type="dxa" w:w="1662"/>
          </w:tcPr>
          <w:p>
            <w:pPr>
              <w:spacing w:after="0" w:line="240" w:lineRule="auto"/>
              <w:ind w:firstLine="0"/>
              <w:jc w:val="center"/>
            </w:pPr>
            <w:r>
              <w:rPr>
                <w:b w:val="0"/>
                <w:i w:val="0"/>
                <w:sz w:val="20"/>
              </w:rPr>
              <w:t>Torngat</w:t>
            </w:r>
          </w:p>
        </w:tc>
      </w:tr>
      <w:tr>
        <w:tc>
          <w:tcPr>
            <w:tcW w:type="dxa" w:w="1662"/>
          </w:tcPr>
          <w:p>
            <w:pPr>
              <w:spacing w:after="0" w:line="240" w:lineRule="auto"/>
              <w:ind w:firstLine="0"/>
              <w:jc w:val="left"/>
            </w:pPr>
            <w:r>
              <w:rPr>
                <w:b w:val="0"/>
                <w:i w:val="0"/>
                <w:sz w:val="20"/>
              </w:rPr>
              <w:t>Kvanefjeld</w:t>
            </w:r>
          </w:p>
        </w:tc>
        <w:tc>
          <w:tcPr>
            <w:tcW w:type="dxa" w:w="1662"/>
          </w:tcPr>
          <w:p>
            <w:pPr>
              <w:spacing w:after="0" w:line="240" w:lineRule="auto"/>
              <w:ind w:firstLine="0"/>
              <w:jc w:val="center"/>
            </w:pPr>
            <w:r>
              <w:rPr>
                <w:b w:val="0"/>
                <w:i w:val="0"/>
                <w:sz w:val="20"/>
              </w:rPr>
              <w:t>Гренландия</w:t>
            </w:r>
          </w:p>
        </w:tc>
        <w:tc>
          <w:tcPr>
            <w:tcW w:type="dxa" w:w="1662"/>
          </w:tcPr>
          <w:p>
            <w:pPr>
              <w:spacing w:after="0" w:line="240" w:lineRule="auto"/>
              <w:ind w:firstLine="0"/>
              <w:jc w:val="center"/>
            </w:pPr>
            <w:r>
              <w:rPr>
                <w:b w:val="0"/>
                <w:i w:val="0"/>
                <w:sz w:val="20"/>
              </w:rPr>
              <w:t>щелочной</w:t>
            </w:r>
          </w:p>
        </w:tc>
        <w:tc>
          <w:tcPr>
            <w:tcW w:type="dxa" w:w="1662"/>
          </w:tcPr>
          <w:p>
            <w:pPr>
              <w:spacing w:after="0" w:line="240" w:lineRule="auto"/>
              <w:ind w:firstLine="0"/>
              <w:jc w:val="center"/>
            </w:pPr>
            <w:r>
              <w:rPr>
                <w:b w:val="0"/>
                <w:i w:val="0"/>
                <w:sz w:val="20"/>
              </w:rPr>
              <w:t>1,1</w:t>
            </w:r>
          </w:p>
        </w:tc>
        <w:tc>
          <w:tcPr>
            <w:tcW w:type="dxa" w:w="1662"/>
          </w:tcPr>
          <w:p>
            <w:pPr>
              <w:spacing w:after="0" w:line="240" w:lineRule="auto"/>
              <w:ind w:firstLine="0"/>
              <w:jc w:val="center"/>
            </w:pPr>
            <w:r>
              <w:rPr>
                <w:b w:val="0"/>
                <w:i w:val="0"/>
                <w:sz w:val="20"/>
              </w:rPr>
              <w:t>1 250</w:t>
            </w:r>
          </w:p>
        </w:tc>
        <w:tc>
          <w:tcPr>
            <w:tcW w:type="dxa" w:w="1662"/>
          </w:tcPr>
          <w:p>
            <w:pPr>
              <w:spacing w:after="0" w:line="240" w:lineRule="auto"/>
              <w:ind w:firstLine="0"/>
              <w:jc w:val="center"/>
            </w:pPr>
            <w:r>
              <w:rPr>
                <w:b w:val="0"/>
                <w:i w:val="0"/>
                <w:sz w:val="20"/>
              </w:rPr>
              <w:t>Energy Transition</w:t>
            </w:r>
          </w:p>
        </w:tc>
      </w:tr>
      <w:tr>
        <w:tc>
          <w:tcPr>
            <w:tcW w:type="dxa" w:w="1662"/>
          </w:tcPr>
          <w:p>
            <w:pPr>
              <w:spacing w:after="0" w:line="240" w:lineRule="auto"/>
              <w:ind w:firstLine="0"/>
              <w:jc w:val="left"/>
            </w:pPr>
            <w:r>
              <w:rPr>
                <w:b w:val="0"/>
                <w:i w:val="0"/>
                <w:sz w:val="20"/>
              </w:rPr>
              <w:t>Tanbreez (Кринглерне)</w:t>
            </w:r>
          </w:p>
        </w:tc>
        <w:tc>
          <w:tcPr>
            <w:tcW w:type="dxa" w:w="1662"/>
          </w:tcPr>
          <w:p>
            <w:pPr>
              <w:spacing w:after="0" w:line="240" w:lineRule="auto"/>
              <w:ind w:firstLine="0"/>
              <w:jc w:val="center"/>
            </w:pPr>
            <w:r>
              <w:rPr>
                <w:b w:val="0"/>
                <w:i w:val="0"/>
                <w:sz w:val="20"/>
              </w:rPr>
              <w:t>Гренландия</w:t>
            </w:r>
          </w:p>
        </w:tc>
        <w:tc>
          <w:tcPr>
            <w:tcW w:type="dxa" w:w="1662"/>
          </w:tcPr>
          <w:p>
            <w:pPr>
              <w:spacing w:after="0" w:line="240" w:lineRule="auto"/>
              <w:ind w:firstLine="0"/>
              <w:jc w:val="center"/>
            </w:pPr>
            <w:r>
              <w:rPr>
                <w:b w:val="0"/>
                <w:i w:val="0"/>
                <w:sz w:val="20"/>
              </w:rPr>
              <w:t>эвдиалит</w:t>
            </w:r>
          </w:p>
        </w:tc>
        <w:tc>
          <w:tcPr>
            <w:tcW w:type="dxa" w:w="1662"/>
          </w:tcPr>
          <w:p>
            <w:pPr>
              <w:spacing w:after="0" w:line="240" w:lineRule="auto"/>
              <w:ind w:firstLine="0"/>
              <w:jc w:val="center"/>
            </w:pPr>
            <w:r>
              <w:rPr>
                <w:b w:val="0"/>
                <w:i w:val="0"/>
                <w:sz w:val="20"/>
              </w:rPr>
              <w:t>0,5</w:t>
            </w:r>
          </w:p>
        </w:tc>
        <w:tc>
          <w:tcPr>
            <w:tcW w:type="dxa" w:w="1662"/>
          </w:tcPr>
          <w:p>
            <w:pPr>
              <w:spacing w:after="0" w:line="240" w:lineRule="auto"/>
              <w:ind w:firstLine="0"/>
              <w:jc w:val="center"/>
            </w:pPr>
            <w:r>
              <w:rPr>
                <w:b w:val="0"/>
                <w:i w:val="0"/>
                <w:sz w:val="20"/>
              </w:rPr>
              <w:t>3 000</w:t>
            </w:r>
          </w:p>
        </w:tc>
        <w:tc>
          <w:tcPr>
            <w:tcW w:type="dxa" w:w="1662"/>
          </w:tcPr>
          <w:p>
            <w:pPr>
              <w:spacing w:after="0" w:line="240" w:lineRule="auto"/>
              <w:ind w:firstLine="0"/>
              <w:jc w:val="center"/>
            </w:pPr>
            <w:r>
              <w:rPr>
                <w:b w:val="0"/>
                <w:i w:val="0"/>
                <w:sz w:val="20"/>
              </w:rPr>
              <w:t>Critical Metals</w:t>
            </w:r>
          </w:p>
        </w:tc>
      </w:tr>
      <w:tr>
        <w:tc>
          <w:tcPr>
            <w:tcW w:type="dxa" w:w="1662"/>
          </w:tcPr>
          <w:p>
            <w:pPr>
              <w:spacing w:after="0" w:line="240" w:lineRule="auto"/>
              <w:ind w:firstLine="0"/>
              <w:jc w:val="left"/>
            </w:pPr>
            <w:r>
              <w:rPr>
                <w:b w:val="0"/>
                <w:i w:val="0"/>
                <w:sz w:val="20"/>
              </w:rPr>
              <w:t>Ngualla</w:t>
            </w:r>
          </w:p>
        </w:tc>
        <w:tc>
          <w:tcPr>
            <w:tcW w:type="dxa" w:w="1662"/>
          </w:tcPr>
          <w:p>
            <w:pPr>
              <w:spacing w:after="0" w:line="240" w:lineRule="auto"/>
              <w:ind w:firstLine="0"/>
              <w:jc w:val="center"/>
            </w:pPr>
            <w:r>
              <w:rPr>
                <w:b w:val="0"/>
                <w:i w:val="0"/>
                <w:sz w:val="20"/>
              </w:rPr>
              <w:t>Танзания</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4,8</w:t>
            </w:r>
          </w:p>
        </w:tc>
        <w:tc>
          <w:tcPr>
            <w:tcW w:type="dxa" w:w="1662"/>
          </w:tcPr>
          <w:p>
            <w:pPr>
              <w:spacing w:after="0" w:line="240" w:lineRule="auto"/>
              <w:ind w:firstLine="0"/>
              <w:jc w:val="center"/>
            </w:pPr>
            <w:r>
              <w:rPr>
                <w:b w:val="0"/>
                <w:i w:val="0"/>
                <w:sz w:val="20"/>
              </w:rPr>
              <w:t>850</w:t>
            </w:r>
          </w:p>
        </w:tc>
        <w:tc>
          <w:tcPr>
            <w:tcW w:type="dxa" w:w="1662"/>
          </w:tcPr>
          <w:p>
            <w:pPr>
              <w:spacing w:after="0" w:line="240" w:lineRule="auto"/>
              <w:ind w:firstLine="0"/>
              <w:jc w:val="center"/>
            </w:pPr>
            <w:r>
              <w:rPr>
                <w:b w:val="0"/>
                <w:i w:val="0"/>
                <w:sz w:val="20"/>
              </w:rPr>
              <w:t>Peak Rare Earths</w:t>
            </w:r>
          </w:p>
        </w:tc>
      </w:tr>
      <w:tr>
        <w:tc>
          <w:tcPr>
            <w:tcW w:type="dxa" w:w="1662"/>
          </w:tcPr>
          <w:p>
            <w:pPr>
              <w:spacing w:after="0" w:line="240" w:lineRule="auto"/>
              <w:ind w:firstLine="0"/>
              <w:jc w:val="left"/>
            </w:pPr>
            <w:r>
              <w:rPr>
                <w:b w:val="0"/>
                <w:i w:val="0"/>
                <w:sz w:val="20"/>
              </w:rPr>
              <w:t>Songwe Hill</w:t>
            </w:r>
          </w:p>
        </w:tc>
        <w:tc>
          <w:tcPr>
            <w:tcW w:type="dxa" w:w="1662"/>
          </w:tcPr>
          <w:p>
            <w:pPr>
              <w:spacing w:after="0" w:line="240" w:lineRule="auto"/>
              <w:ind w:firstLine="0"/>
              <w:jc w:val="center"/>
            </w:pPr>
            <w:r>
              <w:rPr>
                <w:b w:val="0"/>
                <w:i w:val="0"/>
                <w:sz w:val="20"/>
              </w:rPr>
              <w:t>Малави</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1,6</w:t>
            </w:r>
          </w:p>
        </w:tc>
        <w:tc>
          <w:tcPr>
            <w:tcW w:type="dxa" w:w="1662"/>
          </w:tcPr>
          <w:p>
            <w:pPr>
              <w:spacing w:after="0" w:line="240" w:lineRule="auto"/>
              <w:ind w:firstLine="0"/>
              <w:jc w:val="center"/>
            </w:pPr>
            <w:r>
              <w:rPr>
                <w:b w:val="0"/>
                <w:i w:val="0"/>
                <w:sz w:val="20"/>
              </w:rPr>
              <w:t>300</w:t>
            </w:r>
          </w:p>
        </w:tc>
        <w:tc>
          <w:tcPr>
            <w:tcW w:type="dxa" w:w="1662"/>
          </w:tcPr>
          <w:p>
            <w:pPr>
              <w:spacing w:after="0" w:line="240" w:lineRule="auto"/>
              <w:ind w:firstLine="0"/>
              <w:jc w:val="center"/>
            </w:pPr>
            <w:r>
              <w:rPr>
                <w:b w:val="0"/>
                <w:i w:val="0"/>
                <w:sz w:val="20"/>
              </w:rPr>
              <w:t>Mkango Resources</w:t>
            </w:r>
          </w:p>
        </w:tc>
      </w:tr>
      <w:tr>
        <w:tc>
          <w:tcPr>
            <w:tcW w:type="dxa" w:w="1662"/>
          </w:tcPr>
          <w:p>
            <w:pPr>
              <w:spacing w:after="0" w:line="240" w:lineRule="auto"/>
              <w:ind w:firstLine="0"/>
              <w:jc w:val="left"/>
            </w:pPr>
            <w:r>
              <w:rPr>
                <w:b w:val="0"/>
                <w:i w:val="0"/>
                <w:sz w:val="20"/>
              </w:rPr>
              <w:t>Kangankunde</w:t>
            </w:r>
          </w:p>
        </w:tc>
        <w:tc>
          <w:tcPr>
            <w:tcW w:type="dxa" w:w="1662"/>
          </w:tcPr>
          <w:p>
            <w:pPr>
              <w:spacing w:after="0" w:line="240" w:lineRule="auto"/>
              <w:ind w:firstLine="0"/>
              <w:jc w:val="center"/>
            </w:pPr>
            <w:r>
              <w:rPr>
                <w:b w:val="0"/>
                <w:i w:val="0"/>
                <w:sz w:val="20"/>
              </w:rPr>
              <w:t>Малави</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2,9</w:t>
            </w:r>
          </w:p>
        </w:tc>
        <w:tc>
          <w:tcPr>
            <w:tcW w:type="dxa" w:w="1662"/>
          </w:tcPr>
          <w:p>
            <w:pPr>
              <w:spacing w:after="0" w:line="240" w:lineRule="auto"/>
              <w:ind w:firstLine="0"/>
              <w:jc w:val="center"/>
            </w:pPr>
            <w:r>
              <w:rPr>
                <w:b w:val="0"/>
                <w:i w:val="0"/>
                <w:sz w:val="20"/>
              </w:rPr>
              <w:t>260</w:t>
            </w:r>
          </w:p>
        </w:tc>
        <w:tc>
          <w:tcPr>
            <w:tcW w:type="dxa" w:w="1662"/>
          </w:tcPr>
          <w:p>
            <w:pPr>
              <w:spacing w:after="0" w:line="240" w:lineRule="auto"/>
              <w:ind w:firstLine="0"/>
              <w:jc w:val="center"/>
            </w:pPr>
            <w:r>
              <w:rPr>
                <w:b w:val="0"/>
                <w:i w:val="0"/>
                <w:sz w:val="20"/>
              </w:rPr>
              <w:t>Lindian Resources</w:t>
            </w:r>
          </w:p>
        </w:tc>
      </w:tr>
      <w:tr>
        <w:tc>
          <w:tcPr>
            <w:tcW w:type="dxa" w:w="1662"/>
          </w:tcPr>
          <w:p>
            <w:pPr>
              <w:spacing w:after="0" w:line="240" w:lineRule="auto"/>
              <w:ind w:firstLine="0"/>
              <w:jc w:val="left"/>
            </w:pPr>
            <w:r>
              <w:rPr>
                <w:b w:val="0"/>
                <w:i w:val="0"/>
                <w:sz w:val="20"/>
              </w:rPr>
              <w:t>Steenkampskraal</w:t>
            </w:r>
          </w:p>
        </w:tc>
        <w:tc>
          <w:tcPr>
            <w:tcW w:type="dxa" w:w="1662"/>
          </w:tcPr>
          <w:p>
            <w:pPr>
              <w:spacing w:after="0" w:line="240" w:lineRule="auto"/>
              <w:ind w:firstLine="0"/>
              <w:jc w:val="center"/>
            </w:pPr>
            <w:r>
              <w:rPr>
                <w:b w:val="0"/>
                <w:i w:val="0"/>
                <w:sz w:val="20"/>
              </w:rPr>
              <w:t>ЮАР</w:t>
            </w:r>
          </w:p>
        </w:tc>
        <w:tc>
          <w:tcPr>
            <w:tcW w:type="dxa" w:w="1662"/>
          </w:tcPr>
          <w:p>
            <w:pPr>
              <w:spacing w:after="0" w:line="240" w:lineRule="auto"/>
              <w:ind w:firstLine="0"/>
              <w:jc w:val="center"/>
            </w:pPr>
            <w:r>
              <w:rPr>
                <w:b w:val="0"/>
                <w:i w:val="0"/>
                <w:sz w:val="20"/>
              </w:rPr>
              <w:t>монацит</w:t>
            </w:r>
          </w:p>
        </w:tc>
        <w:tc>
          <w:tcPr>
            <w:tcW w:type="dxa" w:w="1662"/>
          </w:tcPr>
          <w:p>
            <w:pPr>
              <w:spacing w:after="0" w:line="240" w:lineRule="auto"/>
              <w:ind w:firstLine="0"/>
              <w:jc w:val="center"/>
            </w:pPr>
            <w:r>
              <w:rPr>
                <w:b w:val="0"/>
                <w:i w:val="0"/>
                <w:sz w:val="20"/>
              </w:rPr>
              <w:t>14,0</w:t>
            </w:r>
          </w:p>
        </w:tc>
        <w:tc>
          <w:tcPr>
            <w:tcW w:type="dxa" w:w="1662"/>
          </w:tcPr>
          <w:p>
            <w:pPr>
              <w:spacing w:after="0" w:line="240" w:lineRule="auto"/>
              <w:ind w:firstLine="0"/>
              <w:jc w:val="center"/>
            </w:pPr>
            <w:r>
              <w:rPr>
                <w:b w:val="0"/>
                <w:i w:val="0"/>
                <w:sz w:val="20"/>
              </w:rPr>
              <w:t>100</w:t>
            </w:r>
          </w:p>
        </w:tc>
        <w:tc>
          <w:tcPr>
            <w:tcW w:type="dxa" w:w="1662"/>
          </w:tcPr>
          <w:p>
            <w:pPr>
              <w:spacing w:after="0" w:line="240" w:lineRule="auto"/>
              <w:ind w:firstLine="0"/>
              <w:jc w:val="center"/>
            </w:pPr>
            <w:r>
              <w:rPr>
                <w:b w:val="0"/>
                <w:i w:val="0"/>
                <w:sz w:val="20"/>
              </w:rPr>
              <w:t>Steenkampskraal RE</w:t>
            </w:r>
          </w:p>
        </w:tc>
      </w:tr>
      <w:tr>
        <w:tc>
          <w:tcPr>
            <w:tcW w:type="dxa" w:w="1662"/>
          </w:tcPr>
          <w:p>
            <w:pPr>
              <w:spacing w:after="0" w:line="240" w:lineRule="auto"/>
              <w:ind w:firstLine="0"/>
              <w:jc w:val="left"/>
            </w:pPr>
            <w:r>
              <w:rPr>
                <w:b w:val="0"/>
                <w:i w:val="0"/>
                <w:sz w:val="20"/>
              </w:rPr>
              <w:t>Lofdal</w:t>
            </w:r>
          </w:p>
        </w:tc>
        <w:tc>
          <w:tcPr>
            <w:tcW w:type="dxa" w:w="1662"/>
          </w:tcPr>
          <w:p>
            <w:pPr>
              <w:spacing w:after="0" w:line="240" w:lineRule="auto"/>
              <w:ind w:firstLine="0"/>
              <w:jc w:val="center"/>
            </w:pPr>
            <w:r>
              <w:rPr>
                <w:b w:val="0"/>
                <w:i w:val="0"/>
                <w:sz w:val="20"/>
              </w:rPr>
              <w:t>Намибия</w:t>
            </w:r>
          </w:p>
        </w:tc>
        <w:tc>
          <w:tcPr>
            <w:tcW w:type="dxa" w:w="1662"/>
          </w:tcPr>
          <w:p>
            <w:pPr>
              <w:spacing w:after="0" w:line="240" w:lineRule="auto"/>
              <w:ind w:firstLine="0"/>
              <w:jc w:val="center"/>
            </w:pPr>
            <w:r>
              <w:rPr>
                <w:b w:val="0"/>
                <w:i w:val="0"/>
                <w:sz w:val="20"/>
              </w:rPr>
              <w:t>ксенотим</w:t>
            </w:r>
          </w:p>
        </w:tc>
        <w:tc>
          <w:tcPr>
            <w:tcW w:type="dxa" w:w="1662"/>
          </w:tcPr>
          <w:p>
            <w:pPr>
              <w:spacing w:after="0" w:line="240" w:lineRule="auto"/>
              <w:ind w:firstLine="0"/>
              <w:jc w:val="center"/>
            </w:pPr>
            <w:r>
              <w:rPr>
                <w:b w:val="0"/>
                <w:i w:val="0"/>
                <w:sz w:val="20"/>
              </w:rPr>
              <w:t>0,3</w:t>
            </w:r>
          </w:p>
        </w:tc>
        <w:tc>
          <w:tcPr>
            <w:tcW w:type="dxa" w:w="1662"/>
          </w:tcPr>
          <w:p>
            <w:pPr>
              <w:spacing w:after="0" w:line="240" w:lineRule="auto"/>
              <w:ind w:firstLine="0"/>
              <w:jc w:val="center"/>
            </w:pPr>
            <w:r>
              <w:rPr>
                <w:b w:val="0"/>
                <w:i w:val="0"/>
                <w:sz w:val="20"/>
              </w:rPr>
              <w:t>80</w:t>
            </w:r>
          </w:p>
        </w:tc>
        <w:tc>
          <w:tcPr>
            <w:tcW w:type="dxa" w:w="1662"/>
          </w:tcPr>
          <w:p>
            <w:pPr>
              <w:spacing w:after="0" w:line="240" w:lineRule="auto"/>
              <w:ind w:firstLine="0"/>
              <w:jc w:val="center"/>
            </w:pPr>
            <w:r>
              <w:rPr>
                <w:b w:val="0"/>
                <w:i w:val="0"/>
                <w:sz w:val="20"/>
              </w:rPr>
              <w:t>Namibia Critical Metals</w:t>
            </w:r>
          </w:p>
        </w:tc>
      </w:tr>
      <w:tr>
        <w:tc>
          <w:tcPr>
            <w:tcW w:type="dxa" w:w="1662"/>
          </w:tcPr>
          <w:p>
            <w:pPr>
              <w:spacing w:after="0" w:line="240" w:lineRule="auto"/>
              <w:ind w:firstLine="0"/>
              <w:jc w:val="left"/>
            </w:pPr>
            <w:r>
              <w:rPr>
                <w:b w:val="0"/>
                <w:i w:val="0"/>
                <w:sz w:val="20"/>
              </w:rPr>
              <w:t>Донгпао</w:t>
            </w:r>
          </w:p>
        </w:tc>
        <w:tc>
          <w:tcPr>
            <w:tcW w:type="dxa" w:w="1662"/>
          </w:tcPr>
          <w:p>
            <w:pPr>
              <w:spacing w:after="0" w:line="240" w:lineRule="auto"/>
              <w:ind w:firstLine="0"/>
              <w:jc w:val="center"/>
            </w:pPr>
            <w:r>
              <w:rPr>
                <w:b w:val="0"/>
                <w:i w:val="0"/>
                <w:sz w:val="20"/>
              </w:rPr>
              <w:t>Вьетнам</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3,0</w:t>
            </w:r>
          </w:p>
        </w:tc>
        <w:tc>
          <w:tcPr>
            <w:tcW w:type="dxa" w:w="1662"/>
          </w:tcPr>
          <w:p>
            <w:pPr>
              <w:spacing w:after="0" w:line="240" w:lineRule="auto"/>
              <w:ind w:firstLine="0"/>
              <w:jc w:val="center"/>
            </w:pPr>
            <w:r>
              <w:rPr>
                <w:b w:val="0"/>
                <w:i w:val="0"/>
                <w:sz w:val="20"/>
              </w:rPr>
              <w:t>850</w:t>
            </w:r>
          </w:p>
        </w:tc>
        <w:tc>
          <w:tcPr>
            <w:tcW w:type="dxa" w:w="1662"/>
          </w:tcPr>
          <w:p>
            <w:pPr>
              <w:spacing w:after="0" w:line="240" w:lineRule="auto"/>
              <w:ind w:firstLine="0"/>
              <w:jc w:val="center"/>
            </w:pPr>
            <w:r>
              <w:rPr>
                <w:b w:val="0"/>
                <w:i w:val="0"/>
                <w:sz w:val="20"/>
              </w:rPr>
              <w:t>VTRE / прочие</w:t>
            </w:r>
          </w:p>
        </w:tc>
      </w:tr>
      <w:tr>
        <w:tc>
          <w:tcPr>
            <w:tcW w:type="dxa" w:w="1662"/>
          </w:tcPr>
          <w:p>
            <w:pPr>
              <w:spacing w:after="0" w:line="240" w:lineRule="auto"/>
              <w:ind w:firstLine="0"/>
              <w:jc w:val="left"/>
            </w:pPr>
            <w:r>
              <w:rPr>
                <w:b w:val="0"/>
                <w:i w:val="0"/>
                <w:sz w:val="20"/>
              </w:rPr>
              <w:t>Чавара, Манавалакуричи</w:t>
            </w:r>
          </w:p>
        </w:tc>
        <w:tc>
          <w:tcPr>
            <w:tcW w:type="dxa" w:w="1662"/>
          </w:tcPr>
          <w:p>
            <w:pPr>
              <w:spacing w:after="0" w:line="240" w:lineRule="auto"/>
              <w:ind w:firstLine="0"/>
              <w:jc w:val="center"/>
            </w:pPr>
            <w:r>
              <w:rPr>
                <w:b w:val="0"/>
                <w:i w:val="0"/>
                <w:sz w:val="20"/>
              </w:rPr>
              <w:t>Индия</w:t>
            </w:r>
          </w:p>
        </w:tc>
        <w:tc>
          <w:tcPr>
            <w:tcW w:type="dxa" w:w="1662"/>
          </w:tcPr>
          <w:p>
            <w:pPr>
              <w:spacing w:after="0" w:line="240" w:lineRule="auto"/>
              <w:ind w:firstLine="0"/>
              <w:jc w:val="center"/>
            </w:pPr>
            <w:r>
              <w:rPr>
                <w:b w:val="0"/>
                <w:i w:val="0"/>
                <w:sz w:val="20"/>
              </w:rPr>
              <w:t>россыпи</w:t>
            </w:r>
          </w:p>
        </w:tc>
        <w:tc>
          <w:tcPr>
            <w:tcW w:type="dxa" w:w="1662"/>
          </w:tcPr>
          <w:p>
            <w:pPr>
              <w:spacing w:after="0" w:line="240" w:lineRule="auto"/>
              <w:ind w:firstLine="0"/>
              <w:jc w:val="center"/>
            </w:pPr>
            <w:r>
              <w:rPr>
                <w:b w:val="0"/>
                <w:i w:val="0"/>
                <w:sz w:val="20"/>
              </w:rPr>
              <w:t>1,0</w:t>
            </w:r>
          </w:p>
        </w:tc>
        <w:tc>
          <w:tcPr>
            <w:tcW w:type="dxa" w:w="1662"/>
          </w:tcPr>
          <w:p>
            <w:pPr>
              <w:spacing w:after="0" w:line="240" w:lineRule="auto"/>
              <w:ind w:firstLine="0"/>
              <w:jc w:val="center"/>
            </w:pPr>
            <w:r>
              <w:rPr>
                <w:b w:val="0"/>
                <w:i w:val="0"/>
                <w:sz w:val="20"/>
              </w:rPr>
              <w:t>2 000</w:t>
            </w:r>
          </w:p>
        </w:tc>
        <w:tc>
          <w:tcPr>
            <w:tcW w:type="dxa" w:w="1662"/>
          </w:tcPr>
          <w:p>
            <w:pPr>
              <w:spacing w:after="0" w:line="240" w:lineRule="auto"/>
              <w:ind w:firstLine="0"/>
              <w:jc w:val="center"/>
            </w:pPr>
            <w:r>
              <w:rPr>
                <w:b w:val="0"/>
                <w:i w:val="0"/>
                <w:sz w:val="20"/>
              </w:rPr>
              <w:t>IREL</w:t>
            </w:r>
          </w:p>
        </w:tc>
      </w:tr>
      <w:tr>
        <w:tc>
          <w:tcPr>
            <w:tcW w:type="dxa" w:w="1662"/>
          </w:tcPr>
          <w:p>
            <w:pPr>
              <w:spacing w:after="0" w:line="240" w:lineRule="auto"/>
              <w:ind w:firstLine="0"/>
              <w:jc w:val="left"/>
            </w:pPr>
            <w:r>
              <w:rPr>
                <w:b w:val="0"/>
                <w:i w:val="0"/>
                <w:sz w:val="20"/>
              </w:rPr>
              <w:t>Качинские объекты</w:t>
            </w:r>
          </w:p>
        </w:tc>
        <w:tc>
          <w:tcPr>
            <w:tcW w:type="dxa" w:w="1662"/>
          </w:tcPr>
          <w:p>
            <w:pPr>
              <w:spacing w:after="0" w:line="240" w:lineRule="auto"/>
              <w:ind w:firstLine="0"/>
              <w:jc w:val="center"/>
            </w:pPr>
            <w:r>
              <w:rPr>
                <w:b w:val="0"/>
                <w:i w:val="0"/>
                <w:sz w:val="20"/>
              </w:rPr>
              <w:t>Мьянма</w:t>
            </w:r>
          </w:p>
        </w:tc>
        <w:tc>
          <w:tcPr>
            <w:tcW w:type="dxa" w:w="1662"/>
          </w:tcPr>
          <w:p>
            <w:pPr>
              <w:spacing w:after="0" w:line="240" w:lineRule="auto"/>
              <w:ind w:firstLine="0"/>
              <w:jc w:val="center"/>
            </w:pPr>
            <w:r>
              <w:rPr>
                <w:b w:val="0"/>
                <w:i w:val="0"/>
                <w:sz w:val="20"/>
              </w:rPr>
              <w:t>ионно-адсорбц.</w:t>
            </w:r>
          </w:p>
        </w:tc>
        <w:tc>
          <w:tcPr>
            <w:tcW w:type="dxa" w:w="1662"/>
          </w:tcPr>
          <w:p>
            <w:pPr>
              <w:spacing w:after="0" w:line="240" w:lineRule="auto"/>
              <w:ind w:firstLine="0"/>
              <w:jc w:val="center"/>
            </w:pPr>
            <w:r>
              <w:rPr>
                <w:b w:val="0"/>
                <w:i w:val="0"/>
                <w:sz w:val="20"/>
              </w:rPr>
              <w:t>0,1</w:t>
            </w:r>
          </w:p>
        </w:tc>
        <w:tc>
          <w:tcPr>
            <w:tcW w:type="dxa" w:w="1662"/>
          </w:tcPr>
          <w:p>
            <w:pPr>
              <w:spacing w:after="0" w:line="240" w:lineRule="auto"/>
              <w:ind w:firstLine="0"/>
              <w:jc w:val="center"/>
            </w:pPr>
            <w:r>
              <w:rPr>
                <w:b w:val="0"/>
                <w:i w:val="0"/>
                <w:sz w:val="20"/>
              </w:rPr>
              <w:t>н/д</w:t>
            </w:r>
          </w:p>
        </w:tc>
        <w:tc>
          <w:tcPr>
            <w:tcW w:type="dxa" w:w="1662"/>
          </w:tcPr>
          <w:p>
            <w:pPr>
              <w:spacing w:after="0" w:line="240" w:lineRule="auto"/>
              <w:ind w:firstLine="0"/>
              <w:jc w:val="center"/>
            </w:pPr>
            <w:r>
              <w:rPr>
                <w:b w:val="0"/>
                <w:i w:val="0"/>
                <w:sz w:val="20"/>
              </w:rPr>
              <w:t>различные</w:t>
            </w:r>
          </w:p>
        </w:tc>
      </w:tr>
      <w:tr>
        <w:tc>
          <w:tcPr>
            <w:tcW w:type="dxa" w:w="1662"/>
          </w:tcPr>
          <w:p>
            <w:pPr>
              <w:spacing w:after="0" w:line="240" w:lineRule="auto"/>
              <w:ind w:firstLine="0"/>
              <w:jc w:val="left"/>
            </w:pPr>
            <w:r>
              <w:rPr>
                <w:b w:val="0"/>
                <w:i w:val="0"/>
                <w:sz w:val="20"/>
              </w:rPr>
              <w:t>Норра-Чер</w:t>
            </w:r>
          </w:p>
        </w:tc>
        <w:tc>
          <w:tcPr>
            <w:tcW w:type="dxa" w:w="1662"/>
          </w:tcPr>
          <w:p>
            <w:pPr>
              <w:spacing w:after="0" w:line="240" w:lineRule="auto"/>
              <w:ind w:firstLine="0"/>
              <w:jc w:val="center"/>
            </w:pPr>
            <w:r>
              <w:rPr>
                <w:b w:val="0"/>
                <w:i w:val="0"/>
                <w:sz w:val="20"/>
              </w:rPr>
              <w:t>Швеция</w:t>
            </w:r>
          </w:p>
        </w:tc>
        <w:tc>
          <w:tcPr>
            <w:tcW w:type="dxa" w:w="1662"/>
          </w:tcPr>
          <w:p>
            <w:pPr>
              <w:spacing w:after="0" w:line="240" w:lineRule="auto"/>
              <w:ind w:firstLine="0"/>
              <w:jc w:val="center"/>
            </w:pPr>
            <w:r>
              <w:rPr>
                <w:b w:val="0"/>
                <w:i w:val="0"/>
                <w:sz w:val="20"/>
              </w:rPr>
              <w:t>щелочной</w:t>
            </w:r>
          </w:p>
        </w:tc>
        <w:tc>
          <w:tcPr>
            <w:tcW w:type="dxa" w:w="1662"/>
          </w:tcPr>
          <w:p>
            <w:pPr>
              <w:spacing w:after="0" w:line="240" w:lineRule="auto"/>
              <w:ind w:firstLine="0"/>
              <w:jc w:val="center"/>
            </w:pPr>
            <w:r>
              <w:rPr>
                <w:b w:val="0"/>
                <w:i w:val="0"/>
                <w:sz w:val="20"/>
              </w:rPr>
              <w:t>0,6</w:t>
            </w:r>
          </w:p>
        </w:tc>
        <w:tc>
          <w:tcPr>
            <w:tcW w:type="dxa" w:w="1662"/>
          </w:tcPr>
          <w:p>
            <w:pPr>
              <w:spacing w:after="0" w:line="240" w:lineRule="auto"/>
              <w:ind w:firstLine="0"/>
              <w:jc w:val="center"/>
            </w:pPr>
            <w:r>
              <w:rPr>
                <w:b w:val="0"/>
                <w:i w:val="0"/>
                <w:sz w:val="20"/>
              </w:rPr>
              <w:t>300</w:t>
            </w:r>
          </w:p>
        </w:tc>
        <w:tc>
          <w:tcPr>
            <w:tcW w:type="dxa" w:w="1662"/>
          </w:tcPr>
          <w:p>
            <w:pPr>
              <w:spacing w:after="0" w:line="240" w:lineRule="auto"/>
              <w:ind w:firstLine="0"/>
              <w:jc w:val="center"/>
            </w:pPr>
            <w:r>
              <w:rPr>
                <w:b w:val="0"/>
                <w:i w:val="0"/>
                <w:sz w:val="20"/>
              </w:rPr>
              <w:t>LKAB</w:t>
            </w:r>
          </w:p>
        </w:tc>
      </w:tr>
      <w:tr>
        <w:tc>
          <w:tcPr>
            <w:tcW w:type="dxa" w:w="1662"/>
          </w:tcPr>
          <w:p>
            <w:pPr>
              <w:spacing w:after="0" w:line="240" w:lineRule="auto"/>
              <w:ind w:firstLine="0"/>
              <w:jc w:val="left"/>
            </w:pPr>
            <w:r>
              <w:rPr>
                <w:b w:val="0"/>
                <w:i w:val="0"/>
                <w:sz w:val="20"/>
              </w:rPr>
              <w:t>Фен</w:t>
            </w:r>
          </w:p>
        </w:tc>
        <w:tc>
          <w:tcPr>
            <w:tcW w:type="dxa" w:w="1662"/>
          </w:tcPr>
          <w:p>
            <w:pPr>
              <w:spacing w:after="0" w:line="240" w:lineRule="auto"/>
              <w:ind w:firstLine="0"/>
              <w:jc w:val="center"/>
            </w:pPr>
            <w:r>
              <w:rPr>
                <w:b w:val="0"/>
                <w:i w:val="0"/>
                <w:sz w:val="20"/>
              </w:rPr>
              <w:t>Норвегия</w:t>
            </w:r>
          </w:p>
        </w:tc>
        <w:tc>
          <w:tcPr>
            <w:tcW w:type="dxa" w:w="1662"/>
          </w:tcPr>
          <w:p>
            <w:pPr>
              <w:spacing w:after="0" w:line="240" w:lineRule="auto"/>
              <w:ind w:firstLine="0"/>
              <w:jc w:val="center"/>
            </w:pPr>
            <w:r>
              <w:rPr>
                <w:b w:val="0"/>
                <w:i w:val="0"/>
                <w:sz w:val="20"/>
              </w:rPr>
              <w:t>карбонатит</w:t>
            </w:r>
          </w:p>
        </w:tc>
        <w:tc>
          <w:tcPr>
            <w:tcW w:type="dxa" w:w="1662"/>
          </w:tcPr>
          <w:p>
            <w:pPr>
              <w:spacing w:after="0" w:line="240" w:lineRule="auto"/>
              <w:ind w:firstLine="0"/>
              <w:jc w:val="center"/>
            </w:pPr>
            <w:r>
              <w:rPr>
                <w:b w:val="0"/>
                <w:i w:val="0"/>
                <w:sz w:val="20"/>
              </w:rPr>
              <w:t>1,6</w:t>
            </w:r>
          </w:p>
        </w:tc>
        <w:tc>
          <w:tcPr>
            <w:tcW w:type="dxa" w:w="1662"/>
          </w:tcPr>
          <w:p>
            <w:pPr>
              <w:spacing w:after="0" w:line="240" w:lineRule="auto"/>
              <w:ind w:firstLine="0"/>
              <w:jc w:val="center"/>
            </w:pPr>
            <w:r>
              <w:rPr>
                <w:b w:val="0"/>
                <w:i w:val="0"/>
                <w:sz w:val="20"/>
              </w:rPr>
              <w:t>8 800</w:t>
            </w:r>
          </w:p>
        </w:tc>
        <w:tc>
          <w:tcPr>
            <w:tcW w:type="dxa" w:w="1662"/>
          </w:tcPr>
          <w:p>
            <w:pPr>
              <w:spacing w:after="0" w:line="240" w:lineRule="auto"/>
              <w:ind w:firstLine="0"/>
              <w:jc w:val="center"/>
            </w:pPr>
            <w:r>
              <w:rPr>
                <w:b w:val="0"/>
                <w:i w:val="0"/>
                <w:sz w:val="20"/>
              </w:rPr>
              <w:t>Rare Earths Norway</w:t>
            </w:r>
          </w:p>
        </w:tc>
      </w:tr>
    </w:tbl>
    <w:p>
      <w:pPr>
        <w:spacing w:after="180"/>
        <w:ind w:firstLine="0"/>
      </w:pPr>
      <w:r>
        <w:rPr>
          <w:i/>
          <w:sz w:val="20"/>
        </w:rPr>
        <w:t>Источник: аналитический центр по данным геологических служб, корпоративных раскрытий (JORC, NI 43-101)</w:t>
      </w:r>
    </w:p>
    <w:p>
      <w:r>
        <w:br w:type="page"/>
      </w:r>
    </w:p>
    <w:p>
      <w:pPr>
        <w:pStyle w:val="Heading1"/>
      </w:pPr>
      <w:r>
        <w:rPr>
          <w:b w:val="0"/>
          <w:i w:val="0"/>
        </w:rPr>
        <w:t>Приложение 4. Товарная номенклатура и коды ТН ВЭД</w:t>
      </w:r>
    </w:p>
    <w:p>
      <w:pPr>
        <w:keepNext/>
        <w:spacing w:before="160" w:after="60"/>
        <w:ind w:firstLine="0"/>
        <w:jc w:val="left"/>
      </w:pPr>
      <w:r>
        <w:rPr>
          <w:b/>
          <w:sz w:val="22"/>
        </w:rPr>
        <w:t>Таблица 132. Расширенный перечень кодов ТН ВЭД ЕАЭС, применяемых к редкоземельной продукции</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Код</w:t>
            </w:r>
          </w:p>
        </w:tc>
        <w:tc>
          <w:tcPr>
            <w:tcW w:type="dxa" w:w="3324"/>
            <w:shd w:val="clear" w:fill="DCE6F1"/>
          </w:tcPr>
          <w:p>
            <w:pPr>
              <w:spacing w:after="0" w:line="240" w:lineRule="auto"/>
              <w:ind w:firstLine="0"/>
              <w:jc w:val="center"/>
            </w:pPr>
            <w:r>
              <w:rPr>
                <w:b/>
                <w:i w:val="0"/>
                <w:sz w:val="20"/>
              </w:rPr>
              <w:t>Наименование</w:t>
            </w:r>
          </w:p>
        </w:tc>
        <w:tc>
          <w:tcPr>
            <w:tcW w:type="dxa" w:w="3324"/>
            <w:shd w:val="clear" w:fill="DCE6F1"/>
          </w:tcPr>
          <w:p>
            <w:pPr>
              <w:spacing w:after="0" w:line="240" w:lineRule="auto"/>
              <w:ind w:firstLine="0"/>
              <w:jc w:val="center"/>
            </w:pPr>
            <w:r>
              <w:rPr>
                <w:b/>
                <w:i w:val="0"/>
                <w:sz w:val="20"/>
              </w:rPr>
              <w:t>Примечание для аналитики</w:t>
            </w:r>
          </w:p>
        </w:tc>
      </w:tr>
      <w:tr>
        <w:tc>
          <w:tcPr>
            <w:tcW w:type="dxa" w:w="3324"/>
          </w:tcPr>
          <w:p>
            <w:pPr>
              <w:spacing w:after="0" w:line="240" w:lineRule="auto"/>
              <w:ind w:firstLine="0"/>
              <w:jc w:val="left"/>
            </w:pPr>
            <w:r>
              <w:rPr>
                <w:b w:val="0"/>
                <w:i w:val="0"/>
                <w:sz w:val="20"/>
              </w:rPr>
              <w:t>2530 90 000 0</w:t>
            </w:r>
          </w:p>
        </w:tc>
        <w:tc>
          <w:tcPr>
            <w:tcW w:type="dxa" w:w="3324"/>
          </w:tcPr>
          <w:p>
            <w:pPr>
              <w:spacing w:after="0" w:line="240" w:lineRule="auto"/>
              <w:ind w:firstLine="0"/>
              <w:jc w:val="left"/>
            </w:pPr>
            <w:r>
              <w:rPr>
                <w:b w:val="0"/>
                <w:i w:val="0"/>
                <w:sz w:val="20"/>
              </w:rPr>
              <w:t>Вещества минеральные, в другом месте не поименованные</w:t>
            </w:r>
          </w:p>
        </w:tc>
        <w:tc>
          <w:tcPr>
            <w:tcW w:type="dxa" w:w="3324"/>
          </w:tcPr>
          <w:p>
            <w:pPr>
              <w:spacing w:after="0" w:line="240" w:lineRule="auto"/>
              <w:ind w:firstLine="0"/>
              <w:jc w:val="center"/>
            </w:pPr>
            <w:r>
              <w:rPr>
                <w:b w:val="0"/>
                <w:i w:val="0"/>
                <w:sz w:val="20"/>
              </w:rPr>
              <w:t>включает концентраты РЗМ</w:t>
            </w:r>
          </w:p>
        </w:tc>
      </w:tr>
      <w:tr>
        <w:tc>
          <w:tcPr>
            <w:tcW w:type="dxa" w:w="3324"/>
          </w:tcPr>
          <w:p>
            <w:pPr>
              <w:spacing w:after="0" w:line="240" w:lineRule="auto"/>
              <w:ind w:firstLine="0"/>
              <w:jc w:val="left"/>
            </w:pPr>
            <w:r>
              <w:rPr>
                <w:b w:val="0"/>
                <w:i w:val="0"/>
                <w:sz w:val="20"/>
              </w:rPr>
              <w:t>2612 20 100 0</w:t>
            </w:r>
          </w:p>
        </w:tc>
        <w:tc>
          <w:tcPr>
            <w:tcW w:type="dxa" w:w="3324"/>
          </w:tcPr>
          <w:p>
            <w:pPr>
              <w:spacing w:after="0" w:line="240" w:lineRule="auto"/>
              <w:ind w:firstLine="0"/>
              <w:jc w:val="left"/>
            </w:pPr>
            <w:r>
              <w:rPr>
                <w:b w:val="0"/>
                <w:i w:val="0"/>
                <w:sz w:val="20"/>
              </w:rPr>
              <w:t>Монацит, уранторианит и прочие торийсодержащие руды</w:t>
            </w:r>
          </w:p>
        </w:tc>
        <w:tc>
          <w:tcPr>
            <w:tcW w:type="dxa" w:w="3324"/>
          </w:tcPr>
          <w:p>
            <w:pPr>
              <w:spacing w:after="0" w:line="240" w:lineRule="auto"/>
              <w:ind w:firstLine="0"/>
              <w:jc w:val="center"/>
            </w:pPr>
            <w:r>
              <w:rPr>
                <w:b w:val="0"/>
                <w:i w:val="0"/>
                <w:sz w:val="20"/>
              </w:rPr>
              <w:t>требует радиац. контроля</w:t>
            </w:r>
          </w:p>
        </w:tc>
      </w:tr>
      <w:tr>
        <w:tc>
          <w:tcPr>
            <w:tcW w:type="dxa" w:w="3324"/>
          </w:tcPr>
          <w:p>
            <w:pPr>
              <w:spacing w:after="0" w:line="240" w:lineRule="auto"/>
              <w:ind w:firstLine="0"/>
              <w:jc w:val="left"/>
            </w:pPr>
            <w:r>
              <w:rPr>
                <w:b w:val="0"/>
                <w:i w:val="0"/>
                <w:sz w:val="20"/>
              </w:rPr>
              <w:t>2612 20 900 0</w:t>
            </w:r>
          </w:p>
        </w:tc>
        <w:tc>
          <w:tcPr>
            <w:tcW w:type="dxa" w:w="3324"/>
          </w:tcPr>
          <w:p>
            <w:pPr>
              <w:spacing w:after="0" w:line="240" w:lineRule="auto"/>
              <w:ind w:firstLine="0"/>
              <w:jc w:val="left"/>
            </w:pPr>
            <w:r>
              <w:rPr>
                <w:b w:val="0"/>
                <w:i w:val="0"/>
                <w:sz w:val="20"/>
              </w:rPr>
              <w:t>Прочие торийсодержащие руды и концентраты</w:t>
            </w:r>
          </w:p>
        </w:tc>
        <w:tc>
          <w:tcPr>
            <w:tcW w:type="dxa" w:w="3324"/>
          </w:tcPr>
          <w:p>
            <w:pPr>
              <w:spacing w:after="0" w:line="240" w:lineRule="auto"/>
              <w:ind w:firstLine="0"/>
              <w:jc w:val="center"/>
            </w:pPr>
            <w:r>
              <w:rPr>
                <w:b w:val="0"/>
                <w:i w:val="0"/>
                <w:sz w:val="20"/>
              </w:rPr>
              <w:t>—</w:t>
            </w:r>
          </w:p>
        </w:tc>
      </w:tr>
      <w:tr>
        <w:tc>
          <w:tcPr>
            <w:tcW w:type="dxa" w:w="3324"/>
          </w:tcPr>
          <w:p>
            <w:pPr>
              <w:spacing w:after="0" w:line="240" w:lineRule="auto"/>
              <w:ind w:firstLine="0"/>
              <w:jc w:val="left"/>
            </w:pPr>
            <w:r>
              <w:rPr>
                <w:b w:val="0"/>
                <w:i w:val="0"/>
                <w:sz w:val="20"/>
              </w:rPr>
              <w:t>2805 30 100 0</w:t>
            </w:r>
          </w:p>
        </w:tc>
        <w:tc>
          <w:tcPr>
            <w:tcW w:type="dxa" w:w="3324"/>
          </w:tcPr>
          <w:p>
            <w:pPr>
              <w:spacing w:after="0" w:line="240" w:lineRule="auto"/>
              <w:ind w:firstLine="0"/>
              <w:jc w:val="left"/>
            </w:pPr>
            <w:r>
              <w:rPr>
                <w:b w:val="0"/>
                <w:i w:val="0"/>
                <w:sz w:val="20"/>
              </w:rPr>
              <w:t>Металлы редкоземельные, скандий, иттрий, смеси и сплавы</w:t>
            </w:r>
          </w:p>
        </w:tc>
        <w:tc>
          <w:tcPr>
            <w:tcW w:type="dxa" w:w="3324"/>
          </w:tcPr>
          <w:p>
            <w:pPr>
              <w:spacing w:after="0" w:line="240" w:lineRule="auto"/>
              <w:ind w:firstLine="0"/>
              <w:jc w:val="center"/>
            </w:pPr>
            <w:r>
              <w:rPr>
                <w:b w:val="0"/>
                <w:i w:val="0"/>
                <w:sz w:val="20"/>
              </w:rPr>
              <w:t>мишметалл, лигатуры</w:t>
            </w:r>
          </w:p>
        </w:tc>
      </w:tr>
      <w:tr>
        <w:tc>
          <w:tcPr>
            <w:tcW w:type="dxa" w:w="3324"/>
          </w:tcPr>
          <w:p>
            <w:pPr>
              <w:spacing w:after="0" w:line="240" w:lineRule="auto"/>
              <w:ind w:firstLine="0"/>
              <w:jc w:val="left"/>
            </w:pPr>
            <w:r>
              <w:rPr>
                <w:b w:val="0"/>
                <w:i w:val="0"/>
                <w:sz w:val="20"/>
              </w:rPr>
              <w:t>2805 30 210 0 – 2805 30 800 0</w:t>
            </w:r>
          </w:p>
        </w:tc>
        <w:tc>
          <w:tcPr>
            <w:tcW w:type="dxa" w:w="3324"/>
          </w:tcPr>
          <w:p>
            <w:pPr>
              <w:spacing w:after="0" w:line="240" w:lineRule="auto"/>
              <w:ind w:firstLine="0"/>
              <w:jc w:val="center"/>
            </w:pPr>
            <w:r>
              <w:rPr>
                <w:b w:val="0"/>
                <w:i w:val="0"/>
                <w:sz w:val="20"/>
              </w:rPr>
              <w:t>Индивидуальные редкоземельные металлы</w:t>
            </w:r>
          </w:p>
        </w:tc>
        <w:tc>
          <w:tcPr>
            <w:tcW w:type="dxa" w:w="3324"/>
          </w:tcPr>
          <w:p>
            <w:pPr>
              <w:spacing w:after="0" w:line="240" w:lineRule="auto"/>
              <w:ind w:firstLine="0"/>
              <w:jc w:val="center"/>
            </w:pPr>
            <w:r>
              <w:rPr>
                <w:b w:val="0"/>
                <w:i w:val="0"/>
                <w:sz w:val="20"/>
              </w:rPr>
              <w:t>детализация по элементам</w:t>
            </w:r>
          </w:p>
        </w:tc>
      </w:tr>
      <w:tr>
        <w:tc>
          <w:tcPr>
            <w:tcW w:type="dxa" w:w="3324"/>
          </w:tcPr>
          <w:p>
            <w:pPr>
              <w:spacing w:after="0" w:line="240" w:lineRule="auto"/>
              <w:ind w:firstLine="0"/>
              <w:jc w:val="left"/>
            </w:pPr>
            <w:r>
              <w:rPr>
                <w:b w:val="0"/>
                <w:i w:val="0"/>
                <w:sz w:val="20"/>
              </w:rPr>
              <w:t>2846 10 000 0</w:t>
            </w:r>
          </w:p>
        </w:tc>
        <w:tc>
          <w:tcPr>
            <w:tcW w:type="dxa" w:w="3324"/>
          </w:tcPr>
          <w:p>
            <w:pPr>
              <w:spacing w:after="0" w:line="240" w:lineRule="auto"/>
              <w:ind w:firstLine="0"/>
              <w:jc w:val="center"/>
            </w:pPr>
            <w:r>
              <w:rPr>
                <w:b w:val="0"/>
                <w:i w:val="0"/>
                <w:sz w:val="20"/>
              </w:rPr>
              <w:t>Соединения церия</w:t>
            </w:r>
          </w:p>
        </w:tc>
        <w:tc>
          <w:tcPr>
            <w:tcW w:type="dxa" w:w="3324"/>
          </w:tcPr>
          <w:p>
            <w:pPr>
              <w:spacing w:after="0" w:line="240" w:lineRule="auto"/>
              <w:ind w:firstLine="0"/>
              <w:jc w:val="center"/>
            </w:pPr>
            <w:r>
              <w:rPr>
                <w:b w:val="0"/>
                <w:i w:val="0"/>
                <w:sz w:val="20"/>
              </w:rPr>
              <w:t>оксид, карбонат, хлорид, нитрат</w:t>
            </w:r>
          </w:p>
        </w:tc>
      </w:tr>
      <w:tr>
        <w:tc>
          <w:tcPr>
            <w:tcW w:type="dxa" w:w="3324"/>
          </w:tcPr>
          <w:p>
            <w:pPr>
              <w:spacing w:after="0" w:line="240" w:lineRule="auto"/>
              <w:ind w:firstLine="0"/>
              <w:jc w:val="left"/>
            </w:pPr>
            <w:r>
              <w:rPr>
                <w:b w:val="0"/>
                <w:i w:val="0"/>
                <w:sz w:val="20"/>
              </w:rPr>
              <w:t>2846 90 100 0</w:t>
            </w:r>
          </w:p>
        </w:tc>
        <w:tc>
          <w:tcPr>
            <w:tcW w:type="dxa" w:w="3324"/>
          </w:tcPr>
          <w:p>
            <w:pPr>
              <w:spacing w:after="0" w:line="240" w:lineRule="auto"/>
              <w:ind w:firstLine="0"/>
              <w:jc w:val="center"/>
            </w:pPr>
            <w:r>
              <w:rPr>
                <w:b w:val="0"/>
                <w:i w:val="0"/>
                <w:sz w:val="20"/>
              </w:rPr>
              <w:t>Соединения лантана</w:t>
            </w:r>
          </w:p>
        </w:tc>
        <w:tc>
          <w:tcPr>
            <w:tcW w:type="dxa" w:w="3324"/>
          </w:tcPr>
          <w:p>
            <w:pPr>
              <w:spacing w:after="0" w:line="240" w:lineRule="auto"/>
              <w:ind w:firstLine="0"/>
              <w:jc w:val="center"/>
            </w:pPr>
            <w:r>
              <w:rPr>
                <w:b w:val="0"/>
                <w:i w:val="0"/>
                <w:sz w:val="20"/>
              </w:rPr>
              <w:t>—</w:t>
            </w:r>
          </w:p>
        </w:tc>
      </w:tr>
      <w:tr>
        <w:tc>
          <w:tcPr>
            <w:tcW w:type="dxa" w:w="3324"/>
          </w:tcPr>
          <w:p>
            <w:pPr>
              <w:spacing w:after="0" w:line="240" w:lineRule="auto"/>
              <w:ind w:firstLine="0"/>
              <w:jc w:val="left"/>
            </w:pPr>
            <w:r>
              <w:rPr>
                <w:b w:val="0"/>
                <w:i w:val="0"/>
                <w:sz w:val="20"/>
              </w:rPr>
              <w:t>2846 90 200 0</w:t>
            </w:r>
          </w:p>
        </w:tc>
        <w:tc>
          <w:tcPr>
            <w:tcW w:type="dxa" w:w="3324"/>
          </w:tcPr>
          <w:p>
            <w:pPr>
              <w:spacing w:after="0" w:line="240" w:lineRule="auto"/>
              <w:ind w:firstLine="0"/>
              <w:jc w:val="center"/>
            </w:pPr>
            <w:r>
              <w:rPr>
                <w:b w:val="0"/>
                <w:i w:val="0"/>
                <w:sz w:val="20"/>
              </w:rPr>
              <w:t>Соединения празеодима, неодима, самария</w:t>
            </w:r>
          </w:p>
        </w:tc>
        <w:tc>
          <w:tcPr>
            <w:tcW w:type="dxa" w:w="3324"/>
          </w:tcPr>
          <w:p>
            <w:pPr>
              <w:spacing w:after="0" w:line="240" w:lineRule="auto"/>
              <w:ind w:firstLine="0"/>
              <w:jc w:val="center"/>
            </w:pPr>
            <w:r>
              <w:rPr>
                <w:b w:val="0"/>
                <w:i w:val="0"/>
                <w:sz w:val="20"/>
              </w:rPr>
              <w:t>ключевая позиция для магнитов</w:t>
            </w:r>
          </w:p>
        </w:tc>
      </w:tr>
      <w:tr>
        <w:tc>
          <w:tcPr>
            <w:tcW w:type="dxa" w:w="3324"/>
          </w:tcPr>
          <w:p>
            <w:pPr>
              <w:spacing w:after="0" w:line="240" w:lineRule="auto"/>
              <w:ind w:firstLine="0"/>
              <w:jc w:val="left"/>
            </w:pPr>
            <w:r>
              <w:rPr>
                <w:b w:val="0"/>
                <w:i w:val="0"/>
                <w:sz w:val="20"/>
              </w:rPr>
              <w:t>2846 90 300 0</w:t>
            </w:r>
          </w:p>
        </w:tc>
        <w:tc>
          <w:tcPr>
            <w:tcW w:type="dxa" w:w="3324"/>
          </w:tcPr>
          <w:p>
            <w:pPr>
              <w:spacing w:after="0" w:line="240" w:lineRule="auto"/>
              <w:ind w:firstLine="0"/>
              <w:jc w:val="center"/>
            </w:pPr>
            <w:r>
              <w:rPr>
                <w:b w:val="0"/>
                <w:i w:val="0"/>
                <w:sz w:val="20"/>
              </w:rPr>
              <w:t>Соединения европия, гадолиния, тербия</w:t>
            </w:r>
          </w:p>
        </w:tc>
        <w:tc>
          <w:tcPr>
            <w:tcW w:type="dxa" w:w="3324"/>
          </w:tcPr>
          <w:p>
            <w:pPr>
              <w:spacing w:after="0" w:line="240" w:lineRule="auto"/>
              <w:ind w:firstLine="0"/>
              <w:jc w:val="center"/>
            </w:pPr>
            <w:r>
              <w:rPr>
                <w:b w:val="0"/>
                <w:i w:val="0"/>
                <w:sz w:val="20"/>
              </w:rPr>
              <w:t>—</w:t>
            </w:r>
          </w:p>
        </w:tc>
      </w:tr>
      <w:tr>
        <w:tc>
          <w:tcPr>
            <w:tcW w:type="dxa" w:w="3324"/>
          </w:tcPr>
          <w:p>
            <w:pPr>
              <w:spacing w:after="0" w:line="240" w:lineRule="auto"/>
              <w:ind w:firstLine="0"/>
              <w:jc w:val="left"/>
            </w:pPr>
            <w:r>
              <w:rPr>
                <w:b w:val="0"/>
                <w:i w:val="0"/>
                <w:sz w:val="20"/>
              </w:rPr>
              <w:t>2846 90 900 0</w:t>
            </w:r>
          </w:p>
        </w:tc>
        <w:tc>
          <w:tcPr>
            <w:tcW w:type="dxa" w:w="3324"/>
          </w:tcPr>
          <w:p>
            <w:pPr>
              <w:spacing w:after="0" w:line="240" w:lineRule="auto"/>
              <w:ind w:firstLine="0"/>
              <w:jc w:val="center"/>
            </w:pPr>
            <w:r>
              <w:rPr>
                <w:b w:val="0"/>
                <w:i w:val="0"/>
                <w:sz w:val="20"/>
              </w:rPr>
              <w:t>Прочие соединения РЗМ, иттрия, скандия</w:t>
            </w:r>
          </w:p>
        </w:tc>
        <w:tc>
          <w:tcPr>
            <w:tcW w:type="dxa" w:w="3324"/>
          </w:tcPr>
          <w:p>
            <w:pPr>
              <w:spacing w:after="0" w:line="240" w:lineRule="auto"/>
              <w:ind w:firstLine="0"/>
              <w:jc w:val="center"/>
            </w:pPr>
            <w:r>
              <w:rPr>
                <w:b w:val="0"/>
                <w:i w:val="0"/>
                <w:sz w:val="20"/>
              </w:rPr>
              <w:t>«корзиночная» позиция</w:t>
            </w:r>
          </w:p>
        </w:tc>
      </w:tr>
      <w:tr>
        <w:tc>
          <w:tcPr>
            <w:tcW w:type="dxa" w:w="3324"/>
          </w:tcPr>
          <w:p>
            <w:pPr>
              <w:spacing w:after="0" w:line="240" w:lineRule="auto"/>
              <w:ind w:firstLine="0"/>
              <w:jc w:val="left"/>
            </w:pPr>
            <w:r>
              <w:rPr>
                <w:b w:val="0"/>
                <w:i w:val="0"/>
                <w:sz w:val="20"/>
              </w:rPr>
              <w:t>2841 90 850 0</w:t>
            </w:r>
          </w:p>
        </w:tc>
        <w:tc>
          <w:tcPr>
            <w:tcW w:type="dxa" w:w="3324"/>
          </w:tcPr>
          <w:p>
            <w:pPr>
              <w:spacing w:after="0" w:line="240" w:lineRule="auto"/>
              <w:ind w:firstLine="0"/>
              <w:jc w:val="center"/>
            </w:pPr>
            <w:r>
              <w:rPr>
                <w:b w:val="0"/>
                <w:i w:val="0"/>
                <w:sz w:val="20"/>
              </w:rPr>
              <w:t>Соли оксометаллических кислот прочие</w:t>
            </w:r>
          </w:p>
        </w:tc>
        <w:tc>
          <w:tcPr>
            <w:tcW w:type="dxa" w:w="3324"/>
          </w:tcPr>
          <w:p>
            <w:pPr>
              <w:spacing w:after="0" w:line="240" w:lineRule="auto"/>
              <w:ind w:firstLine="0"/>
              <w:jc w:val="center"/>
            </w:pPr>
            <w:r>
              <w:rPr>
                <w:b w:val="0"/>
                <w:i w:val="0"/>
                <w:sz w:val="20"/>
              </w:rPr>
              <w:t>часть Sc-продукции</w:t>
            </w:r>
          </w:p>
        </w:tc>
      </w:tr>
      <w:tr>
        <w:tc>
          <w:tcPr>
            <w:tcW w:type="dxa" w:w="3324"/>
          </w:tcPr>
          <w:p>
            <w:pPr>
              <w:spacing w:after="0" w:line="240" w:lineRule="auto"/>
              <w:ind w:firstLine="0"/>
              <w:jc w:val="left"/>
            </w:pPr>
            <w:r>
              <w:rPr>
                <w:b w:val="0"/>
                <w:i w:val="0"/>
                <w:sz w:val="20"/>
              </w:rPr>
              <w:t>3606 90 100 0</w:t>
            </w:r>
          </w:p>
        </w:tc>
        <w:tc>
          <w:tcPr>
            <w:tcW w:type="dxa" w:w="3324"/>
          </w:tcPr>
          <w:p>
            <w:pPr>
              <w:spacing w:after="0" w:line="240" w:lineRule="auto"/>
              <w:ind w:firstLine="0"/>
              <w:jc w:val="center"/>
            </w:pPr>
            <w:r>
              <w:rPr>
                <w:b w:val="0"/>
                <w:i w:val="0"/>
                <w:sz w:val="20"/>
              </w:rPr>
              <w:t>Ферроцерий и прочие пирофорные сплавы</w:t>
            </w:r>
          </w:p>
        </w:tc>
        <w:tc>
          <w:tcPr>
            <w:tcW w:type="dxa" w:w="3324"/>
          </w:tcPr>
          <w:p>
            <w:pPr>
              <w:spacing w:after="0" w:line="240" w:lineRule="auto"/>
              <w:ind w:firstLine="0"/>
              <w:jc w:val="center"/>
            </w:pPr>
            <w:r>
              <w:rPr>
                <w:b w:val="0"/>
                <w:i w:val="0"/>
                <w:sz w:val="20"/>
              </w:rPr>
              <w:t>—</w:t>
            </w:r>
          </w:p>
        </w:tc>
      </w:tr>
      <w:tr>
        <w:tc>
          <w:tcPr>
            <w:tcW w:type="dxa" w:w="3324"/>
          </w:tcPr>
          <w:p>
            <w:pPr>
              <w:spacing w:after="0" w:line="240" w:lineRule="auto"/>
              <w:ind w:firstLine="0"/>
              <w:jc w:val="left"/>
            </w:pPr>
            <w:r>
              <w:rPr>
                <w:b w:val="0"/>
                <w:i w:val="0"/>
                <w:sz w:val="20"/>
              </w:rPr>
              <w:t>7202 99 800 0</w:t>
            </w:r>
          </w:p>
        </w:tc>
        <w:tc>
          <w:tcPr>
            <w:tcW w:type="dxa" w:w="3324"/>
          </w:tcPr>
          <w:p>
            <w:pPr>
              <w:spacing w:after="0" w:line="240" w:lineRule="auto"/>
              <w:ind w:firstLine="0"/>
              <w:jc w:val="center"/>
            </w:pPr>
            <w:r>
              <w:rPr>
                <w:b w:val="0"/>
                <w:i w:val="0"/>
                <w:sz w:val="20"/>
              </w:rPr>
              <w:t>Ферросплавы прочие</w:t>
            </w:r>
          </w:p>
        </w:tc>
        <w:tc>
          <w:tcPr>
            <w:tcW w:type="dxa" w:w="3324"/>
          </w:tcPr>
          <w:p>
            <w:pPr>
              <w:spacing w:after="0" w:line="240" w:lineRule="auto"/>
              <w:ind w:firstLine="0"/>
              <w:jc w:val="center"/>
            </w:pPr>
            <w:r>
              <w:rPr>
                <w:b w:val="0"/>
                <w:i w:val="0"/>
                <w:sz w:val="20"/>
              </w:rPr>
              <w:t>лигатуры с РЗМ</w:t>
            </w:r>
          </w:p>
        </w:tc>
      </w:tr>
      <w:tr>
        <w:tc>
          <w:tcPr>
            <w:tcW w:type="dxa" w:w="3324"/>
          </w:tcPr>
          <w:p>
            <w:pPr>
              <w:spacing w:after="0" w:line="240" w:lineRule="auto"/>
              <w:ind w:firstLine="0"/>
              <w:jc w:val="left"/>
            </w:pPr>
            <w:r>
              <w:rPr>
                <w:b w:val="0"/>
                <w:i w:val="0"/>
                <w:sz w:val="20"/>
              </w:rPr>
              <w:t>8505 11 000 0</w:t>
            </w:r>
          </w:p>
        </w:tc>
        <w:tc>
          <w:tcPr>
            <w:tcW w:type="dxa" w:w="3324"/>
          </w:tcPr>
          <w:p>
            <w:pPr>
              <w:spacing w:after="0" w:line="240" w:lineRule="auto"/>
              <w:ind w:firstLine="0"/>
              <w:jc w:val="center"/>
            </w:pPr>
            <w:r>
              <w:rPr>
                <w:b w:val="0"/>
                <w:i w:val="0"/>
                <w:sz w:val="20"/>
              </w:rPr>
              <w:t>Магниты постоянные металлические</w:t>
            </w:r>
          </w:p>
        </w:tc>
        <w:tc>
          <w:tcPr>
            <w:tcW w:type="dxa" w:w="3324"/>
          </w:tcPr>
          <w:p>
            <w:pPr>
              <w:spacing w:after="0" w:line="240" w:lineRule="auto"/>
              <w:ind w:firstLine="0"/>
              <w:jc w:val="center"/>
            </w:pPr>
            <w:r>
              <w:rPr>
                <w:b w:val="0"/>
                <w:i w:val="0"/>
                <w:sz w:val="20"/>
              </w:rPr>
              <w:t>NdFeB, SmCo, алнико</w:t>
            </w:r>
          </w:p>
        </w:tc>
      </w:tr>
      <w:tr>
        <w:tc>
          <w:tcPr>
            <w:tcW w:type="dxa" w:w="3324"/>
          </w:tcPr>
          <w:p>
            <w:pPr>
              <w:spacing w:after="0" w:line="240" w:lineRule="auto"/>
              <w:ind w:firstLine="0"/>
              <w:jc w:val="left"/>
            </w:pPr>
            <w:r>
              <w:rPr>
                <w:b w:val="0"/>
                <w:i w:val="0"/>
                <w:sz w:val="20"/>
              </w:rPr>
              <w:t>8505 19 100 0</w:t>
            </w:r>
          </w:p>
        </w:tc>
        <w:tc>
          <w:tcPr>
            <w:tcW w:type="dxa" w:w="3324"/>
          </w:tcPr>
          <w:p>
            <w:pPr>
              <w:spacing w:after="0" w:line="240" w:lineRule="auto"/>
              <w:ind w:firstLine="0"/>
              <w:jc w:val="left"/>
            </w:pPr>
            <w:r>
              <w:rPr>
                <w:b w:val="0"/>
                <w:i w:val="0"/>
                <w:sz w:val="20"/>
              </w:rPr>
              <w:t>Магниты постоянные из агломерированного феррита</w:t>
            </w:r>
          </w:p>
        </w:tc>
        <w:tc>
          <w:tcPr>
            <w:tcW w:type="dxa" w:w="3324"/>
          </w:tcPr>
          <w:p>
            <w:pPr>
              <w:spacing w:after="0" w:line="240" w:lineRule="auto"/>
              <w:ind w:firstLine="0"/>
              <w:jc w:val="center"/>
            </w:pPr>
            <w:r>
              <w:rPr>
                <w:b w:val="0"/>
                <w:i w:val="0"/>
                <w:sz w:val="20"/>
              </w:rPr>
              <w:t>ферритовые</w:t>
            </w:r>
          </w:p>
        </w:tc>
      </w:tr>
      <w:tr>
        <w:tc>
          <w:tcPr>
            <w:tcW w:type="dxa" w:w="3324"/>
          </w:tcPr>
          <w:p>
            <w:pPr>
              <w:spacing w:after="0" w:line="240" w:lineRule="auto"/>
              <w:ind w:firstLine="0"/>
              <w:jc w:val="left"/>
            </w:pPr>
            <w:r>
              <w:rPr>
                <w:b w:val="0"/>
                <w:i w:val="0"/>
                <w:sz w:val="20"/>
              </w:rPr>
              <w:t>8505 19 900 0</w:t>
            </w:r>
          </w:p>
        </w:tc>
        <w:tc>
          <w:tcPr>
            <w:tcW w:type="dxa" w:w="3324"/>
          </w:tcPr>
          <w:p>
            <w:pPr>
              <w:spacing w:after="0" w:line="240" w:lineRule="auto"/>
              <w:ind w:firstLine="0"/>
              <w:jc w:val="center"/>
            </w:pPr>
            <w:r>
              <w:rPr>
                <w:b w:val="0"/>
                <w:i w:val="0"/>
                <w:sz w:val="20"/>
              </w:rPr>
              <w:t>Магниты постоянные прочие</w:t>
            </w:r>
          </w:p>
        </w:tc>
        <w:tc>
          <w:tcPr>
            <w:tcW w:type="dxa" w:w="3324"/>
          </w:tcPr>
          <w:p>
            <w:pPr>
              <w:spacing w:after="0" w:line="240" w:lineRule="auto"/>
              <w:ind w:firstLine="0"/>
              <w:jc w:val="center"/>
            </w:pPr>
            <w:r>
              <w:rPr>
                <w:b w:val="0"/>
                <w:i w:val="0"/>
                <w:sz w:val="20"/>
              </w:rPr>
              <w:t>связанные NdFeB</w:t>
            </w:r>
          </w:p>
        </w:tc>
      </w:tr>
      <w:tr>
        <w:tc>
          <w:tcPr>
            <w:tcW w:type="dxa" w:w="3324"/>
          </w:tcPr>
          <w:p>
            <w:pPr>
              <w:spacing w:after="0" w:line="240" w:lineRule="auto"/>
              <w:ind w:firstLine="0"/>
              <w:jc w:val="left"/>
            </w:pPr>
            <w:r>
              <w:rPr>
                <w:b w:val="0"/>
                <w:i w:val="0"/>
                <w:sz w:val="20"/>
              </w:rPr>
              <w:t>8505 90 290 0</w:t>
            </w:r>
          </w:p>
        </w:tc>
        <w:tc>
          <w:tcPr>
            <w:tcW w:type="dxa" w:w="3324"/>
          </w:tcPr>
          <w:p>
            <w:pPr>
              <w:spacing w:after="0" w:line="240" w:lineRule="auto"/>
              <w:ind w:firstLine="0"/>
              <w:jc w:val="center"/>
            </w:pPr>
            <w:r>
              <w:rPr>
                <w:b w:val="0"/>
                <w:i w:val="0"/>
                <w:sz w:val="20"/>
              </w:rPr>
              <w:t>Части магнитов и электромагнитов</w:t>
            </w:r>
          </w:p>
        </w:tc>
        <w:tc>
          <w:tcPr>
            <w:tcW w:type="dxa" w:w="3324"/>
          </w:tcPr>
          <w:p>
            <w:pPr>
              <w:spacing w:after="0" w:line="240" w:lineRule="auto"/>
              <w:ind w:firstLine="0"/>
              <w:jc w:val="center"/>
            </w:pPr>
            <w:r>
              <w:rPr>
                <w:b w:val="0"/>
                <w:i w:val="0"/>
                <w:sz w:val="20"/>
              </w:rPr>
              <w:t>магнитные системы</w:t>
            </w:r>
          </w:p>
        </w:tc>
      </w:tr>
      <w:tr>
        <w:tc>
          <w:tcPr>
            <w:tcW w:type="dxa" w:w="3324"/>
          </w:tcPr>
          <w:p>
            <w:pPr>
              <w:spacing w:after="0" w:line="240" w:lineRule="auto"/>
              <w:ind w:firstLine="0"/>
              <w:jc w:val="left"/>
            </w:pPr>
            <w:r>
              <w:rPr>
                <w:b w:val="0"/>
                <w:i w:val="0"/>
                <w:sz w:val="20"/>
              </w:rPr>
              <w:t>2844 30</w:t>
            </w:r>
          </w:p>
        </w:tc>
        <w:tc>
          <w:tcPr>
            <w:tcW w:type="dxa" w:w="3324"/>
          </w:tcPr>
          <w:p>
            <w:pPr>
              <w:spacing w:after="0" w:line="240" w:lineRule="auto"/>
              <w:ind w:firstLine="0"/>
              <w:jc w:val="center"/>
            </w:pPr>
            <w:r>
              <w:rPr>
                <w:b w:val="0"/>
                <w:i w:val="0"/>
                <w:sz w:val="20"/>
              </w:rPr>
              <w:t>Торий, соединения тория</w:t>
            </w:r>
          </w:p>
        </w:tc>
        <w:tc>
          <w:tcPr>
            <w:tcW w:type="dxa" w:w="3324"/>
          </w:tcPr>
          <w:p>
            <w:pPr>
              <w:spacing w:after="0" w:line="240" w:lineRule="auto"/>
              <w:ind w:firstLine="0"/>
              <w:jc w:val="center"/>
            </w:pPr>
            <w:r>
              <w:rPr>
                <w:b w:val="0"/>
                <w:i w:val="0"/>
                <w:sz w:val="20"/>
              </w:rPr>
              <w:t>отходы переработки</w:t>
            </w:r>
          </w:p>
        </w:tc>
      </w:tr>
    </w:tbl>
    <w:p>
      <w:pPr>
        <w:spacing w:after="180"/>
        <w:ind w:firstLine="0"/>
      </w:pPr>
      <w:r>
        <w:rPr>
          <w:i/>
          <w:sz w:val="20"/>
        </w:rPr>
        <w:t>Источник: ТН ВЭД ЕАЭС; Гармонизированная система</w:t>
      </w:r>
    </w:p>
    <w:p>
      <w:pPr>
        <w:keepNext/>
        <w:spacing w:before="160" w:after="60"/>
        <w:ind w:firstLine="0"/>
        <w:jc w:val="left"/>
      </w:pPr>
      <w:r>
        <w:rPr>
          <w:b/>
          <w:sz w:val="22"/>
        </w:rPr>
        <w:t>Таблица 133. Пересчётные коэффициенты для редкоземельных соединений</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Соединение</w:t>
            </w:r>
          </w:p>
        </w:tc>
        <w:tc>
          <w:tcPr>
            <w:tcW w:type="dxa" w:w="2493"/>
            <w:shd w:val="clear" w:fill="DCE6F1"/>
          </w:tcPr>
          <w:p>
            <w:pPr>
              <w:spacing w:after="0" w:line="240" w:lineRule="auto"/>
              <w:ind w:firstLine="0"/>
              <w:jc w:val="center"/>
            </w:pPr>
            <w:r>
              <w:rPr>
                <w:b/>
                <w:i w:val="0"/>
                <w:sz w:val="20"/>
              </w:rPr>
              <w:t>Формула</w:t>
            </w:r>
          </w:p>
        </w:tc>
        <w:tc>
          <w:tcPr>
            <w:tcW w:type="dxa" w:w="2493"/>
            <w:shd w:val="clear" w:fill="DCE6F1"/>
          </w:tcPr>
          <w:p>
            <w:pPr>
              <w:spacing w:after="0" w:line="240" w:lineRule="auto"/>
              <w:ind w:firstLine="0"/>
              <w:jc w:val="center"/>
            </w:pPr>
            <w:r>
              <w:rPr>
                <w:b/>
                <w:i w:val="0"/>
                <w:sz w:val="20"/>
              </w:rPr>
              <w:t>Коэфф. пересчёта в металл</w:t>
            </w:r>
          </w:p>
        </w:tc>
        <w:tc>
          <w:tcPr>
            <w:tcW w:type="dxa" w:w="2493"/>
            <w:shd w:val="clear" w:fill="DCE6F1"/>
          </w:tcPr>
          <w:p>
            <w:pPr>
              <w:spacing w:after="0" w:line="240" w:lineRule="auto"/>
              <w:ind w:firstLine="0"/>
              <w:jc w:val="center"/>
            </w:pPr>
            <w:r>
              <w:rPr>
                <w:b/>
                <w:i w:val="0"/>
                <w:sz w:val="20"/>
              </w:rPr>
              <w:t>Коэфф. пересчёта в оксид</w:t>
            </w:r>
          </w:p>
        </w:tc>
      </w:tr>
      <w:tr>
        <w:tc>
          <w:tcPr>
            <w:tcW w:type="dxa" w:w="2493"/>
          </w:tcPr>
          <w:p>
            <w:pPr>
              <w:spacing w:after="0" w:line="240" w:lineRule="auto"/>
              <w:ind w:firstLine="0"/>
              <w:jc w:val="left"/>
            </w:pPr>
            <w:r>
              <w:rPr>
                <w:b w:val="0"/>
                <w:i w:val="0"/>
                <w:sz w:val="20"/>
              </w:rPr>
              <w:t>Оксид лантана</w:t>
            </w:r>
          </w:p>
        </w:tc>
        <w:tc>
          <w:tcPr>
            <w:tcW w:type="dxa" w:w="2493"/>
          </w:tcPr>
          <w:p>
            <w:pPr>
              <w:spacing w:after="0" w:line="240" w:lineRule="auto"/>
              <w:ind w:firstLine="0"/>
              <w:jc w:val="center"/>
            </w:pPr>
            <w:r>
              <w:rPr>
                <w:b w:val="0"/>
                <w:i w:val="0"/>
                <w:sz w:val="20"/>
              </w:rPr>
              <w:t>La₂O₃</w:t>
            </w:r>
          </w:p>
        </w:tc>
        <w:tc>
          <w:tcPr>
            <w:tcW w:type="dxa" w:w="2493"/>
          </w:tcPr>
          <w:p>
            <w:pPr>
              <w:spacing w:after="0" w:line="240" w:lineRule="auto"/>
              <w:ind w:firstLine="0"/>
              <w:jc w:val="center"/>
            </w:pPr>
            <w:r>
              <w:rPr>
                <w:b w:val="0"/>
                <w:i w:val="0"/>
                <w:sz w:val="20"/>
              </w:rPr>
              <w:t>0,8527</w:t>
            </w:r>
          </w:p>
        </w:tc>
        <w:tc>
          <w:tcPr>
            <w:tcW w:type="dxa" w:w="2493"/>
          </w:tcPr>
          <w:p>
            <w:pPr>
              <w:spacing w:after="0" w:line="240" w:lineRule="auto"/>
              <w:ind w:firstLine="0"/>
              <w:jc w:val="center"/>
            </w:pPr>
            <w:r>
              <w:rPr>
                <w:b w:val="0"/>
                <w:i w:val="0"/>
                <w:sz w:val="20"/>
              </w:rPr>
              <w:t>1,0000</w:t>
            </w:r>
          </w:p>
        </w:tc>
      </w:tr>
      <w:tr>
        <w:tc>
          <w:tcPr>
            <w:tcW w:type="dxa" w:w="2493"/>
          </w:tcPr>
          <w:p>
            <w:pPr>
              <w:spacing w:after="0" w:line="240" w:lineRule="auto"/>
              <w:ind w:firstLine="0"/>
              <w:jc w:val="left"/>
            </w:pPr>
            <w:r>
              <w:rPr>
                <w:b w:val="0"/>
                <w:i w:val="0"/>
                <w:sz w:val="20"/>
              </w:rPr>
              <w:t>Оксид церия</w:t>
            </w:r>
          </w:p>
        </w:tc>
        <w:tc>
          <w:tcPr>
            <w:tcW w:type="dxa" w:w="2493"/>
          </w:tcPr>
          <w:p>
            <w:pPr>
              <w:spacing w:after="0" w:line="240" w:lineRule="auto"/>
              <w:ind w:firstLine="0"/>
              <w:jc w:val="center"/>
            </w:pPr>
            <w:r>
              <w:rPr>
                <w:b w:val="0"/>
                <w:i w:val="0"/>
                <w:sz w:val="20"/>
              </w:rPr>
              <w:t>CeO₂</w:t>
            </w:r>
          </w:p>
        </w:tc>
        <w:tc>
          <w:tcPr>
            <w:tcW w:type="dxa" w:w="2493"/>
          </w:tcPr>
          <w:p>
            <w:pPr>
              <w:spacing w:after="0" w:line="240" w:lineRule="auto"/>
              <w:ind w:firstLine="0"/>
              <w:jc w:val="center"/>
            </w:pPr>
            <w:r>
              <w:rPr>
                <w:b w:val="0"/>
                <w:i w:val="0"/>
                <w:sz w:val="20"/>
              </w:rPr>
              <w:t>0,8141</w:t>
            </w:r>
          </w:p>
        </w:tc>
        <w:tc>
          <w:tcPr>
            <w:tcW w:type="dxa" w:w="2493"/>
          </w:tcPr>
          <w:p>
            <w:pPr>
              <w:spacing w:after="0" w:line="240" w:lineRule="auto"/>
              <w:ind w:firstLine="0"/>
              <w:jc w:val="center"/>
            </w:pPr>
            <w:r>
              <w:rPr>
                <w:b w:val="0"/>
                <w:i w:val="0"/>
                <w:sz w:val="20"/>
              </w:rPr>
              <w:t>1,0000</w:t>
            </w:r>
          </w:p>
        </w:tc>
      </w:tr>
      <w:tr>
        <w:tc>
          <w:tcPr>
            <w:tcW w:type="dxa" w:w="2493"/>
          </w:tcPr>
          <w:p>
            <w:pPr>
              <w:spacing w:after="0" w:line="240" w:lineRule="auto"/>
              <w:ind w:firstLine="0"/>
              <w:jc w:val="left"/>
            </w:pPr>
            <w:r>
              <w:rPr>
                <w:b w:val="0"/>
                <w:i w:val="0"/>
                <w:sz w:val="20"/>
              </w:rPr>
              <w:t>Оксид празеодима</w:t>
            </w:r>
          </w:p>
        </w:tc>
        <w:tc>
          <w:tcPr>
            <w:tcW w:type="dxa" w:w="2493"/>
          </w:tcPr>
          <w:p>
            <w:pPr>
              <w:spacing w:after="0" w:line="240" w:lineRule="auto"/>
              <w:ind w:firstLine="0"/>
              <w:jc w:val="center"/>
            </w:pPr>
            <w:r>
              <w:rPr>
                <w:b w:val="0"/>
                <w:i w:val="0"/>
                <w:sz w:val="20"/>
              </w:rPr>
              <w:t>Pr₆O₁₁</w:t>
            </w:r>
          </w:p>
        </w:tc>
        <w:tc>
          <w:tcPr>
            <w:tcW w:type="dxa" w:w="2493"/>
          </w:tcPr>
          <w:p>
            <w:pPr>
              <w:spacing w:after="0" w:line="240" w:lineRule="auto"/>
              <w:ind w:firstLine="0"/>
              <w:jc w:val="center"/>
            </w:pPr>
            <w:r>
              <w:rPr>
                <w:b w:val="0"/>
                <w:i w:val="0"/>
                <w:sz w:val="20"/>
              </w:rPr>
              <w:t>0,8280</w:t>
            </w:r>
          </w:p>
        </w:tc>
        <w:tc>
          <w:tcPr>
            <w:tcW w:type="dxa" w:w="2493"/>
          </w:tcPr>
          <w:p>
            <w:pPr>
              <w:spacing w:after="0" w:line="240" w:lineRule="auto"/>
              <w:ind w:firstLine="0"/>
              <w:jc w:val="center"/>
            </w:pPr>
            <w:r>
              <w:rPr>
                <w:b w:val="0"/>
                <w:i w:val="0"/>
                <w:sz w:val="20"/>
              </w:rPr>
              <w:t>1,0000</w:t>
            </w:r>
          </w:p>
        </w:tc>
      </w:tr>
      <w:tr>
        <w:tc>
          <w:tcPr>
            <w:tcW w:type="dxa" w:w="2493"/>
          </w:tcPr>
          <w:p>
            <w:pPr>
              <w:spacing w:after="0" w:line="240" w:lineRule="auto"/>
              <w:ind w:firstLine="0"/>
              <w:jc w:val="left"/>
            </w:pPr>
            <w:r>
              <w:rPr>
                <w:b w:val="0"/>
                <w:i w:val="0"/>
                <w:sz w:val="20"/>
              </w:rPr>
              <w:t>Оксид неодима</w:t>
            </w:r>
          </w:p>
        </w:tc>
        <w:tc>
          <w:tcPr>
            <w:tcW w:type="dxa" w:w="2493"/>
          </w:tcPr>
          <w:p>
            <w:pPr>
              <w:spacing w:after="0" w:line="240" w:lineRule="auto"/>
              <w:ind w:firstLine="0"/>
              <w:jc w:val="center"/>
            </w:pPr>
            <w:r>
              <w:rPr>
                <w:b w:val="0"/>
                <w:i w:val="0"/>
                <w:sz w:val="20"/>
              </w:rPr>
              <w:t>Nd₂O₃</w:t>
            </w:r>
          </w:p>
        </w:tc>
        <w:tc>
          <w:tcPr>
            <w:tcW w:type="dxa" w:w="2493"/>
          </w:tcPr>
          <w:p>
            <w:pPr>
              <w:spacing w:after="0" w:line="240" w:lineRule="auto"/>
              <w:ind w:firstLine="0"/>
              <w:jc w:val="center"/>
            </w:pPr>
            <w:r>
              <w:rPr>
                <w:b w:val="0"/>
                <w:i w:val="0"/>
                <w:sz w:val="20"/>
              </w:rPr>
              <w:t>0,8574</w:t>
            </w:r>
          </w:p>
        </w:tc>
        <w:tc>
          <w:tcPr>
            <w:tcW w:type="dxa" w:w="2493"/>
          </w:tcPr>
          <w:p>
            <w:pPr>
              <w:spacing w:after="0" w:line="240" w:lineRule="auto"/>
              <w:ind w:firstLine="0"/>
              <w:jc w:val="center"/>
            </w:pPr>
            <w:r>
              <w:rPr>
                <w:b w:val="0"/>
                <w:i w:val="0"/>
                <w:sz w:val="20"/>
              </w:rPr>
              <w:t>1,0000</w:t>
            </w:r>
          </w:p>
        </w:tc>
      </w:tr>
      <w:tr>
        <w:tc>
          <w:tcPr>
            <w:tcW w:type="dxa" w:w="2493"/>
          </w:tcPr>
          <w:p>
            <w:pPr>
              <w:spacing w:after="0" w:line="240" w:lineRule="auto"/>
              <w:ind w:firstLine="0"/>
              <w:jc w:val="left"/>
            </w:pPr>
            <w:r>
              <w:rPr>
                <w:b w:val="0"/>
                <w:i w:val="0"/>
                <w:sz w:val="20"/>
              </w:rPr>
              <w:t>Оксид самария</w:t>
            </w:r>
          </w:p>
        </w:tc>
        <w:tc>
          <w:tcPr>
            <w:tcW w:type="dxa" w:w="2493"/>
          </w:tcPr>
          <w:p>
            <w:pPr>
              <w:spacing w:after="0" w:line="240" w:lineRule="auto"/>
              <w:ind w:firstLine="0"/>
              <w:jc w:val="center"/>
            </w:pPr>
            <w:r>
              <w:rPr>
                <w:b w:val="0"/>
                <w:i w:val="0"/>
                <w:sz w:val="20"/>
              </w:rPr>
              <w:t>Sm₂O₃</w:t>
            </w:r>
          </w:p>
        </w:tc>
        <w:tc>
          <w:tcPr>
            <w:tcW w:type="dxa" w:w="2493"/>
          </w:tcPr>
          <w:p>
            <w:pPr>
              <w:spacing w:after="0" w:line="240" w:lineRule="auto"/>
              <w:ind w:firstLine="0"/>
              <w:jc w:val="center"/>
            </w:pPr>
            <w:r>
              <w:rPr>
                <w:b w:val="0"/>
                <w:i w:val="0"/>
                <w:sz w:val="20"/>
              </w:rPr>
              <w:t>0,8624</w:t>
            </w:r>
          </w:p>
        </w:tc>
        <w:tc>
          <w:tcPr>
            <w:tcW w:type="dxa" w:w="2493"/>
          </w:tcPr>
          <w:p>
            <w:pPr>
              <w:spacing w:after="0" w:line="240" w:lineRule="auto"/>
              <w:ind w:firstLine="0"/>
              <w:jc w:val="center"/>
            </w:pPr>
            <w:r>
              <w:rPr>
                <w:b w:val="0"/>
                <w:i w:val="0"/>
                <w:sz w:val="20"/>
              </w:rPr>
              <w:t>1,0000</w:t>
            </w:r>
          </w:p>
        </w:tc>
      </w:tr>
      <w:tr>
        <w:tc>
          <w:tcPr>
            <w:tcW w:type="dxa" w:w="2493"/>
          </w:tcPr>
          <w:p>
            <w:pPr>
              <w:spacing w:after="0" w:line="240" w:lineRule="auto"/>
              <w:ind w:firstLine="0"/>
              <w:jc w:val="left"/>
            </w:pPr>
            <w:r>
              <w:rPr>
                <w:b w:val="0"/>
                <w:i w:val="0"/>
                <w:sz w:val="20"/>
              </w:rPr>
              <w:t>Оксид европия</w:t>
            </w:r>
          </w:p>
        </w:tc>
        <w:tc>
          <w:tcPr>
            <w:tcW w:type="dxa" w:w="2493"/>
          </w:tcPr>
          <w:p>
            <w:pPr>
              <w:spacing w:after="0" w:line="240" w:lineRule="auto"/>
              <w:ind w:firstLine="0"/>
              <w:jc w:val="center"/>
            </w:pPr>
            <w:r>
              <w:rPr>
                <w:b w:val="0"/>
                <w:i w:val="0"/>
                <w:sz w:val="20"/>
              </w:rPr>
              <w:t>Eu₂O₃</w:t>
            </w:r>
          </w:p>
        </w:tc>
        <w:tc>
          <w:tcPr>
            <w:tcW w:type="dxa" w:w="2493"/>
          </w:tcPr>
          <w:p>
            <w:pPr>
              <w:spacing w:after="0" w:line="240" w:lineRule="auto"/>
              <w:ind w:firstLine="0"/>
              <w:jc w:val="center"/>
            </w:pPr>
            <w:r>
              <w:rPr>
                <w:b w:val="0"/>
                <w:i w:val="0"/>
                <w:sz w:val="20"/>
              </w:rPr>
              <w:t>0,8636</w:t>
            </w:r>
          </w:p>
        </w:tc>
        <w:tc>
          <w:tcPr>
            <w:tcW w:type="dxa" w:w="2493"/>
          </w:tcPr>
          <w:p>
            <w:pPr>
              <w:spacing w:after="0" w:line="240" w:lineRule="auto"/>
              <w:ind w:firstLine="0"/>
              <w:jc w:val="center"/>
            </w:pPr>
            <w:r>
              <w:rPr>
                <w:b w:val="0"/>
                <w:i w:val="0"/>
                <w:sz w:val="20"/>
              </w:rPr>
              <w:t>1,0000</w:t>
            </w:r>
          </w:p>
        </w:tc>
      </w:tr>
      <w:tr>
        <w:tc>
          <w:tcPr>
            <w:tcW w:type="dxa" w:w="2493"/>
          </w:tcPr>
          <w:p>
            <w:pPr>
              <w:spacing w:after="0" w:line="240" w:lineRule="auto"/>
              <w:ind w:firstLine="0"/>
              <w:jc w:val="left"/>
            </w:pPr>
            <w:r>
              <w:rPr>
                <w:b w:val="0"/>
                <w:i w:val="0"/>
                <w:sz w:val="20"/>
              </w:rPr>
              <w:t>Оксид гадолиния</w:t>
            </w:r>
          </w:p>
        </w:tc>
        <w:tc>
          <w:tcPr>
            <w:tcW w:type="dxa" w:w="2493"/>
          </w:tcPr>
          <w:p>
            <w:pPr>
              <w:spacing w:after="0" w:line="240" w:lineRule="auto"/>
              <w:ind w:firstLine="0"/>
              <w:jc w:val="center"/>
            </w:pPr>
            <w:r>
              <w:rPr>
                <w:b w:val="0"/>
                <w:i w:val="0"/>
                <w:sz w:val="20"/>
              </w:rPr>
              <w:t>Gd₂O₃</w:t>
            </w:r>
          </w:p>
        </w:tc>
        <w:tc>
          <w:tcPr>
            <w:tcW w:type="dxa" w:w="2493"/>
          </w:tcPr>
          <w:p>
            <w:pPr>
              <w:spacing w:after="0" w:line="240" w:lineRule="auto"/>
              <w:ind w:firstLine="0"/>
              <w:jc w:val="center"/>
            </w:pPr>
            <w:r>
              <w:rPr>
                <w:b w:val="0"/>
                <w:i w:val="0"/>
                <w:sz w:val="20"/>
              </w:rPr>
              <w:t>0,8676</w:t>
            </w:r>
          </w:p>
        </w:tc>
        <w:tc>
          <w:tcPr>
            <w:tcW w:type="dxa" w:w="2493"/>
          </w:tcPr>
          <w:p>
            <w:pPr>
              <w:spacing w:after="0" w:line="240" w:lineRule="auto"/>
              <w:ind w:firstLine="0"/>
              <w:jc w:val="center"/>
            </w:pPr>
            <w:r>
              <w:rPr>
                <w:b w:val="0"/>
                <w:i w:val="0"/>
                <w:sz w:val="20"/>
              </w:rPr>
              <w:t>1,0000</w:t>
            </w:r>
          </w:p>
        </w:tc>
      </w:tr>
      <w:tr>
        <w:tc>
          <w:tcPr>
            <w:tcW w:type="dxa" w:w="2493"/>
          </w:tcPr>
          <w:p>
            <w:pPr>
              <w:spacing w:after="0" w:line="240" w:lineRule="auto"/>
              <w:ind w:firstLine="0"/>
              <w:jc w:val="left"/>
            </w:pPr>
            <w:r>
              <w:rPr>
                <w:b w:val="0"/>
                <w:i w:val="0"/>
                <w:sz w:val="20"/>
              </w:rPr>
              <w:t>Оксид тербия</w:t>
            </w:r>
          </w:p>
        </w:tc>
        <w:tc>
          <w:tcPr>
            <w:tcW w:type="dxa" w:w="2493"/>
          </w:tcPr>
          <w:p>
            <w:pPr>
              <w:spacing w:after="0" w:line="240" w:lineRule="auto"/>
              <w:ind w:firstLine="0"/>
              <w:jc w:val="center"/>
            </w:pPr>
            <w:r>
              <w:rPr>
                <w:b w:val="0"/>
                <w:i w:val="0"/>
                <w:sz w:val="20"/>
              </w:rPr>
              <w:t>Tb₄O₇</w:t>
            </w:r>
          </w:p>
        </w:tc>
        <w:tc>
          <w:tcPr>
            <w:tcW w:type="dxa" w:w="2493"/>
          </w:tcPr>
          <w:p>
            <w:pPr>
              <w:spacing w:after="0" w:line="240" w:lineRule="auto"/>
              <w:ind w:firstLine="0"/>
              <w:jc w:val="center"/>
            </w:pPr>
            <w:r>
              <w:rPr>
                <w:b w:val="0"/>
                <w:i w:val="0"/>
                <w:sz w:val="20"/>
              </w:rPr>
              <w:t>0,8517</w:t>
            </w:r>
          </w:p>
        </w:tc>
        <w:tc>
          <w:tcPr>
            <w:tcW w:type="dxa" w:w="2493"/>
          </w:tcPr>
          <w:p>
            <w:pPr>
              <w:spacing w:after="0" w:line="240" w:lineRule="auto"/>
              <w:ind w:firstLine="0"/>
              <w:jc w:val="center"/>
            </w:pPr>
            <w:r>
              <w:rPr>
                <w:b w:val="0"/>
                <w:i w:val="0"/>
                <w:sz w:val="20"/>
              </w:rPr>
              <w:t>1,0000</w:t>
            </w:r>
          </w:p>
        </w:tc>
      </w:tr>
      <w:tr>
        <w:tc>
          <w:tcPr>
            <w:tcW w:type="dxa" w:w="2493"/>
          </w:tcPr>
          <w:p>
            <w:pPr>
              <w:spacing w:after="0" w:line="240" w:lineRule="auto"/>
              <w:ind w:firstLine="0"/>
              <w:jc w:val="left"/>
            </w:pPr>
            <w:r>
              <w:rPr>
                <w:b w:val="0"/>
                <w:i w:val="0"/>
                <w:sz w:val="20"/>
              </w:rPr>
              <w:t>Оксид диспрозия</w:t>
            </w:r>
          </w:p>
        </w:tc>
        <w:tc>
          <w:tcPr>
            <w:tcW w:type="dxa" w:w="2493"/>
          </w:tcPr>
          <w:p>
            <w:pPr>
              <w:spacing w:after="0" w:line="240" w:lineRule="auto"/>
              <w:ind w:firstLine="0"/>
              <w:jc w:val="center"/>
            </w:pPr>
            <w:r>
              <w:rPr>
                <w:b w:val="0"/>
                <w:i w:val="0"/>
                <w:sz w:val="20"/>
              </w:rPr>
              <w:t>Dy₂O₃</w:t>
            </w:r>
          </w:p>
        </w:tc>
        <w:tc>
          <w:tcPr>
            <w:tcW w:type="dxa" w:w="2493"/>
          </w:tcPr>
          <w:p>
            <w:pPr>
              <w:spacing w:after="0" w:line="240" w:lineRule="auto"/>
              <w:ind w:firstLine="0"/>
              <w:jc w:val="center"/>
            </w:pPr>
            <w:r>
              <w:rPr>
                <w:b w:val="0"/>
                <w:i w:val="0"/>
                <w:sz w:val="20"/>
              </w:rPr>
              <w:t>0,8713</w:t>
            </w:r>
          </w:p>
        </w:tc>
        <w:tc>
          <w:tcPr>
            <w:tcW w:type="dxa" w:w="2493"/>
          </w:tcPr>
          <w:p>
            <w:pPr>
              <w:spacing w:after="0" w:line="240" w:lineRule="auto"/>
              <w:ind w:firstLine="0"/>
              <w:jc w:val="center"/>
            </w:pPr>
            <w:r>
              <w:rPr>
                <w:b w:val="0"/>
                <w:i w:val="0"/>
                <w:sz w:val="20"/>
              </w:rPr>
              <w:t>1,0000</w:t>
            </w:r>
          </w:p>
        </w:tc>
      </w:tr>
      <w:tr>
        <w:tc>
          <w:tcPr>
            <w:tcW w:type="dxa" w:w="2493"/>
          </w:tcPr>
          <w:p>
            <w:pPr>
              <w:spacing w:after="0" w:line="240" w:lineRule="auto"/>
              <w:ind w:firstLine="0"/>
              <w:jc w:val="left"/>
            </w:pPr>
            <w:r>
              <w:rPr>
                <w:b w:val="0"/>
                <w:i w:val="0"/>
                <w:sz w:val="20"/>
              </w:rPr>
              <w:t>Оксид иттрия</w:t>
            </w:r>
          </w:p>
        </w:tc>
        <w:tc>
          <w:tcPr>
            <w:tcW w:type="dxa" w:w="2493"/>
          </w:tcPr>
          <w:p>
            <w:pPr>
              <w:spacing w:after="0" w:line="240" w:lineRule="auto"/>
              <w:ind w:firstLine="0"/>
              <w:jc w:val="center"/>
            </w:pPr>
            <w:r>
              <w:rPr>
                <w:b w:val="0"/>
                <w:i w:val="0"/>
                <w:sz w:val="20"/>
              </w:rPr>
              <w:t>Y₂O₃</w:t>
            </w:r>
          </w:p>
        </w:tc>
        <w:tc>
          <w:tcPr>
            <w:tcW w:type="dxa" w:w="2493"/>
          </w:tcPr>
          <w:p>
            <w:pPr>
              <w:spacing w:after="0" w:line="240" w:lineRule="auto"/>
              <w:ind w:firstLine="0"/>
              <w:jc w:val="center"/>
            </w:pPr>
            <w:r>
              <w:rPr>
                <w:b w:val="0"/>
                <w:i w:val="0"/>
                <w:sz w:val="20"/>
              </w:rPr>
              <w:t>0,7875</w:t>
            </w:r>
          </w:p>
        </w:tc>
        <w:tc>
          <w:tcPr>
            <w:tcW w:type="dxa" w:w="2493"/>
          </w:tcPr>
          <w:p>
            <w:pPr>
              <w:spacing w:after="0" w:line="240" w:lineRule="auto"/>
              <w:ind w:firstLine="0"/>
              <w:jc w:val="center"/>
            </w:pPr>
            <w:r>
              <w:rPr>
                <w:b w:val="0"/>
                <w:i w:val="0"/>
                <w:sz w:val="20"/>
              </w:rPr>
              <w:t>1,0000</w:t>
            </w:r>
          </w:p>
        </w:tc>
      </w:tr>
      <w:tr>
        <w:tc>
          <w:tcPr>
            <w:tcW w:type="dxa" w:w="2493"/>
          </w:tcPr>
          <w:p>
            <w:pPr>
              <w:spacing w:after="0" w:line="240" w:lineRule="auto"/>
              <w:ind w:firstLine="0"/>
              <w:jc w:val="left"/>
            </w:pPr>
            <w:r>
              <w:rPr>
                <w:b w:val="0"/>
                <w:i w:val="0"/>
                <w:sz w:val="20"/>
              </w:rPr>
              <w:t>Оксид скандия</w:t>
            </w:r>
          </w:p>
        </w:tc>
        <w:tc>
          <w:tcPr>
            <w:tcW w:type="dxa" w:w="2493"/>
          </w:tcPr>
          <w:p>
            <w:pPr>
              <w:spacing w:after="0" w:line="240" w:lineRule="auto"/>
              <w:ind w:firstLine="0"/>
              <w:jc w:val="center"/>
            </w:pPr>
            <w:r>
              <w:rPr>
                <w:b w:val="0"/>
                <w:i w:val="0"/>
                <w:sz w:val="20"/>
              </w:rPr>
              <w:t>Sc₂O₃</w:t>
            </w:r>
          </w:p>
        </w:tc>
        <w:tc>
          <w:tcPr>
            <w:tcW w:type="dxa" w:w="2493"/>
          </w:tcPr>
          <w:p>
            <w:pPr>
              <w:spacing w:after="0" w:line="240" w:lineRule="auto"/>
              <w:ind w:firstLine="0"/>
              <w:jc w:val="center"/>
            </w:pPr>
            <w:r>
              <w:rPr>
                <w:b w:val="0"/>
                <w:i w:val="0"/>
                <w:sz w:val="20"/>
              </w:rPr>
              <w:t>0,6520</w:t>
            </w:r>
          </w:p>
        </w:tc>
        <w:tc>
          <w:tcPr>
            <w:tcW w:type="dxa" w:w="2493"/>
          </w:tcPr>
          <w:p>
            <w:pPr>
              <w:spacing w:after="0" w:line="240" w:lineRule="auto"/>
              <w:ind w:firstLine="0"/>
              <w:jc w:val="center"/>
            </w:pPr>
            <w:r>
              <w:rPr>
                <w:b w:val="0"/>
                <w:i w:val="0"/>
                <w:sz w:val="20"/>
              </w:rPr>
              <w:t>1,0000</w:t>
            </w:r>
          </w:p>
        </w:tc>
      </w:tr>
      <w:tr>
        <w:tc>
          <w:tcPr>
            <w:tcW w:type="dxa" w:w="2493"/>
          </w:tcPr>
          <w:p>
            <w:pPr>
              <w:spacing w:after="0" w:line="240" w:lineRule="auto"/>
              <w:ind w:firstLine="0"/>
              <w:jc w:val="left"/>
            </w:pPr>
            <w:r>
              <w:rPr>
                <w:b w:val="0"/>
                <w:i w:val="0"/>
                <w:sz w:val="20"/>
              </w:rPr>
              <w:t>Карбонат РЗЭ (типовой)</w:t>
            </w:r>
          </w:p>
        </w:tc>
        <w:tc>
          <w:tcPr>
            <w:tcW w:type="dxa" w:w="2493"/>
          </w:tcPr>
          <w:p>
            <w:pPr>
              <w:spacing w:after="0" w:line="240" w:lineRule="auto"/>
              <w:ind w:firstLine="0"/>
              <w:jc w:val="center"/>
            </w:pPr>
            <w:r>
              <w:rPr>
                <w:b w:val="0"/>
                <w:i w:val="0"/>
                <w:sz w:val="20"/>
              </w:rPr>
              <w:t>RE₂(CO₃)₃·nH₂O</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0,45–0,52</w:t>
            </w:r>
          </w:p>
        </w:tc>
      </w:tr>
      <w:tr>
        <w:tc>
          <w:tcPr>
            <w:tcW w:type="dxa" w:w="2493"/>
          </w:tcPr>
          <w:p>
            <w:pPr>
              <w:spacing w:after="0" w:line="240" w:lineRule="auto"/>
              <w:ind w:firstLine="0"/>
              <w:jc w:val="left"/>
            </w:pPr>
            <w:r>
              <w:rPr>
                <w:b w:val="0"/>
                <w:i w:val="0"/>
                <w:sz w:val="20"/>
              </w:rPr>
              <w:t>Хлорид РЗЭ (типовой)</w:t>
            </w:r>
          </w:p>
        </w:tc>
        <w:tc>
          <w:tcPr>
            <w:tcW w:type="dxa" w:w="2493"/>
          </w:tcPr>
          <w:p>
            <w:pPr>
              <w:spacing w:after="0" w:line="240" w:lineRule="auto"/>
              <w:ind w:firstLine="0"/>
              <w:jc w:val="center"/>
            </w:pPr>
            <w:r>
              <w:rPr>
                <w:b w:val="0"/>
                <w:i w:val="0"/>
                <w:sz w:val="20"/>
              </w:rPr>
              <w:t>RECl₃·6H₂O</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0,40–0,47</w:t>
            </w:r>
          </w:p>
        </w:tc>
      </w:tr>
      <w:tr>
        <w:tc>
          <w:tcPr>
            <w:tcW w:type="dxa" w:w="2493"/>
          </w:tcPr>
          <w:p>
            <w:pPr>
              <w:spacing w:after="0" w:line="240" w:lineRule="auto"/>
              <w:ind w:firstLine="0"/>
              <w:jc w:val="left"/>
            </w:pPr>
            <w:r>
              <w:rPr>
                <w:b w:val="0"/>
                <w:i w:val="0"/>
                <w:sz w:val="20"/>
              </w:rPr>
              <w:t>Сплав NdFeB (по NdPr)</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w:t>
            </w:r>
          </w:p>
        </w:tc>
        <w:tc>
          <w:tcPr>
            <w:tcW w:type="dxa" w:w="2493"/>
          </w:tcPr>
          <w:p>
            <w:pPr>
              <w:spacing w:after="0" w:line="240" w:lineRule="auto"/>
              <w:ind w:firstLine="0"/>
              <w:jc w:val="center"/>
            </w:pPr>
            <w:r>
              <w:rPr>
                <w:b w:val="0"/>
                <w:i w:val="0"/>
                <w:sz w:val="20"/>
              </w:rPr>
              <w:t>0,31 (доля NdPr)</w:t>
            </w:r>
          </w:p>
        </w:tc>
      </w:tr>
    </w:tbl>
    <w:p>
      <w:pPr>
        <w:spacing w:after="180"/>
        <w:ind w:firstLine="0"/>
      </w:pPr>
      <w:r>
        <w:rPr>
          <w:i/>
          <w:sz w:val="20"/>
        </w:rPr>
        <w:t>Источник: справочные данные; расчёт аналитического центра</w:t>
      </w:r>
    </w:p>
    <w:p>
      <w:r>
        <w:br w:type="page"/>
      </w:r>
    </w:p>
    <w:p>
      <w:pPr>
        <w:pStyle w:val="Heading1"/>
      </w:pPr>
      <w:r>
        <w:rPr>
          <w:b w:val="0"/>
          <w:i w:val="0"/>
        </w:rPr>
        <w:t>Приложение 5. Глоссарий терминов и сокращений</w:t>
      </w:r>
    </w:p>
    <w:p>
      <w:pPr>
        <w:keepNext/>
        <w:spacing w:before="160" w:after="60"/>
        <w:ind w:firstLine="0"/>
        <w:jc w:val="left"/>
      </w:pPr>
      <w:r>
        <w:rPr>
          <w:b/>
          <w:sz w:val="22"/>
        </w:rPr>
        <w:t>Таблица 134. Глоссарий основных терминов редкоземельной отрасли</w:t>
      </w:r>
    </w:p>
    <w:tbl>
      <w:tblPr>
        <w:tblStyle w:val="TableGrid"/>
        <w:tblW w:type="auto" w:w="0"/>
        <w:jc w:val="center"/>
        <w:tblLook w:firstColumn="1" w:firstRow="1" w:lastColumn="0" w:lastRow="0" w:noHBand="0" w:noVBand="1" w:val="04A0"/>
      </w:tblPr>
      <w:tblGrid>
        <w:gridCol w:w="4986"/>
        <w:gridCol w:w="4986"/>
      </w:tblGrid>
      <w:tr>
        <w:tc>
          <w:tcPr>
            <w:tcW w:type="dxa" w:w="4986"/>
            <w:shd w:val="clear" w:fill="DCE6F1"/>
          </w:tcPr>
          <w:p>
            <w:pPr>
              <w:spacing w:after="0" w:line="240" w:lineRule="auto"/>
              <w:ind w:firstLine="0"/>
              <w:jc w:val="center"/>
            </w:pPr>
            <w:r>
              <w:rPr>
                <w:b/>
                <w:i w:val="0"/>
                <w:sz w:val="20"/>
              </w:rPr>
              <w:t>Термин</w:t>
            </w:r>
          </w:p>
        </w:tc>
        <w:tc>
          <w:tcPr>
            <w:tcW w:type="dxa" w:w="4986"/>
            <w:shd w:val="clear" w:fill="DCE6F1"/>
          </w:tcPr>
          <w:p>
            <w:pPr>
              <w:spacing w:after="0" w:line="240" w:lineRule="auto"/>
              <w:ind w:firstLine="0"/>
              <w:jc w:val="center"/>
            </w:pPr>
            <w:r>
              <w:rPr>
                <w:b/>
                <w:i w:val="0"/>
                <w:sz w:val="20"/>
              </w:rPr>
              <w:t>Определение</w:t>
            </w:r>
          </w:p>
        </w:tc>
      </w:tr>
      <w:tr>
        <w:tc>
          <w:tcPr>
            <w:tcW w:type="dxa" w:w="4986"/>
          </w:tcPr>
          <w:p>
            <w:pPr>
              <w:spacing w:after="0" w:line="240" w:lineRule="auto"/>
              <w:ind w:firstLine="0"/>
              <w:jc w:val="left"/>
            </w:pPr>
            <w:r>
              <w:rPr>
                <w:b w:val="0"/>
                <w:i w:val="0"/>
                <w:sz w:val="20"/>
              </w:rPr>
              <w:t>TREO</w:t>
            </w:r>
          </w:p>
        </w:tc>
        <w:tc>
          <w:tcPr>
            <w:tcW w:type="dxa" w:w="4986"/>
          </w:tcPr>
          <w:p>
            <w:pPr>
              <w:spacing w:after="0" w:line="240" w:lineRule="auto"/>
              <w:ind w:firstLine="0"/>
              <w:jc w:val="left"/>
            </w:pPr>
            <w:r>
              <w:rPr>
                <w:b w:val="0"/>
                <w:i w:val="0"/>
                <w:sz w:val="20"/>
              </w:rPr>
              <w:t>Total Rare Earth Oxides — суммарное содержание оксидов редкоземельных элементов; основная единица учёта в отрасли</w:t>
            </w:r>
          </w:p>
        </w:tc>
      </w:tr>
      <w:tr>
        <w:tc>
          <w:tcPr>
            <w:tcW w:type="dxa" w:w="4986"/>
          </w:tcPr>
          <w:p>
            <w:pPr>
              <w:spacing w:after="0" w:line="240" w:lineRule="auto"/>
              <w:ind w:firstLine="0"/>
              <w:jc w:val="left"/>
            </w:pPr>
            <w:r>
              <w:rPr>
                <w:b w:val="0"/>
                <w:i w:val="0"/>
                <w:sz w:val="20"/>
              </w:rPr>
              <w:t>REO</w:t>
            </w:r>
          </w:p>
        </w:tc>
        <w:tc>
          <w:tcPr>
            <w:tcW w:type="dxa" w:w="4986"/>
          </w:tcPr>
          <w:p>
            <w:pPr>
              <w:spacing w:after="0" w:line="240" w:lineRule="auto"/>
              <w:ind w:firstLine="0"/>
              <w:jc w:val="left"/>
            </w:pPr>
            <w:r>
              <w:rPr>
                <w:b w:val="0"/>
                <w:i w:val="0"/>
                <w:sz w:val="20"/>
              </w:rPr>
              <w:t>Rare Earth Oxide — оксид редкоземельного элемента; часто применяется как синоним TREO</w:t>
            </w:r>
          </w:p>
        </w:tc>
      </w:tr>
      <w:tr>
        <w:tc>
          <w:tcPr>
            <w:tcW w:type="dxa" w:w="4986"/>
          </w:tcPr>
          <w:p>
            <w:pPr>
              <w:spacing w:after="0" w:line="240" w:lineRule="auto"/>
              <w:ind w:firstLine="0"/>
              <w:jc w:val="left"/>
            </w:pPr>
            <w:r>
              <w:rPr>
                <w:b w:val="0"/>
                <w:i w:val="0"/>
                <w:sz w:val="20"/>
              </w:rPr>
              <w:t>LREE</w:t>
            </w:r>
          </w:p>
        </w:tc>
        <w:tc>
          <w:tcPr>
            <w:tcW w:type="dxa" w:w="4986"/>
          </w:tcPr>
          <w:p>
            <w:pPr>
              <w:spacing w:after="0" w:line="240" w:lineRule="auto"/>
              <w:ind w:firstLine="0"/>
              <w:jc w:val="left"/>
            </w:pPr>
            <w:r>
              <w:rPr>
                <w:b w:val="0"/>
                <w:i w:val="0"/>
                <w:sz w:val="20"/>
              </w:rPr>
              <w:t>Light Rare Earth Elements — лёгкие редкоземельные элементы (La, Ce, Pr, Nd)</w:t>
            </w:r>
          </w:p>
        </w:tc>
      </w:tr>
      <w:tr>
        <w:tc>
          <w:tcPr>
            <w:tcW w:type="dxa" w:w="4986"/>
          </w:tcPr>
          <w:p>
            <w:pPr>
              <w:spacing w:after="0" w:line="240" w:lineRule="auto"/>
              <w:ind w:firstLine="0"/>
              <w:jc w:val="left"/>
            </w:pPr>
            <w:r>
              <w:rPr>
                <w:b w:val="0"/>
                <w:i w:val="0"/>
                <w:sz w:val="20"/>
              </w:rPr>
              <w:t>MREE</w:t>
            </w:r>
          </w:p>
        </w:tc>
        <w:tc>
          <w:tcPr>
            <w:tcW w:type="dxa" w:w="4986"/>
          </w:tcPr>
          <w:p>
            <w:pPr>
              <w:spacing w:after="0" w:line="240" w:lineRule="auto"/>
              <w:ind w:firstLine="0"/>
              <w:jc w:val="left"/>
            </w:pPr>
            <w:r>
              <w:rPr>
                <w:b w:val="0"/>
                <w:i w:val="0"/>
                <w:sz w:val="20"/>
              </w:rPr>
              <w:t>Medium Rare Earth Elements — средние редкоземельные элементы (Sm, Eu, Gd)</w:t>
            </w:r>
          </w:p>
        </w:tc>
      </w:tr>
      <w:tr>
        <w:tc>
          <w:tcPr>
            <w:tcW w:type="dxa" w:w="4986"/>
          </w:tcPr>
          <w:p>
            <w:pPr>
              <w:spacing w:after="0" w:line="240" w:lineRule="auto"/>
              <w:ind w:firstLine="0"/>
              <w:jc w:val="left"/>
            </w:pPr>
            <w:r>
              <w:rPr>
                <w:b w:val="0"/>
                <w:i w:val="0"/>
                <w:sz w:val="20"/>
              </w:rPr>
              <w:t>HREE</w:t>
            </w:r>
          </w:p>
        </w:tc>
        <w:tc>
          <w:tcPr>
            <w:tcW w:type="dxa" w:w="4986"/>
          </w:tcPr>
          <w:p>
            <w:pPr>
              <w:spacing w:after="0" w:line="240" w:lineRule="auto"/>
              <w:ind w:firstLine="0"/>
              <w:jc w:val="left"/>
            </w:pPr>
            <w:r>
              <w:rPr>
                <w:b w:val="0"/>
                <w:i w:val="0"/>
                <w:sz w:val="20"/>
              </w:rPr>
              <w:t>Heavy Rare Earth Elements — тяжёлые редкоземельные элементы (Tb–Lu, Y)</w:t>
            </w:r>
          </w:p>
        </w:tc>
      </w:tr>
      <w:tr>
        <w:tc>
          <w:tcPr>
            <w:tcW w:type="dxa" w:w="4986"/>
          </w:tcPr>
          <w:p>
            <w:pPr>
              <w:spacing w:after="0" w:line="240" w:lineRule="auto"/>
              <w:ind w:firstLine="0"/>
              <w:jc w:val="left"/>
            </w:pPr>
            <w:r>
              <w:rPr>
                <w:b w:val="0"/>
                <w:i w:val="0"/>
                <w:sz w:val="20"/>
              </w:rPr>
              <w:t>NdPr</w:t>
            </w:r>
          </w:p>
        </w:tc>
        <w:tc>
          <w:tcPr>
            <w:tcW w:type="dxa" w:w="4986"/>
          </w:tcPr>
          <w:p>
            <w:pPr>
              <w:spacing w:after="0" w:line="240" w:lineRule="auto"/>
              <w:ind w:firstLine="0"/>
              <w:jc w:val="left"/>
            </w:pPr>
            <w:r>
              <w:rPr>
                <w:b w:val="0"/>
                <w:i w:val="0"/>
                <w:sz w:val="20"/>
              </w:rPr>
              <w:t>Дидим — смесь оксидов или металлов неодима и празеодима, основной магнитный продукт</w:t>
            </w:r>
          </w:p>
        </w:tc>
      </w:tr>
      <w:tr>
        <w:tc>
          <w:tcPr>
            <w:tcW w:type="dxa" w:w="4986"/>
          </w:tcPr>
          <w:p>
            <w:pPr>
              <w:spacing w:after="0" w:line="240" w:lineRule="auto"/>
              <w:ind w:firstLine="0"/>
              <w:jc w:val="left"/>
            </w:pPr>
            <w:r>
              <w:rPr>
                <w:b w:val="0"/>
                <w:i w:val="0"/>
                <w:sz w:val="20"/>
              </w:rPr>
              <w:t>Корзина (basket)</w:t>
            </w:r>
          </w:p>
        </w:tc>
        <w:tc>
          <w:tcPr>
            <w:tcW w:type="dxa" w:w="4986"/>
          </w:tcPr>
          <w:p>
            <w:pPr>
              <w:spacing w:after="0" w:line="240" w:lineRule="auto"/>
              <w:ind w:firstLine="0"/>
              <w:jc w:val="left"/>
            </w:pPr>
            <w:r>
              <w:rPr>
                <w:b w:val="0"/>
                <w:i w:val="0"/>
                <w:sz w:val="20"/>
              </w:rPr>
              <w:t>Распределение отдельных элементов внутри суммы РЗМ конкретного сырья</w:t>
            </w:r>
          </w:p>
        </w:tc>
      </w:tr>
      <w:tr>
        <w:tc>
          <w:tcPr>
            <w:tcW w:type="dxa" w:w="4986"/>
          </w:tcPr>
          <w:p>
            <w:pPr>
              <w:spacing w:after="0" w:line="240" w:lineRule="auto"/>
              <w:ind w:firstLine="0"/>
              <w:jc w:val="left"/>
            </w:pPr>
            <w:r>
              <w:rPr>
                <w:b w:val="0"/>
                <w:i w:val="0"/>
                <w:sz w:val="20"/>
              </w:rPr>
              <w:t>Корзиночная стоимость</w:t>
            </w:r>
          </w:p>
        </w:tc>
        <w:tc>
          <w:tcPr>
            <w:tcW w:type="dxa" w:w="4986"/>
          </w:tcPr>
          <w:p>
            <w:pPr>
              <w:spacing w:after="0" w:line="240" w:lineRule="auto"/>
              <w:ind w:firstLine="0"/>
              <w:jc w:val="left"/>
            </w:pPr>
            <w:r>
              <w:rPr>
                <w:b w:val="0"/>
                <w:i w:val="0"/>
                <w:sz w:val="20"/>
              </w:rPr>
              <w:t>Расчётная выручка от реализации всех разделённых оксидов из тонны TREO</w:t>
            </w:r>
          </w:p>
        </w:tc>
      </w:tr>
      <w:tr>
        <w:tc>
          <w:tcPr>
            <w:tcW w:type="dxa" w:w="4986"/>
          </w:tcPr>
          <w:p>
            <w:pPr>
              <w:spacing w:after="0" w:line="240" w:lineRule="auto"/>
              <w:ind w:firstLine="0"/>
              <w:jc w:val="left"/>
            </w:pPr>
            <w:r>
              <w:rPr>
                <w:b w:val="0"/>
                <w:i w:val="0"/>
                <w:sz w:val="20"/>
              </w:rPr>
              <w:t>Проблема баланса корзины</w:t>
            </w:r>
          </w:p>
        </w:tc>
        <w:tc>
          <w:tcPr>
            <w:tcW w:type="dxa" w:w="4986"/>
          </w:tcPr>
          <w:p>
            <w:pPr>
              <w:spacing w:after="0" w:line="240" w:lineRule="auto"/>
              <w:ind w:firstLine="0"/>
              <w:jc w:val="left"/>
            </w:pPr>
            <w:r>
              <w:rPr>
                <w:b w:val="0"/>
                <w:i w:val="0"/>
                <w:sz w:val="20"/>
              </w:rPr>
              <w:t>Несоответствие структуры геологического предложения структуре рыночного спроса</w:t>
            </w:r>
          </w:p>
        </w:tc>
      </w:tr>
      <w:tr>
        <w:tc>
          <w:tcPr>
            <w:tcW w:type="dxa" w:w="4986"/>
          </w:tcPr>
          <w:p>
            <w:pPr>
              <w:spacing w:after="0" w:line="240" w:lineRule="auto"/>
              <w:ind w:firstLine="0"/>
              <w:jc w:val="left"/>
            </w:pPr>
            <w:r>
              <w:rPr>
                <w:b w:val="0"/>
                <w:i w:val="0"/>
                <w:sz w:val="20"/>
              </w:rPr>
              <w:t>MREC</w:t>
            </w:r>
          </w:p>
        </w:tc>
        <w:tc>
          <w:tcPr>
            <w:tcW w:type="dxa" w:w="4986"/>
          </w:tcPr>
          <w:p>
            <w:pPr>
              <w:spacing w:after="0" w:line="240" w:lineRule="auto"/>
              <w:ind w:firstLine="0"/>
              <w:jc w:val="left"/>
            </w:pPr>
            <w:r>
              <w:rPr>
                <w:b w:val="0"/>
                <w:i w:val="0"/>
                <w:sz w:val="20"/>
              </w:rPr>
              <w:t>Mixed Rare Earth Carbonate — смешанный карбонат редких земель, промежуточный продукт</w:t>
            </w:r>
          </w:p>
        </w:tc>
      </w:tr>
      <w:tr>
        <w:tc>
          <w:tcPr>
            <w:tcW w:type="dxa" w:w="4986"/>
          </w:tcPr>
          <w:p>
            <w:pPr>
              <w:spacing w:after="0" w:line="240" w:lineRule="auto"/>
              <w:ind w:firstLine="0"/>
              <w:jc w:val="left"/>
            </w:pPr>
            <w:r>
              <w:rPr>
                <w:b w:val="0"/>
                <w:i w:val="0"/>
                <w:sz w:val="20"/>
              </w:rPr>
              <w:t>Вскрытие (декомпозиция)</w:t>
            </w:r>
          </w:p>
        </w:tc>
        <w:tc>
          <w:tcPr>
            <w:tcW w:type="dxa" w:w="4986"/>
          </w:tcPr>
          <w:p>
            <w:pPr>
              <w:spacing w:after="0" w:line="240" w:lineRule="auto"/>
              <w:ind w:firstLine="0"/>
              <w:jc w:val="left"/>
            </w:pPr>
            <w:r>
              <w:rPr>
                <w:b w:val="0"/>
                <w:i w:val="0"/>
                <w:sz w:val="20"/>
              </w:rPr>
              <w:t>Перевод РЗМ из минеральной формы в растворимую</w:t>
            </w:r>
          </w:p>
        </w:tc>
      </w:tr>
      <w:tr>
        <w:tc>
          <w:tcPr>
            <w:tcW w:type="dxa" w:w="4986"/>
          </w:tcPr>
          <w:p>
            <w:pPr>
              <w:spacing w:after="0" w:line="240" w:lineRule="auto"/>
              <w:ind w:firstLine="0"/>
              <w:jc w:val="left"/>
            </w:pPr>
            <w:r>
              <w:rPr>
                <w:b w:val="0"/>
                <w:i w:val="0"/>
                <w:sz w:val="20"/>
              </w:rPr>
              <w:t>Разделение (separation)</w:t>
            </w:r>
          </w:p>
        </w:tc>
        <w:tc>
          <w:tcPr>
            <w:tcW w:type="dxa" w:w="4986"/>
          </w:tcPr>
          <w:p>
            <w:pPr>
              <w:spacing w:after="0" w:line="240" w:lineRule="auto"/>
              <w:ind w:firstLine="0"/>
              <w:jc w:val="left"/>
            </w:pPr>
            <w:r>
              <w:rPr>
                <w:b w:val="0"/>
                <w:i w:val="0"/>
                <w:sz w:val="20"/>
              </w:rPr>
              <w:t>Получение индивидуальных соединений РЗМ из их смеси</w:t>
            </w:r>
          </w:p>
        </w:tc>
      </w:tr>
      <w:tr>
        <w:tc>
          <w:tcPr>
            <w:tcW w:type="dxa" w:w="4986"/>
          </w:tcPr>
          <w:p>
            <w:pPr>
              <w:spacing w:after="0" w:line="240" w:lineRule="auto"/>
              <w:ind w:firstLine="0"/>
              <w:jc w:val="left"/>
            </w:pPr>
            <w:r>
              <w:rPr>
                <w:b w:val="0"/>
                <w:i w:val="0"/>
                <w:sz w:val="20"/>
              </w:rPr>
              <w:t>Экстракционный каскад</w:t>
            </w:r>
          </w:p>
        </w:tc>
        <w:tc>
          <w:tcPr>
            <w:tcW w:type="dxa" w:w="4986"/>
          </w:tcPr>
          <w:p>
            <w:pPr>
              <w:spacing w:after="0" w:line="240" w:lineRule="auto"/>
              <w:ind w:firstLine="0"/>
              <w:jc w:val="left"/>
            </w:pPr>
            <w:r>
              <w:rPr>
                <w:b w:val="0"/>
                <w:i w:val="0"/>
                <w:sz w:val="20"/>
              </w:rPr>
              <w:t>Система противоточных ступеней жидкостной экстракции</w:t>
            </w:r>
          </w:p>
        </w:tc>
      </w:tr>
      <w:tr>
        <w:tc>
          <w:tcPr>
            <w:tcW w:type="dxa" w:w="4986"/>
          </w:tcPr>
          <w:p>
            <w:pPr>
              <w:spacing w:after="0" w:line="240" w:lineRule="auto"/>
              <w:ind w:firstLine="0"/>
              <w:jc w:val="left"/>
            </w:pPr>
            <w:r>
              <w:rPr>
                <w:b w:val="0"/>
                <w:i w:val="0"/>
                <w:sz w:val="20"/>
              </w:rPr>
              <w:t>Коэффициент разделения</w:t>
            </w:r>
          </w:p>
        </w:tc>
        <w:tc>
          <w:tcPr>
            <w:tcW w:type="dxa" w:w="4986"/>
          </w:tcPr>
          <w:p>
            <w:pPr>
              <w:spacing w:after="0" w:line="240" w:lineRule="auto"/>
              <w:ind w:firstLine="0"/>
              <w:jc w:val="left"/>
            </w:pPr>
            <w:r>
              <w:rPr>
                <w:b w:val="0"/>
                <w:i w:val="0"/>
                <w:sz w:val="20"/>
              </w:rPr>
              <w:t>Отношение коэффициентов распределения соседних элементов в экстракционной системе</w:t>
            </w:r>
          </w:p>
        </w:tc>
      </w:tr>
      <w:tr>
        <w:tc>
          <w:tcPr>
            <w:tcW w:type="dxa" w:w="4986"/>
          </w:tcPr>
          <w:p>
            <w:pPr>
              <w:spacing w:after="0" w:line="240" w:lineRule="auto"/>
              <w:ind w:firstLine="0"/>
              <w:jc w:val="left"/>
            </w:pPr>
            <w:r>
              <w:rPr>
                <w:b w:val="0"/>
                <w:i w:val="0"/>
                <w:sz w:val="20"/>
              </w:rPr>
              <w:t>Лантаноидное сжатие</w:t>
            </w:r>
          </w:p>
        </w:tc>
        <w:tc>
          <w:tcPr>
            <w:tcW w:type="dxa" w:w="4986"/>
          </w:tcPr>
          <w:p>
            <w:pPr>
              <w:spacing w:after="0" w:line="240" w:lineRule="auto"/>
              <w:ind w:firstLine="0"/>
              <w:jc w:val="left"/>
            </w:pPr>
            <w:r>
              <w:rPr>
                <w:b w:val="0"/>
                <w:i w:val="0"/>
                <w:sz w:val="20"/>
              </w:rPr>
              <w:t>Монотонное уменьшение ионного радиуса Ln³⁺ с ростом атомного номера</w:t>
            </w:r>
          </w:p>
        </w:tc>
      </w:tr>
      <w:tr>
        <w:tc>
          <w:tcPr>
            <w:tcW w:type="dxa" w:w="4986"/>
          </w:tcPr>
          <w:p>
            <w:pPr>
              <w:spacing w:after="0" w:line="240" w:lineRule="auto"/>
              <w:ind w:firstLine="0"/>
              <w:jc w:val="left"/>
            </w:pPr>
            <w:r>
              <w:rPr>
                <w:b w:val="0"/>
                <w:i w:val="0"/>
                <w:sz w:val="20"/>
              </w:rPr>
              <w:t>Мишметалл</w:t>
            </w:r>
          </w:p>
        </w:tc>
        <w:tc>
          <w:tcPr>
            <w:tcW w:type="dxa" w:w="4986"/>
          </w:tcPr>
          <w:p>
            <w:pPr>
              <w:spacing w:after="0" w:line="240" w:lineRule="auto"/>
              <w:ind w:firstLine="0"/>
              <w:jc w:val="left"/>
            </w:pPr>
            <w:r>
              <w:rPr>
                <w:b w:val="0"/>
                <w:i w:val="0"/>
                <w:sz w:val="20"/>
              </w:rPr>
              <w:t>Сплав редкоземельных металлов природного соотношения (~50% Ce, 25% La)</w:t>
            </w:r>
          </w:p>
        </w:tc>
      </w:tr>
      <w:tr>
        <w:tc>
          <w:tcPr>
            <w:tcW w:type="dxa" w:w="4986"/>
          </w:tcPr>
          <w:p>
            <w:pPr>
              <w:spacing w:after="0" w:line="240" w:lineRule="auto"/>
              <w:ind w:firstLine="0"/>
              <w:jc w:val="left"/>
            </w:pPr>
            <w:r>
              <w:rPr>
                <w:b w:val="0"/>
                <w:i w:val="0"/>
                <w:sz w:val="20"/>
              </w:rPr>
              <w:t>Strip casting</w:t>
            </w:r>
          </w:p>
        </w:tc>
        <w:tc>
          <w:tcPr>
            <w:tcW w:type="dxa" w:w="4986"/>
          </w:tcPr>
          <w:p>
            <w:pPr>
              <w:spacing w:after="0" w:line="240" w:lineRule="auto"/>
              <w:ind w:firstLine="0"/>
              <w:jc w:val="left"/>
            </w:pPr>
            <w:r>
              <w:rPr>
                <w:b w:val="0"/>
                <w:i w:val="0"/>
                <w:sz w:val="20"/>
              </w:rPr>
              <w:t>Метод получения сплава NdFeB разливкой на охлаждаемый вращающийся барабан</w:t>
            </w:r>
          </w:p>
        </w:tc>
      </w:tr>
      <w:tr>
        <w:tc>
          <w:tcPr>
            <w:tcW w:type="dxa" w:w="4986"/>
          </w:tcPr>
          <w:p>
            <w:pPr>
              <w:spacing w:after="0" w:line="240" w:lineRule="auto"/>
              <w:ind w:firstLine="0"/>
              <w:jc w:val="left"/>
            </w:pPr>
            <w:r>
              <w:rPr>
                <w:b w:val="0"/>
                <w:i w:val="0"/>
                <w:sz w:val="20"/>
              </w:rPr>
              <w:t>GBD</w:t>
            </w:r>
          </w:p>
        </w:tc>
        <w:tc>
          <w:tcPr>
            <w:tcW w:type="dxa" w:w="4986"/>
          </w:tcPr>
          <w:p>
            <w:pPr>
              <w:spacing w:after="0" w:line="240" w:lineRule="auto"/>
              <w:ind w:firstLine="0"/>
              <w:jc w:val="left"/>
            </w:pPr>
            <w:r>
              <w:rPr>
                <w:b w:val="0"/>
                <w:i w:val="0"/>
                <w:sz w:val="20"/>
              </w:rPr>
              <w:t>Grain Boundary Diffusion — зернограничная диффузия, технология экономии Dy и Tb</w:t>
            </w:r>
          </w:p>
        </w:tc>
      </w:tr>
      <w:tr>
        <w:tc>
          <w:tcPr>
            <w:tcW w:type="dxa" w:w="4986"/>
          </w:tcPr>
          <w:p>
            <w:pPr>
              <w:spacing w:after="0" w:line="240" w:lineRule="auto"/>
              <w:ind w:firstLine="0"/>
              <w:jc w:val="left"/>
            </w:pPr>
            <w:r>
              <w:rPr>
                <w:b w:val="0"/>
                <w:i w:val="0"/>
                <w:sz w:val="20"/>
              </w:rPr>
              <w:t>Коэрцитивная сила</w:t>
            </w:r>
          </w:p>
        </w:tc>
        <w:tc>
          <w:tcPr>
            <w:tcW w:type="dxa" w:w="4986"/>
          </w:tcPr>
          <w:p>
            <w:pPr>
              <w:spacing w:after="0" w:line="240" w:lineRule="auto"/>
              <w:ind w:firstLine="0"/>
              <w:jc w:val="left"/>
            </w:pPr>
            <w:r>
              <w:rPr>
                <w:b w:val="0"/>
                <w:i w:val="0"/>
                <w:sz w:val="20"/>
              </w:rPr>
              <w:t>Напряжённость поля, необходимая для размагничивания материала</w:t>
            </w:r>
          </w:p>
        </w:tc>
      </w:tr>
      <w:tr>
        <w:tc>
          <w:tcPr>
            <w:tcW w:type="dxa" w:w="4986"/>
          </w:tcPr>
          <w:p>
            <w:pPr>
              <w:spacing w:after="0" w:line="240" w:lineRule="auto"/>
              <w:ind w:firstLine="0"/>
              <w:jc w:val="left"/>
            </w:pPr>
            <w:r>
              <w:rPr>
                <w:b w:val="0"/>
                <w:i w:val="0"/>
                <w:sz w:val="20"/>
              </w:rPr>
              <w:t>(BH)max</w:t>
            </w:r>
          </w:p>
        </w:tc>
        <w:tc>
          <w:tcPr>
            <w:tcW w:type="dxa" w:w="4986"/>
          </w:tcPr>
          <w:p>
            <w:pPr>
              <w:spacing w:after="0" w:line="240" w:lineRule="auto"/>
              <w:ind w:firstLine="0"/>
              <w:jc w:val="left"/>
            </w:pPr>
            <w:r>
              <w:rPr>
                <w:b w:val="0"/>
                <w:i w:val="0"/>
                <w:sz w:val="20"/>
              </w:rPr>
              <w:t>Максимальная магнитная энергия — основная характеристика постоянного магнита</w:t>
            </w:r>
          </w:p>
        </w:tc>
      </w:tr>
      <w:tr>
        <w:tc>
          <w:tcPr>
            <w:tcW w:type="dxa" w:w="4986"/>
          </w:tcPr>
          <w:p>
            <w:pPr>
              <w:spacing w:after="0" w:line="240" w:lineRule="auto"/>
              <w:ind w:firstLine="0"/>
              <w:jc w:val="left"/>
            </w:pPr>
            <w:r>
              <w:rPr>
                <w:b w:val="0"/>
                <w:i w:val="0"/>
                <w:sz w:val="20"/>
              </w:rPr>
              <w:t>Классы магнитов (N, M, H, SH, UH, EH)</w:t>
            </w:r>
          </w:p>
        </w:tc>
        <w:tc>
          <w:tcPr>
            <w:tcW w:type="dxa" w:w="4986"/>
          </w:tcPr>
          <w:p>
            <w:pPr>
              <w:spacing w:after="0" w:line="240" w:lineRule="auto"/>
              <w:ind w:firstLine="0"/>
              <w:jc w:val="left"/>
            </w:pPr>
            <w:r>
              <w:rPr>
                <w:b w:val="0"/>
                <w:i w:val="0"/>
                <w:sz w:val="20"/>
              </w:rPr>
              <w:t>Обозначение температурной устойчивости спечённых магнитов NdFeB</w:t>
            </w:r>
          </w:p>
        </w:tc>
      </w:tr>
      <w:tr>
        <w:tc>
          <w:tcPr>
            <w:tcW w:type="dxa" w:w="4986"/>
          </w:tcPr>
          <w:p>
            <w:pPr>
              <w:spacing w:after="0" w:line="240" w:lineRule="auto"/>
              <w:ind w:firstLine="0"/>
              <w:jc w:val="left"/>
            </w:pPr>
            <w:r>
              <w:rPr>
                <w:b w:val="0"/>
                <w:i w:val="0"/>
                <w:sz w:val="20"/>
              </w:rPr>
              <w:t>YSZ</w:t>
            </w:r>
          </w:p>
        </w:tc>
        <w:tc>
          <w:tcPr>
            <w:tcW w:type="dxa" w:w="4986"/>
          </w:tcPr>
          <w:p>
            <w:pPr>
              <w:spacing w:after="0" w:line="240" w:lineRule="auto"/>
              <w:ind w:firstLine="0"/>
              <w:jc w:val="left"/>
            </w:pPr>
            <w:r>
              <w:rPr>
                <w:b w:val="0"/>
                <w:i w:val="0"/>
                <w:sz w:val="20"/>
              </w:rPr>
              <w:t>Yttria-Stabilized Zirconia — диоксид циркония, стабилизированный оксидом иттрия</w:t>
            </w:r>
          </w:p>
        </w:tc>
      </w:tr>
      <w:tr>
        <w:tc>
          <w:tcPr>
            <w:tcW w:type="dxa" w:w="4986"/>
          </w:tcPr>
          <w:p>
            <w:pPr>
              <w:spacing w:after="0" w:line="240" w:lineRule="auto"/>
              <w:ind w:firstLine="0"/>
              <w:jc w:val="left"/>
            </w:pPr>
            <w:r>
              <w:rPr>
                <w:b w:val="0"/>
                <w:i w:val="0"/>
                <w:sz w:val="20"/>
              </w:rPr>
              <w:t>FCC</w:t>
            </w:r>
          </w:p>
        </w:tc>
        <w:tc>
          <w:tcPr>
            <w:tcW w:type="dxa" w:w="4986"/>
          </w:tcPr>
          <w:p>
            <w:pPr>
              <w:spacing w:after="0" w:line="240" w:lineRule="auto"/>
              <w:ind w:firstLine="0"/>
              <w:jc w:val="left"/>
            </w:pPr>
            <w:r>
              <w:rPr>
                <w:b w:val="0"/>
                <w:i w:val="0"/>
                <w:sz w:val="20"/>
              </w:rPr>
              <w:t>Fluid Catalytic Cracking — каталитический крекинг в псевдоожиженном слое</w:t>
            </w:r>
          </w:p>
        </w:tc>
      </w:tr>
      <w:tr>
        <w:tc>
          <w:tcPr>
            <w:tcW w:type="dxa" w:w="4986"/>
          </w:tcPr>
          <w:p>
            <w:pPr>
              <w:spacing w:after="0" w:line="240" w:lineRule="auto"/>
              <w:ind w:firstLine="0"/>
              <w:jc w:val="left"/>
            </w:pPr>
            <w:r>
              <w:rPr>
                <w:b w:val="0"/>
                <w:i w:val="0"/>
                <w:sz w:val="20"/>
              </w:rPr>
              <w:t>NORM / TENORM</w:t>
            </w:r>
          </w:p>
        </w:tc>
        <w:tc>
          <w:tcPr>
            <w:tcW w:type="dxa" w:w="4986"/>
          </w:tcPr>
          <w:p>
            <w:pPr>
              <w:spacing w:after="0" w:line="240" w:lineRule="auto"/>
              <w:ind w:firstLine="0"/>
              <w:jc w:val="left"/>
            </w:pPr>
            <w:r>
              <w:rPr>
                <w:b w:val="0"/>
                <w:i w:val="0"/>
                <w:sz w:val="20"/>
              </w:rPr>
              <w:t>Материалы с природными радионуклидами, в т. ч. технологически обогащённые</w:t>
            </w:r>
          </w:p>
        </w:tc>
      </w:tr>
      <w:tr>
        <w:tc>
          <w:tcPr>
            <w:tcW w:type="dxa" w:w="4986"/>
          </w:tcPr>
          <w:p>
            <w:pPr>
              <w:spacing w:after="0" w:line="240" w:lineRule="auto"/>
              <w:ind w:firstLine="0"/>
              <w:jc w:val="left"/>
            </w:pPr>
            <w:r>
              <w:rPr>
                <w:b w:val="0"/>
                <w:i w:val="0"/>
                <w:sz w:val="20"/>
              </w:rPr>
              <w:t>Ионно-адсорбционные руды (IAC)</w:t>
            </w:r>
          </w:p>
        </w:tc>
        <w:tc>
          <w:tcPr>
            <w:tcW w:type="dxa" w:w="4986"/>
          </w:tcPr>
          <w:p>
            <w:pPr>
              <w:spacing w:after="0" w:line="240" w:lineRule="auto"/>
              <w:ind w:firstLine="0"/>
              <w:jc w:val="left"/>
            </w:pPr>
            <w:r>
              <w:rPr>
                <w:b w:val="0"/>
                <w:i w:val="0"/>
                <w:sz w:val="20"/>
              </w:rPr>
              <w:t>Коры выветривания гранитов с обменно-сорбированными РЗМ</w:t>
            </w:r>
          </w:p>
        </w:tc>
      </w:tr>
      <w:tr>
        <w:tc>
          <w:tcPr>
            <w:tcW w:type="dxa" w:w="4986"/>
          </w:tcPr>
          <w:p>
            <w:pPr>
              <w:spacing w:after="0" w:line="240" w:lineRule="auto"/>
              <w:ind w:firstLine="0"/>
              <w:jc w:val="left"/>
            </w:pPr>
            <w:r>
              <w:rPr>
                <w:b w:val="0"/>
                <w:i w:val="0"/>
                <w:sz w:val="20"/>
              </w:rPr>
              <w:t>Лопарит</w:t>
            </w:r>
          </w:p>
        </w:tc>
        <w:tc>
          <w:tcPr>
            <w:tcW w:type="dxa" w:w="4986"/>
          </w:tcPr>
          <w:p>
            <w:pPr>
              <w:spacing w:after="0" w:line="240" w:lineRule="auto"/>
              <w:ind w:firstLine="0"/>
              <w:jc w:val="left"/>
            </w:pPr>
            <w:r>
              <w:rPr>
                <w:b w:val="0"/>
                <w:i w:val="0"/>
                <w:sz w:val="20"/>
              </w:rPr>
              <w:t>Титано-ниобо-танталово-редкоземельный минерал Ловозёрского массива</w:t>
            </w:r>
          </w:p>
        </w:tc>
      </w:tr>
      <w:tr>
        <w:tc>
          <w:tcPr>
            <w:tcW w:type="dxa" w:w="4986"/>
          </w:tcPr>
          <w:p>
            <w:pPr>
              <w:spacing w:after="0" w:line="240" w:lineRule="auto"/>
              <w:ind w:firstLine="0"/>
              <w:jc w:val="left"/>
            </w:pPr>
            <w:r>
              <w:rPr>
                <w:b w:val="0"/>
                <w:i w:val="0"/>
                <w:sz w:val="20"/>
              </w:rPr>
              <w:t>Эвдиалит</w:t>
            </w:r>
          </w:p>
        </w:tc>
        <w:tc>
          <w:tcPr>
            <w:tcW w:type="dxa" w:w="4986"/>
          </w:tcPr>
          <w:p>
            <w:pPr>
              <w:spacing w:after="0" w:line="240" w:lineRule="auto"/>
              <w:ind w:firstLine="0"/>
              <w:jc w:val="left"/>
            </w:pPr>
            <w:r>
              <w:rPr>
                <w:b w:val="0"/>
                <w:i w:val="0"/>
                <w:sz w:val="20"/>
              </w:rPr>
              <w:t>Цирконосиликат щелочных массивов с попутными РЗМ</w:t>
            </w:r>
          </w:p>
        </w:tc>
      </w:tr>
      <w:tr>
        <w:tc>
          <w:tcPr>
            <w:tcW w:type="dxa" w:w="4986"/>
          </w:tcPr>
          <w:p>
            <w:pPr>
              <w:spacing w:after="0" w:line="240" w:lineRule="auto"/>
              <w:ind w:firstLine="0"/>
              <w:jc w:val="left"/>
            </w:pPr>
            <w:r>
              <w:rPr>
                <w:b w:val="0"/>
                <w:i w:val="0"/>
                <w:sz w:val="20"/>
              </w:rPr>
              <w:t>Бастнезит</w:t>
            </w:r>
          </w:p>
        </w:tc>
        <w:tc>
          <w:tcPr>
            <w:tcW w:type="dxa" w:w="4986"/>
          </w:tcPr>
          <w:p>
            <w:pPr>
              <w:spacing w:after="0" w:line="240" w:lineRule="auto"/>
              <w:ind w:firstLine="0"/>
              <w:jc w:val="left"/>
            </w:pPr>
            <w:r>
              <w:rPr>
                <w:b w:val="0"/>
                <w:i w:val="0"/>
                <w:sz w:val="20"/>
              </w:rPr>
              <w:t>Фторкарбонат РЗМ, основной мировой источник лёгкой группы</w:t>
            </w:r>
          </w:p>
        </w:tc>
      </w:tr>
      <w:tr>
        <w:tc>
          <w:tcPr>
            <w:tcW w:type="dxa" w:w="4986"/>
          </w:tcPr>
          <w:p>
            <w:pPr>
              <w:spacing w:after="0" w:line="240" w:lineRule="auto"/>
              <w:ind w:firstLine="0"/>
              <w:jc w:val="left"/>
            </w:pPr>
            <w:r>
              <w:rPr>
                <w:b w:val="0"/>
                <w:i w:val="0"/>
                <w:sz w:val="20"/>
              </w:rPr>
              <w:t>Монацит</w:t>
            </w:r>
          </w:p>
        </w:tc>
        <w:tc>
          <w:tcPr>
            <w:tcW w:type="dxa" w:w="4986"/>
          </w:tcPr>
          <w:p>
            <w:pPr>
              <w:spacing w:after="0" w:line="240" w:lineRule="auto"/>
              <w:ind w:firstLine="0"/>
              <w:jc w:val="center"/>
            </w:pPr>
            <w:r>
              <w:rPr>
                <w:b w:val="0"/>
                <w:i w:val="0"/>
                <w:sz w:val="20"/>
              </w:rPr>
              <w:t>Фосфат РЗМ с высоким содержанием тория</w:t>
            </w:r>
          </w:p>
        </w:tc>
      </w:tr>
      <w:tr>
        <w:tc>
          <w:tcPr>
            <w:tcW w:type="dxa" w:w="4986"/>
          </w:tcPr>
          <w:p>
            <w:pPr>
              <w:spacing w:after="0" w:line="240" w:lineRule="auto"/>
              <w:ind w:firstLine="0"/>
              <w:jc w:val="left"/>
            </w:pPr>
            <w:r>
              <w:rPr>
                <w:b w:val="0"/>
                <w:i w:val="0"/>
                <w:sz w:val="20"/>
              </w:rPr>
              <w:t>Ксенотим</w:t>
            </w:r>
          </w:p>
        </w:tc>
        <w:tc>
          <w:tcPr>
            <w:tcW w:type="dxa" w:w="4986"/>
          </w:tcPr>
          <w:p>
            <w:pPr>
              <w:spacing w:after="0" w:line="240" w:lineRule="auto"/>
              <w:ind w:firstLine="0"/>
              <w:jc w:val="center"/>
            </w:pPr>
            <w:r>
              <w:rPr>
                <w:b w:val="0"/>
                <w:i w:val="0"/>
                <w:sz w:val="20"/>
              </w:rPr>
              <w:t>Фосфат иттрия и тяжёлых РЗМ</w:t>
            </w:r>
          </w:p>
        </w:tc>
      </w:tr>
      <w:tr>
        <w:tc>
          <w:tcPr>
            <w:tcW w:type="dxa" w:w="4986"/>
          </w:tcPr>
          <w:p>
            <w:pPr>
              <w:spacing w:after="0" w:line="240" w:lineRule="auto"/>
              <w:ind w:firstLine="0"/>
              <w:jc w:val="left"/>
            </w:pPr>
            <w:r>
              <w:rPr>
                <w:b w:val="0"/>
                <w:i w:val="0"/>
                <w:sz w:val="20"/>
              </w:rPr>
              <w:t>Фосфогипс</w:t>
            </w:r>
          </w:p>
        </w:tc>
        <w:tc>
          <w:tcPr>
            <w:tcW w:type="dxa" w:w="4986"/>
          </w:tcPr>
          <w:p>
            <w:pPr>
              <w:spacing w:after="0" w:line="240" w:lineRule="auto"/>
              <w:ind w:firstLine="0"/>
              <w:jc w:val="left"/>
            </w:pPr>
            <w:r>
              <w:rPr>
                <w:b w:val="0"/>
                <w:i w:val="0"/>
                <w:sz w:val="20"/>
              </w:rPr>
              <w:t>Отход производства экстракционной фосфорной кислоты</w:t>
            </w:r>
          </w:p>
        </w:tc>
      </w:tr>
      <w:tr>
        <w:tc>
          <w:tcPr>
            <w:tcW w:type="dxa" w:w="4986"/>
          </w:tcPr>
          <w:p>
            <w:pPr>
              <w:spacing w:after="0" w:line="240" w:lineRule="auto"/>
              <w:ind w:firstLine="0"/>
              <w:jc w:val="left"/>
            </w:pPr>
            <w:r>
              <w:rPr>
                <w:b w:val="0"/>
                <w:i w:val="0"/>
                <w:sz w:val="20"/>
              </w:rPr>
              <w:t>ЭФК</w:t>
            </w:r>
          </w:p>
        </w:tc>
        <w:tc>
          <w:tcPr>
            <w:tcW w:type="dxa" w:w="4986"/>
          </w:tcPr>
          <w:p>
            <w:pPr>
              <w:spacing w:after="0" w:line="240" w:lineRule="auto"/>
              <w:ind w:firstLine="0"/>
              <w:jc w:val="center"/>
            </w:pPr>
            <w:r>
              <w:rPr>
                <w:b w:val="0"/>
                <w:i w:val="0"/>
                <w:sz w:val="20"/>
              </w:rPr>
              <w:t>Экстракционная фосфорная кислота</w:t>
            </w:r>
          </w:p>
        </w:tc>
      </w:tr>
      <w:tr>
        <w:tc>
          <w:tcPr>
            <w:tcW w:type="dxa" w:w="4986"/>
          </w:tcPr>
          <w:p>
            <w:pPr>
              <w:spacing w:after="0" w:line="240" w:lineRule="auto"/>
              <w:ind w:firstLine="0"/>
              <w:jc w:val="left"/>
            </w:pPr>
            <w:r>
              <w:rPr>
                <w:b w:val="0"/>
                <w:i w:val="0"/>
                <w:sz w:val="20"/>
              </w:rPr>
              <w:t>TRL</w:t>
            </w:r>
          </w:p>
        </w:tc>
        <w:tc>
          <w:tcPr>
            <w:tcW w:type="dxa" w:w="4986"/>
          </w:tcPr>
          <w:p>
            <w:pPr>
              <w:spacing w:after="0" w:line="240" w:lineRule="auto"/>
              <w:ind w:firstLine="0"/>
              <w:jc w:val="left"/>
            </w:pPr>
            <w:r>
              <w:rPr>
                <w:b w:val="0"/>
                <w:i w:val="0"/>
                <w:sz w:val="20"/>
              </w:rPr>
              <w:t>Technology Readiness Level — уровень технологической готовности (шкала 1–9)</w:t>
            </w:r>
          </w:p>
        </w:tc>
      </w:tr>
      <w:tr>
        <w:tc>
          <w:tcPr>
            <w:tcW w:type="dxa" w:w="4986"/>
          </w:tcPr>
          <w:p>
            <w:pPr>
              <w:spacing w:after="0" w:line="240" w:lineRule="auto"/>
              <w:ind w:firstLine="0"/>
              <w:jc w:val="left"/>
            </w:pPr>
            <w:r>
              <w:rPr>
                <w:b w:val="0"/>
                <w:i w:val="0"/>
                <w:sz w:val="20"/>
              </w:rPr>
              <w:t>CRMA</w:t>
            </w:r>
          </w:p>
        </w:tc>
        <w:tc>
          <w:tcPr>
            <w:tcW w:type="dxa" w:w="4986"/>
          </w:tcPr>
          <w:p>
            <w:pPr>
              <w:spacing w:after="0" w:line="240" w:lineRule="auto"/>
              <w:ind w:firstLine="0"/>
              <w:jc w:val="left"/>
            </w:pPr>
            <w:r>
              <w:rPr>
                <w:b w:val="0"/>
                <w:i w:val="0"/>
                <w:sz w:val="20"/>
              </w:rPr>
              <w:t>Critical Raw Materials Act — Регламент ЕС о критическом сырье</w:t>
            </w:r>
          </w:p>
        </w:tc>
      </w:tr>
      <w:tr>
        <w:tc>
          <w:tcPr>
            <w:tcW w:type="dxa" w:w="4986"/>
          </w:tcPr>
          <w:p>
            <w:pPr>
              <w:spacing w:after="0" w:line="240" w:lineRule="auto"/>
              <w:ind w:firstLine="0"/>
              <w:jc w:val="left"/>
            </w:pPr>
            <w:r>
              <w:rPr>
                <w:b w:val="0"/>
                <w:i w:val="0"/>
                <w:sz w:val="20"/>
              </w:rPr>
              <w:t>DPA</w:t>
            </w:r>
          </w:p>
        </w:tc>
        <w:tc>
          <w:tcPr>
            <w:tcW w:type="dxa" w:w="4986"/>
          </w:tcPr>
          <w:p>
            <w:pPr>
              <w:spacing w:after="0" w:line="240" w:lineRule="auto"/>
              <w:ind w:firstLine="0"/>
              <w:jc w:val="left"/>
            </w:pPr>
            <w:r>
              <w:rPr>
                <w:b w:val="0"/>
                <w:i w:val="0"/>
                <w:sz w:val="20"/>
              </w:rPr>
              <w:t>Defense Production Act — Закон США об оборонном производстве</w:t>
            </w:r>
          </w:p>
        </w:tc>
      </w:tr>
      <w:tr>
        <w:tc>
          <w:tcPr>
            <w:tcW w:type="dxa" w:w="4986"/>
          </w:tcPr>
          <w:p>
            <w:pPr>
              <w:spacing w:after="0" w:line="240" w:lineRule="auto"/>
              <w:ind w:firstLine="0"/>
              <w:jc w:val="left"/>
            </w:pPr>
            <w:r>
              <w:rPr>
                <w:b w:val="0"/>
                <w:i w:val="0"/>
                <w:sz w:val="20"/>
              </w:rPr>
              <w:t>IRA</w:t>
            </w:r>
          </w:p>
        </w:tc>
        <w:tc>
          <w:tcPr>
            <w:tcW w:type="dxa" w:w="4986"/>
          </w:tcPr>
          <w:p>
            <w:pPr>
              <w:spacing w:after="0" w:line="240" w:lineRule="auto"/>
              <w:ind w:firstLine="0"/>
              <w:jc w:val="left"/>
            </w:pPr>
            <w:r>
              <w:rPr>
                <w:b w:val="0"/>
                <w:i w:val="0"/>
                <w:sz w:val="20"/>
              </w:rPr>
              <w:t>Inflation Reduction Act — Закон США о снижении инфляции</w:t>
            </w:r>
          </w:p>
        </w:tc>
      </w:tr>
      <w:tr>
        <w:tc>
          <w:tcPr>
            <w:tcW w:type="dxa" w:w="4986"/>
          </w:tcPr>
          <w:p>
            <w:pPr>
              <w:spacing w:after="0" w:line="240" w:lineRule="auto"/>
              <w:ind w:firstLine="0"/>
              <w:jc w:val="left"/>
            </w:pPr>
            <w:r>
              <w:rPr>
                <w:b w:val="0"/>
                <w:i w:val="0"/>
                <w:sz w:val="20"/>
              </w:rPr>
              <w:t>MSP</w:t>
            </w:r>
          </w:p>
        </w:tc>
        <w:tc>
          <w:tcPr>
            <w:tcW w:type="dxa" w:w="4986"/>
          </w:tcPr>
          <w:p>
            <w:pPr>
              <w:spacing w:after="0" w:line="240" w:lineRule="auto"/>
              <w:ind w:firstLine="0"/>
              <w:jc w:val="left"/>
            </w:pPr>
            <w:r>
              <w:rPr>
                <w:b w:val="0"/>
                <w:i w:val="0"/>
                <w:sz w:val="20"/>
              </w:rPr>
              <w:t>Minerals Security Partnership — Партнёрство по безопасности минеральных ресурсов</w:t>
            </w:r>
          </w:p>
        </w:tc>
      </w:tr>
      <w:tr>
        <w:tc>
          <w:tcPr>
            <w:tcW w:type="dxa" w:w="4986"/>
          </w:tcPr>
          <w:p>
            <w:pPr>
              <w:spacing w:after="0" w:line="240" w:lineRule="auto"/>
              <w:ind w:firstLine="0"/>
              <w:jc w:val="left"/>
            </w:pPr>
            <w:r>
              <w:rPr>
                <w:b w:val="0"/>
                <w:i w:val="0"/>
                <w:sz w:val="20"/>
              </w:rPr>
              <w:t>Ценовой пол (price floor)</w:t>
            </w:r>
          </w:p>
        </w:tc>
        <w:tc>
          <w:tcPr>
            <w:tcW w:type="dxa" w:w="4986"/>
          </w:tcPr>
          <w:p>
            <w:pPr>
              <w:spacing w:after="0" w:line="240" w:lineRule="auto"/>
              <w:ind w:firstLine="0"/>
              <w:jc w:val="left"/>
            </w:pPr>
            <w:r>
              <w:rPr>
                <w:b w:val="0"/>
                <w:i w:val="0"/>
                <w:sz w:val="20"/>
              </w:rPr>
              <w:t>Механизм гарантированной минимальной цены на продукцию</w:t>
            </w:r>
          </w:p>
        </w:tc>
      </w:tr>
      <w:tr>
        <w:tc>
          <w:tcPr>
            <w:tcW w:type="dxa" w:w="4986"/>
          </w:tcPr>
          <w:p>
            <w:pPr>
              <w:spacing w:after="0" w:line="240" w:lineRule="auto"/>
              <w:ind w:firstLine="0"/>
              <w:jc w:val="left"/>
            </w:pPr>
            <w:r>
              <w:rPr>
                <w:b w:val="0"/>
                <w:i w:val="0"/>
                <w:sz w:val="20"/>
              </w:rPr>
              <w:t>Правило де-минимис</w:t>
            </w:r>
          </w:p>
        </w:tc>
        <w:tc>
          <w:tcPr>
            <w:tcW w:type="dxa" w:w="4986"/>
          </w:tcPr>
          <w:p>
            <w:pPr>
              <w:spacing w:after="0" w:line="240" w:lineRule="auto"/>
              <w:ind w:firstLine="0"/>
              <w:jc w:val="left"/>
            </w:pPr>
            <w:r>
              <w:rPr>
                <w:b w:val="0"/>
                <w:i w:val="0"/>
                <w:sz w:val="20"/>
              </w:rPr>
              <w:t>Порог доли контролируемых компонентов, при превышении которого применяется экспортный контроль</w:t>
            </w:r>
          </w:p>
        </w:tc>
      </w:tr>
    </w:tbl>
    <w:p>
      <w:pPr>
        <w:spacing w:after="180"/>
        <w:ind w:firstLine="0"/>
      </w:pPr>
      <w:r>
        <w:rPr>
          <w:i/>
          <w:sz w:val="20"/>
        </w:rPr>
        <w:t>Источник: аналитический центр</w:t>
      </w:r>
    </w:p>
    <w:p>
      <w:r>
        <w:br w:type="page"/>
      </w:r>
    </w:p>
    <w:p>
      <w:pPr>
        <w:pStyle w:val="Heading1"/>
      </w:pPr>
      <w:r>
        <w:rPr>
          <w:b w:val="0"/>
          <w:i w:val="0"/>
        </w:rPr>
        <w:t>Приложение 6. Источники информации</w:t>
      </w:r>
    </w:p>
    <w:p>
      <w:pPr>
        <w:pStyle w:val="Heading2"/>
      </w:pPr>
      <w:r>
        <w:rPr>
          <w:b w:val="0"/>
          <w:i w:val="0"/>
        </w:rPr>
        <w:t>П6.1. Официальная статистика и государственные источники</w:t>
      </w:r>
    </w:p>
    <w:p>
      <w:pPr>
        <w:pStyle w:val="ListBullet"/>
        <w:spacing w:after="20"/>
        <w:ind w:firstLine="0"/>
      </w:pPr>
      <w:r>
        <w:rPr>
          <w:b w:val="0"/>
          <w:i w:val="0"/>
        </w:rPr>
        <w:t>Государственный баланс запасов полезных ископаемых Российской Федерации;</w:t>
      </w:r>
    </w:p>
    <w:p>
      <w:pPr>
        <w:pStyle w:val="ListBullet"/>
        <w:spacing w:after="20"/>
        <w:ind w:firstLine="0"/>
      </w:pPr>
      <w:r>
        <w:rPr>
          <w:b w:val="0"/>
          <w:i w:val="0"/>
        </w:rPr>
        <w:t>Государственные доклады «О состоянии и использовании минерально-сырьевых ресурсов Российской Федерации»;</w:t>
      </w:r>
    </w:p>
    <w:p>
      <w:pPr>
        <w:pStyle w:val="ListBullet"/>
        <w:spacing w:after="20"/>
        <w:ind w:firstLine="0"/>
      </w:pPr>
      <w:r>
        <w:rPr>
          <w:b w:val="0"/>
          <w:i w:val="0"/>
        </w:rPr>
        <w:t>Федеральная служба государственной статистики (Росстат);</w:t>
      </w:r>
    </w:p>
    <w:p>
      <w:pPr>
        <w:pStyle w:val="ListBullet"/>
        <w:spacing w:after="20"/>
        <w:ind w:firstLine="0"/>
      </w:pPr>
      <w:r>
        <w:rPr>
          <w:b w:val="0"/>
          <w:i w:val="0"/>
        </w:rPr>
        <w:t>Федеральная таможенная служба Российской Федерации (данные до 2022 г.);</w:t>
      </w:r>
    </w:p>
    <w:p>
      <w:pPr>
        <w:pStyle w:val="ListBullet"/>
        <w:spacing w:after="20"/>
        <w:ind w:firstLine="0"/>
      </w:pPr>
      <w:r>
        <w:rPr>
          <w:b w:val="0"/>
          <w:i w:val="0"/>
        </w:rPr>
        <w:t>Единая информационная система в сфере закупок (zakupki.gov.ru);</w:t>
      </w:r>
    </w:p>
    <w:p>
      <w:pPr>
        <w:pStyle w:val="ListBullet"/>
        <w:spacing w:after="20"/>
        <w:ind w:firstLine="0"/>
      </w:pPr>
      <w:r>
        <w:rPr>
          <w:b w:val="0"/>
          <w:i w:val="0"/>
        </w:rPr>
        <w:t>Бюро национальной статистики Агентства по стратегическому планированию и реформам Республики Казахстан;</w:t>
      </w:r>
    </w:p>
    <w:p>
      <w:pPr>
        <w:pStyle w:val="ListBullet"/>
        <w:spacing w:after="20"/>
        <w:ind w:firstLine="0"/>
      </w:pPr>
      <w:r>
        <w:rPr>
          <w:b w:val="0"/>
          <w:i w:val="0"/>
        </w:rPr>
        <w:t>Национальный статистический комитет Республики Беларусь;</w:t>
      </w:r>
    </w:p>
    <w:p>
      <w:pPr>
        <w:pStyle w:val="ListBullet"/>
        <w:spacing w:after="20"/>
        <w:ind w:firstLine="0"/>
      </w:pPr>
      <w:r>
        <w:rPr>
          <w:b w:val="0"/>
          <w:i w:val="0"/>
        </w:rPr>
        <w:t>Главное таможенное управление Китайской Народной Республики;</w:t>
      </w:r>
    </w:p>
    <w:p>
      <w:pPr>
        <w:pStyle w:val="ListBullet"/>
        <w:spacing w:after="20"/>
        <w:ind w:firstLine="0"/>
      </w:pPr>
      <w:r>
        <w:rPr>
          <w:b w:val="0"/>
          <w:i w:val="0"/>
        </w:rPr>
        <w:t>Министерство промышленности и информатизации КНР (данные о квотах);</w:t>
      </w:r>
    </w:p>
    <w:p>
      <w:pPr>
        <w:pStyle w:val="ListBullet"/>
        <w:spacing w:after="20"/>
        <w:ind w:firstLine="0"/>
      </w:pPr>
      <w:r>
        <w:rPr>
          <w:b w:val="0"/>
          <w:i w:val="0"/>
        </w:rPr>
        <w:t>Министерство коммерции КНР (перечни экспортного контроля);</w:t>
      </w:r>
    </w:p>
    <w:p>
      <w:pPr>
        <w:pStyle w:val="ListBullet"/>
        <w:spacing w:after="20"/>
        <w:ind w:firstLine="0"/>
      </w:pPr>
      <w:r>
        <w:rPr>
          <w:b w:val="0"/>
          <w:i w:val="0"/>
        </w:rPr>
        <w:t>Евростат, статистические службы стран ЕС.</w:t>
      </w:r>
    </w:p>
    <w:p>
      <w:pPr>
        <w:pStyle w:val="Heading2"/>
      </w:pPr>
      <w:r>
        <w:rPr>
          <w:b w:val="0"/>
          <w:i w:val="0"/>
        </w:rPr>
        <w:t>П6.2. Международные организации и геологические службы</w:t>
      </w:r>
    </w:p>
    <w:p>
      <w:pPr>
        <w:pStyle w:val="ListBullet"/>
        <w:spacing w:after="20"/>
        <w:ind w:firstLine="0"/>
      </w:pPr>
      <w:r>
        <w:rPr>
          <w:b w:val="0"/>
          <w:i w:val="0"/>
        </w:rPr>
        <w:t>Геологическая служба США (U.S. Geological Survey), Mineral Commodity Summaries, Minerals Yearbook;</w:t>
      </w:r>
    </w:p>
    <w:p>
      <w:pPr>
        <w:pStyle w:val="ListBullet"/>
        <w:spacing w:after="20"/>
        <w:ind w:firstLine="0"/>
      </w:pPr>
      <w:r>
        <w:rPr>
          <w:b w:val="0"/>
          <w:i w:val="0"/>
        </w:rPr>
        <w:t>Геологическая служба Великобритании (British Geological Survey), World Mineral Production;</w:t>
      </w:r>
    </w:p>
    <w:p>
      <w:pPr>
        <w:pStyle w:val="ListBullet"/>
        <w:spacing w:after="20"/>
        <w:ind w:firstLine="0"/>
      </w:pPr>
      <w:r>
        <w:rPr>
          <w:b w:val="0"/>
          <w:i w:val="0"/>
        </w:rPr>
        <w:t>База данных ООН по международной торговле UN Comtrade;</w:t>
      </w:r>
    </w:p>
    <w:p>
      <w:pPr>
        <w:pStyle w:val="ListBullet"/>
        <w:spacing w:after="20"/>
        <w:ind w:firstLine="0"/>
      </w:pPr>
      <w:r>
        <w:rPr>
          <w:b w:val="0"/>
          <w:i w:val="0"/>
        </w:rPr>
        <w:t>Международный торговый центр, Trade Map;</w:t>
      </w:r>
    </w:p>
    <w:p>
      <w:pPr>
        <w:pStyle w:val="ListBullet"/>
        <w:spacing w:after="20"/>
        <w:ind w:firstLine="0"/>
      </w:pPr>
      <w:r>
        <w:rPr>
          <w:b w:val="0"/>
          <w:i w:val="0"/>
        </w:rPr>
        <w:t>Всемирный банк, World Development Indicators;</w:t>
      </w:r>
    </w:p>
    <w:p>
      <w:pPr>
        <w:pStyle w:val="ListBullet"/>
        <w:spacing w:after="20"/>
        <w:ind w:firstLine="0"/>
      </w:pPr>
      <w:r>
        <w:rPr>
          <w:b w:val="0"/>
          <w:i w:val="0"/>
        </w:rPr>
        <w:t>Международное энергетическое агентство (IEA), Global EV Outlook, Critical Minerals Outlook;</w:t>
      </w:r>
    </w:p>
    <w:p>
      <w:pPr>
        <w:pStyle w:val="ListBullet"/>
        <w:spacing w:after="20"/>
        <w:ind w:firstLine="0"/>
      </w:pPr>
      <w:r>
        <w:rPr>
          <w:b w:val="0"/>
          <w:i w:val="0"/>
        </w:rPr>
        <w:t>Европейская комиссия, перечни критического сырья, Critical Raw Materials Act;</w:t>
      </w:r>
    </w:p>
    <w:p>
      <w:pPr>
        <w:pStyle w:val="ListBullet"/>
        <w:spacing w:after="20"/>
        <w:ind w:firstLine="0"/>
      </w:pPr>
      <w:r>
        <w:rPr>
          <w:b w:val="0"/>
          <w:i w:val="0"/>
        </w:rPr>
        <w:t>Глобальный совет по ветроэнергетике (GWEC), Global Wind Report.</w:t>
      </w:r>
    </w:p>
    <w:p>
      <w:pPr>
        <w:pStyle w:val="Heading2"/>
      </w:pPr>
      <w:r>
        <w:rPr>
          <w:b w:val="0"/>
          <w:i w:val="0"/>
        </w:rPr>
        <w:t>П6.3. Корпоративные источники</w:t>
      </w:r>
    </w:p>
    <w:p>
      <w:r>
        <w:rPr>
          <w:b w:val="0"/>
          <w:i w:val="0"/>
        </w:rPr>
        <w:t>Годовые и промежуточные отчёты, презентации для инвесторов, отчёты по стандартам JORC и NI 43-101 компаний: China Northern Rare Earth Group High-Tech, Shenghe Resources, Lynas Rare Earths, MP Materials, Neo Performance Materials, Iluka Resources, Arafura Rare Earths, Energy Fuels, Peak Rare Earths, Northern Minerals, Serra Verde, Meteoric Resources, Mkango Resources, Lindian Resources, NioCorp, Ucore, Vital Metals, JL MAG Rare-Earth, Ningbo Yunsheng, Zhongke Sanhuan.</w:t>
      </w:r>
    </w:p>
    <w:p>
      <w:r>
        <w:rPr>
          <w:b w:val="0"/>
          <w:i w:val="0"/>
        </w:rPr>
        <w:t>Бухгалтерская (финансовая) отчётность российских организаций: АО «Соликамский магниевый завод», ООО «Ловозёрский ГОК», АО «Лыткаринский завод оптического стекла», АО «Чепецкий механический завод» и др.</w:t>
      </w:r>
    </w:p>
    <w:p>
      <w:pPr>
        <w:pStyle w:val="Heading2"/>
      </w:pPr>
      <w:r>
        <w:rPr>
          <w:b w:val="0"/>
          <w:i w:val="0"/>
        </w:rPr>
        <w:t>П6.4. Ценовая информация</w:t>
      </w:r>
    </w:p>
    <w:p>
      <w:r>
        <w:rPr>
          <w:b w:val="0"/>
          <w:i w:val="0"/>
        </w:rPr>
        <w:t>Котировки специализированных агентств: Asian Metal, Argus Media, Fastmarkets, Shanghai Metals Market (SMM), Baiinfo, Metal-Pages. Данные Baotou Rare Earth Products Exchange.</w:t>
      </w:r>
    </w:p>
    <w:p>
      <w:pPr>
        <w:pStyle w:val="Heading2"/>
      </w:pPr>
      <w:r>
        <w:rPr>
          <w:b w:val="0"/>
          <w:i w:val="0"/>
        </w:rPr>
        <w:t>П6.5. Научно-техническая литература и патентные базы</w:t>
      </w:r>
    </w:p>
    <w:p>
      <w:pPr>
        <w:pStyle w:val="ListBullet"/>
        <w:spacing w:after="20"/>
        <w:ind w:firstLine="0"/>
      </w:pPr>
      <w:r>
        <w:rPr>
          <w:b w:val="0"/>
          <w:i w:val="0"/>
        </w:rPr>
        <w:t>Научная электронная библиотека eLibrary.ru;</w:t>
      </w:r>
    </w:p>
    <w:p>
      <w:pPr>
        <w:pStyle w:val="ListBullet"/>
        <w:spacing w:after="20"/>
        <w:ind w:firstLine="0"/>
      </w:pPr>
      <w:r>
        <w:rPr>
          <w:b w:val="0"/>
          <w:i w:val="0"/>
        </w:rPr>
        <w:t>Реферативные базы Scopus, Web of Science;</w:t>
      </w:r>
    </w:p>
    <w:p>
      <w:pPr>
        <w:pStyle w:val="ListBullet"/>
        <w:spacing w:after="20"/>
        <w:ind w:firstLine="0"/>
      </w:pPr>
      <w:r>
        <w:rPr>
          <w:b w:val="0"/>
          <w:i w:val="0"/>
        </w:rPr>
        <w:t>Handbook on the Physics and Chemistry of Rare Earths;</w:t>
      </w:r>
    </w:p>
    <w:p>
      <w:pPr>
        <w:pStyle w:val="ListBullet"/>
        <w:spacing w:after="20"/>
        <w:ind w:firstLine="0"/>
      </w:pPr>
      <w:r>
        <w:rPr>
          <w:b w:val="0"/>
          <w:i w:val="0"/>
        </w:rPr>
        <w:t>Журналы: «Цветные металлы», «Известия вузов. Цветная металлургия», «Разведка и охрана недр», «Минеральные ресурсы России», Journal of Rare Earths, Hydrometallurgy, Minerals Engineering;</w:t>
      </w:r>
    </w:p>
    <w:p>
      <w:pPr>
        <w:pStyle w:val="ListBullet"/>
        <w:spacing w:after="20"/>
        <w:ind w:firstLine="0"/>
      </w:pPr>
      <w:r>
        <w:rPr>
          <w:b w:val="0"/>
          <w:i w:val="0"/>
        </w:rPr>
        <w:t>Патентные базы: ФИПС (Роспатент), Espacenet, Google Patents.</w:t>
      </w:r>
    </w:p>
    <w:p>
      <w:pPr>
        <w:pStyle w:val="Heading2"/>
      </w:pPr>
      <w:r>
        <w:rPr>
          <w:b w:val="0"/>
          <w:i w:val="0"/>
        </w:rPr>
        <w:t>П6.6. Отраслевая и деловая пресса</w:t>
      </w:r>
    </w:p>
    <w:p>
      <w:r>
        <w:rPr>
          <w:b w:val="0"/>
          <w:i w:val="0"/>
        </w:rPr>
        <w:t>Профильные и деловые издания Российской Федерации и зарубежных стран, материалы отраслевых конференций и выставок, публикации отраслевых ассоциаций.</w:t>
      </w:r>
    </w:p>
    <w:p>
      <w:r>
        <w:br w:type="page"/>
      </w:r>
    </w:p>
    <w:p>
      <w:pPr>
        <w:pStyle w:val="Heading1"/>
      </w:pPr>
      <w:r>
        <w:rPr>
          <w:b w:val="0"/>
          <w:i w:val="0"/>
        </w:rPr>
        <w:t>Приложение 7. Хронология ключевых событий рынка редкоземельных металлов</w:t>
      </w:r>
    </w:p>
    <w:p>
      <w:pPr>
        <w:keepNext/>
        <w:spacing w:before="160" w:after="60"/>
        <w:ind w:firstLine="0"/>
        <w:jc w:val="left"/>
      </w:pPr>
      <w:r>
        <w:rPr>
          <w:b/>
          <w:sz w:val="22"/>
        </w:rPr>
        <w:t>Таблица 135. Хронология ключевых событий мирового рынка редкоземельных металлов, 2010–2025 гг.</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Год</w:t>
            </w:r>
          </w:p>
        </w:tc>
        <w:tc>
          <w:tcPr>
            <w:tcW w:type="dxa" w:w="3324"/>
            <w:shd w:val="clear" w:fill="DCE6F1"/>
          </w:tcPr>
          <w:p>
            <w:pPr>
              <w:spacing w:after="0" w:line="240" w:lineRule="auto"/>
              <w:ind w:firstLine="0"/>
              <w:jc w:val="center"/>
            </w:pPr>
            <w:r>
              <w:rPr>
                <w:b/>
                <w:i w:val="0"/>
                <w:sz w:val="20"/>
              </w:rPr>
              <w:t>Событие</w:t>
            </w:r>
          </w:p>
        </w:tc>
        <w:tc>
          <w:tcPr>
            <w:tcW w:type="dxa" w:w="3324"/>
            <w:shd w:val="clear" w:fill="DCE6F1"/>
          </w:tcPr>
          <w:p>
            <w:pPr>
              <w:spacing w:after="0" w:line="240" w:lineRule="auto"/>
              <w:ind w:firstLine="0"/>
              <w:jc w:val="center"/>
            </w:pPr>
            <w:r>
              <w:rPr>
                <w:b/>
                <w:i w:val="0"/>
                <w:sz w:val="20"/>
              </w:rPr>
              <w:t>Значение</w:t>
            </w:r>
          </w:p>
        </w:tc>
      </w:tr>
      <w:tr>
        <w:tc>
          <w:tcPr>
            <w:tcW w:type="dxa" w:w="3324"/>
          </w:tcPr>
          <w:p>
            <w:pPr>
              <w:spacing w:after="0" w:line="240" w:lineRule="auto"/>
              <w:ind w:firstLine="0"/>
              <w:jc w:val="left"/>
            </w:pPr>
            <w:r>
              <w:rPr>
                <w:b w:val="0"/>
                <w:i w:val="0"/>
                <w:sz w:val="20"/>
              </w:rPr>
              <w:t>2010</w:t>
            </w:r>
          </w:p>
        </w:tc>
        <w:tc>
          <w:tcPr>
            <w:tcW w:type="dxa" w:w="3324"/>
          </w:tcPr>
          <w:p>
            <w:pPr>
              <w:spacing w:after="0" w:line="240" w:lineRule="auto"/>
              <w:ind w:firstLine="0"/>
              <w:jc w:val="center"/>
            </w:pPr>
            <w:r>
              <w:rPr>
                <w:b w:val="0"/>
                <w:i w:val="0"/>
                <w:sz w:val="20"/>
              </w:rPr>
              <w:t>Сокращение экспортных квот КНР на 40%</w:t>
            </w:r>
          </w:p>
        </w:tc>
        <w:tc>
          <w:tcPr>
            <w:tcW w:type="dxa" w:w="3324"/>
          </w:tcPr>
          <w:p>
            <w:pPr>
              <w:spacing w:after="0" w:line="240" w:lineRule="auto"/>
              <w:ind w:firstLine="0"/>
              <w:jc w:val="center"/>
            </w:pPr>
            <w:r>
              <w:rPr>
                <w:b w:val="0"/>
                <w:i w:val="0"/>
                <w:sz w:val="20"/>
              </w:rPr>
              <w:t>начало ценового кризиса</w:t>
            </w:r>
          </w:p>
        </w:tc>
      </w:tr>
      <w:tr>
        <w:tc>
          <w:tcPr>
            <w:tcW w:type="dxa" w:w="3324"/>
          </w:tcPr>
          <w:p>
            <w:pPr>
              <w:spacing w:after="0" w:line="240" w:lineRule="auto"/>
              <w:ind w:firstLine="0"/>
              <w:jc w:val="left"/>
            </w:pPr>
            <w:r>
              <w:rPr>
                <w:b w:val="0"/>
                <w:i w:val="0"/>
                <w:sz w:val="20"/>
              </w:rPr>
              <w:t>2011</w:t>
            </w:r>
          </w:p>
        </w:tc>
        <w:tc>
          <w:tcPr>
            <w:tcW w:type="dxa" w:w="3324"/>
          </w:tcPr>
          <w:p>
            <w:pPr>
              <w:spacing w:after="0" w:line="240" w:lineRule="auto"/>
              <w:ind w:firstLine="0"/>
              <w:jc w:val="center"/>
            </w:pPr>
            <w:r>
              <w:rPr>
                <w:b w:val="0"/>
                <w:i w:val="0"/>
                <w:sz w:val="20"/>
              </w:rPr>
              <w:t>Пик цен (Dy₂O₃ — 2 800 $/кг)</w:t>
            </w:r>
          </w:p>
        </w:tc>
        <w:tc>
          <w:tcPr>
            <w:tcW w:type="dxa" w:w="3324"/>
          </w:tcPr>
          <w:p>
            <w:pPr>
              <w:spacing w:after="0" w:line="240" w:lineRule="auto"/>
              <w:ind w:firstLine="0"/>
              <w:jc w:val="center"/>
            </w:pPr>
            <w:r>
              <w:rPr>
                <w:b w:val="0"/>
                <w:i w:val="0"/>
                <w:sz w:val="20"/>
              </w:rPr>
              <w:t>максимум за историю рынка</w:t>
            </w:r>
          </w:p>
        </w:tc>
      </w:tr>
      <w:tr>
        <w:tc>
          <w:tcPr>
            <w:tcW w:type="dxa" w:w="3324"/>
          </w:tcPr>
          <w:p>
            <w:pPr>
              <w:spacing w:after="0" w:line="240" w:lineRule="auto"/>
              <w:ind w:firstLine="0"/>
              <w:jc w:val="left"/>
            </w:pPr>
            <w:r>
              <w:rPr>
                <w:b w:val="0"/>
                <w:i w:val="0"/>
                <w:sz w:val="20"/>
              </w:rPr>
              <w:t>2011</w:t>
            </w:r>
          </w:p>
        </w:tc>
        <w:tc>
          <w:tcPr>
            <w:tcW w:type="dxa" w:w="3324"/>
          </w:tcPr>
          <w:p>
            <w:pPr>
              <w:spacing w:after="0" w:line="240" w:lineRule="auto"/>
              <w:ind w:firstLine="0"/>
              <w:jc w:val="center"/>
            </w:pPr>
            <w:r>
              <w:rPr>
                <w:b w:val="0"/>
                <w:i w:val="0"/>
                <w:sz w:val="20"/>
              </w:rPr>
              <w:t>Запуск завода Lynas в Малайзии (LAMP)</w:t>
            </w:r>
          </w:p>
        </w:tc>
        <w:tc>
          <w:tcPr>
            <w:tcW w:type="dxa" w:w="3324"/>
          </w:tcPr>
          <w:p>
            <w:pPr>
              <w:spacing w:after="0" w:line="240" w:lineRule="auto"/>
              <w:ind w:firstLine="0"/>
              <w:jc w:val="center"/>
            </w:pPr>
            <w:r>
              <w:rPr>
                <w:b w:val="0"/>
                <w:i w:val="0"/>
                <w:sz w:val="20"/>
              </w:rPr>
              <w:t>первое разделение вне КНР за десятилетия</w:t>
            </w:r>
          </w:p>
        </w:tc>
      </w:tr>
      <w:tr>
        <w:tc>
          <w:tcPr>
            <w:tcW w:type="dxa" w:w="3324"/>
          </w:tcPr>
          <w:p>
            <w:pPr>
              <w:spacing w:after="0" w:line="240" w:lineRule="auto"/>
              <w:ind w:firstLine="0"/>
              <w:jc w:val="left"/>
            </w:pPr>
            <w:r>
              <w:rPr>
                <w:b w:val="0"/>
                <w:i w:val="0"/>
                <w:sz w:val="20"/>
              </w:rPr>
              <w:t>2012</w:t>
            </w:r>
          </w:p>
        </w:tc>
        <w:tc>
          <w:tcPr>
            <w:tcW w:type="dxa" w:w="3324"/>
          </w:tcPr>
          <w:p>
            <w:pPr>
              <w:spacing w:after="0" w:line="240" w:lineRule="auto"/>
              <w:ind w:firstLine="0"/>
              <w:jc w:val="center"/>
            </w:pPr>
            <w:r>
              <w:rPr>
                <w:b w:val="0"/>
                <w:i w:val="0"/>
                <w:sz w:val="20"/>
              </w:rPr>
              <w:t>Иск США, ЕС и Японии в ВТО (DS431)</w:t>
            </w:r>
          </w:p>
        </w:tc>
        <w:tc>
          <w:tcPr>
            <w:tcW w:type="dxa" w:w="3324"/>
          </w:tcPr>
          <w:p>
            <w:pPr>
              <w:spacing w:after="0" w:line="240" w:lineRule="auto"/>
              <w:ind w:firstLine="0"/>
              <w:jc w:val="center"/>
            </w:pPr>
            <w:r>
              <w:rPr>
                <w:b w:val="0"/>
                <w:i w:val="0"/>
                <w:sz w:val="20"/>
              </w:rPr>
              <w:t>оспаривание квот КНР</w:t>
            </w:r>
          </w:p>
        </w:tc>
      </w:tr>
      <w:tr>
        <w:tc>
          <w:tcPr>
            <w:tcW w:type="dxa" w:w="3324"/>
          </w:tcPr>
          <w:p>
            <w:pPr>
              <w:spacing w:after="0" w:line="240" w:lineRule="auto"/>
              <w:ind w:firstLine="0"/>
              <w:jc w:val="left"/>
            </w:pPr>
            <w:r>
              <w:rPr>
                <w:b w:val="0"/>
                <w:i w:val="0"/>
                <w:sz w:val="20"/>
              </w:rPr>
              <w:t>2014</w:t>
            </w:r>
          </w:p>
        </w:tc>
        <w:tc>
          <w:tcPr>
            <w:tcW w:type="dxa" w:w="3324"/>
          </w:tcPr>
          <w:p>
            <w:pPr>
              <w:spacing w:after="0" w:line="240" w:lineRule="auto"/>
              <w:ind w:firstLine="0"/>
              <w:jc w:val="center"/>
            </w:pPr>
            <w:r>
              <w:rPr>
                <w:b w:val="0"/>
                <w:i w:val="0"/>
                <w:sz w:val="20"/>
              </w:rPr>
              <w:t>Решение апелляционного органа ВТО</w:t>
            </w:r>
          </w:p>
        </w:tc>
        <w:tc>
          <w:tcPr>
            <w:tcW w:type="dxa" w:w="3324"/>
          </w:tcPr>
          <w:p>
            <w:pPr>
              <w:spacing w:after="0" w:line="240" w:lineRule="auto"/>
              <w:ind w:firstLine="0"/>
              <w:jc w:val="center"/>
            </w:pPr>
            <w:r>
              <w:rPr>
                <w:b w:val="0"/>
                <w:i w:val="0"/>
                <w:sz w:val="20"/>
              </w:rPr>
              <w:t>признание квот неправомерными</w:t>
            </w:r>
          </w:p>
        </w:tc>
      </w:tr>
      <w:tr>
        <w:tc>
          <w:tcPr>
            <w:tcW w:type="dxa" w:w="3324"/>
          </w:tcPr>
          <w:p>
            <w:pPr>
              <w:spacing w:after="0" w:line="240" w:lineRule="auto"/>
              <w:ind w:firstLine="0"/>
              <w:jc w:val="left"/>
            </w:pPr>
            <w:r>
              <w:rPr>
                <w:b w:val="0"/>
                <w:i w:val="0"/>
                <w:sz w:val="20"/>
              </w:rPr>
              <w:t>2015</w:t>
            </w:r>
          </w:p>
        </w:tc>
        <w:tc>
          <w:tcPr>
            <w:tcW w:type="dxa" w:w="3324"/>
          </w:tcPr>
          <w:p>
            <w:pPr>
              <w:spacing w:after="0" w:line="240" w:lineRule="auto"/>
              <w:ind w:firstLine="0"/>
              <w:jc w:val="center"/>
            </w:pPr>
            <w:r>
              <w:rPr>
                <w:b w:val="0"/>
                <w:i w:val="0"/>
                <w:sz w:val="20"/>
              </w:rPr>
              <w:t>Отмена экспортных квот и пошлин КНР</w:t>
            </w:r>
          </w:p>
        </w:tc>
        <w:tc>
          <w:tcPr>
            <w:tcW w:type="dxa" w:w="3324"/>
          </w:tcPr>
          <w:p>
            <w:pPr>
              <w:spacing w:after="0" w:line="240" w:lineRule="auto"/>
              <w:ind w:firstLine="0"/>
              <w:jc w:val="center"/>
            </w:pPr>
            <w:r>
              <w:rPr>
                <w:b w:val="0"/>
                <w:i w:val="0"/>
                <w:sz w:val="20"/>
              </w:rPr>
              <w:t>замена внутренними мерами</w:t>
            </w:r>
          </w:p>
        </w:tc>
      </w:tr>
      <w:tr>
        <w:tc>
          <w:tcPr>
            <w:tcW w:type="dxa" w:w="3324"/>
          </w:tcPr>
          <w:p>
            <w:pPr>
              <w:spacing w:after="0" w:line="240" w:lineRule="auto"/>
              <w:ind w:firstLine="0"/>
              <w:jc w:val="left"/>
            </w:pPr>
            <w:r>
              <w:rPr>
                <w:b w:val="0"/>
                <w:i w:val="0"/>
                <w:sz w:val="20"/>
              </w:rPr>
              <w:t>2015</w:t>
            </w:r>
          </w:p>
        </w:tc>
        <w:tc>
          <w:tcPr>
            <w:tcW w:type="dxa" w:w="3324"/>
          </w:tcPr>
          <w:p>
            <w:pPr>
              <w:spacing w:after="0" w:line="240" w:lineRule="auto"/>
              <w:ind w:firstLine="0"/>
              <w:jc w:val="center"/>
            </w:pPr>
            <w:r>
              <w:rPr>
                <w:b w:val="0"/>
                <w:i w:val="0"/>
                <w:sz w:val="20"/>
              </w:rPr>
              <w:t>Банкротство Molycorp</w:t>
            </w:r>
          </w:p>
        </w:tc>
        <w:tc>
          <w:tcPr>
            <w:tcW w:type="dxa" w:w="3324"/>
          </w:tcPr>
          <w:p>
            <w:pPr>
              <w:spacing w:after="0" w:line="240" w:lineRule="auto"/>
              <w:ind w:firstLine="0"/>
              <w:jc w:val="center"/>
            </w:pPr>
            <w:r>
              <w:rPr>
                <w:b w:val="0"/>
                <w:i w:val="0"/>
                <w:sz w:val="20"/>
              </w:rPr>
              <w:t>крах «первой волны» проектов</w:t>
            </w:r>
          </w:p>
        </w:tc>
      </w:tr>
      <w:tr>
        <w:tc>
          <w:tcPr>
            <w:tcW w:type="dxa" w:w="3324"/>
          </w:tcPr>
          <w:p>
            <w:pPr>
              <w:spacing w:after="0" w:line="240" w:lineRule="auto"/>
              <w:ind w:firstLine="0"/>
              <w:jc w:val="left"/>
            </w:pPr>
            <w:r>
              <w:rPr>
                <w:b w:val="0"/>
                <w:i w:val="0"/>
                <w:sz w:val="20"/>
              </w:rPr>
              <w:t>2016</w:t>
            </w:r>
          </w:p>
        </w:tc>
        <w:tc>
          <w:tcPr>
            <w:tcW w:type="dxa" w:w="3324"/>
          </w:tcPr>
          <w:p>
            <w:pPr>
              <w:spacing w:after="0" w:line="240" w:lineRule="auto"/>
              <w:ind w:firstLine="0"/>
              <w:jc w:val="center"/>
            </w:pPr>
            <w:r>
              <w:rPr>
                <w:b w:val="0"/>
                <w:i w:val="0"/>
                <w:sz w:val="20"/>
              </w:rPr>
              <w:t>Введение системы прослеживаемости в КНР</w:t>
            </w:r>
          </w:p>
        </w:tc>
        <w:tc>
          <w:tcPr>
            <w:tcW w:type="dxa" w:w="3324"/>
          </w:tcPr>
          <w:p>
            <w:pPr>
              <w:spacing w:after="0" w:line="240" w:lineRule="auto"/>
              <w:ind w:firstLine="0"/>
              <w:jc w:val="center"/>
            </w:pPr>
            <w:r>
              <w:rPr>
                <w:b w:val="0"/>
                <w:i w:val="0"/>
                <w:sz w:val="20"/>
              </w:rPr>
              <w:t>сокращение нелегальной добычи</w:t>
            </w:r>
          </w:p>
        </w:tc>
      </w:tr>
      <w:tr>
        <w:tc>
          <w:tcPr>
            <w:tcW w:type="dxa" w:w="3324"/>
          </w:tcPr>
          <w:p>
            <w:pPr>
              <w:spacing w:after="0" w:line="240" w:lineRule="auto"/>
              <w:ind w:firstLine="0"/>
              <w:jc w:val="left"/>
            </w:pPr>
            <w:r>
              <w:rPr>
                <w:b w:val="0"/>
                <w:i w:val="0"/>
                <w:sz w:val="20"/>
              </w:rPr>
              <w:t>2017</w:t>
            </w:r>
          </w:p>
        </w:tc>
        <w:tc>
          <w:tcPr>
            <w:tcW w:type="dxa" w:w="3324"/>
          </w:tcPr>
          <w:p>
            <w:pPr>
              <w:spacing w:after="0" w:line="240" w:lineRule="auto"/>
              <w:ind w:firstLine="0"/>
              <w:jc w:val="left"/>
            </w:pPr>
            <w:r>
              <w:rPr>
                <w:b w:val="0"/>
                <w:i w:val="0"/>
                <w:sz w:val="20"/>
              </w:rPr>
              <w:t>Создание MP Materials на активах Molycorp</w:t>
            </w:r>
          </w:p>
        </w:tc>
        <w:tc>
          <w:tcPr>
            <w:tcW w:type="dxa" w:w="3324"/>
          </w:tcPr>
          <w:p>
            <w:pPr>
              <w:spacing w:after="0" w:line="240" w:lineRule="auto"/>
              <w:ind w:firstLine="0"/>
              <w:jc w:val="center"/>
            </w:pPr>
            <w:r>
              <w:rPr>
                <w:b w:val="0"/>
                <w:i w:val="0"/>
                <w:sz w:val="20"/>
              </w:rPr>
              <w:t>возобновление добычи в США</w:t>
            </w:r>
          </w:p>
        </w:tc>
      </w:tr>
      <w:tr>
        <w:tc>
          <w:tcPr>
            <w:tcW w:type="dxa" w:w="3324"/>
          </w:tcPr>
          <w:p>
            <w:pPr>
              <w:spacing w:after="0" w:line="240" w:lineRule="auto"/>
              <w:ind w:firstLine="0"/>
              <w:jc w:val="left"/>
            </w:pPr>
            <w:r>
              <w:rPr>
                <w:b w:val="0"/>
                <w:i w:val="0"/>
                <w:sz w:val="20"/>
              </w:rPr>
              <w:t>2018</w:t>
            </w:r>
          </w:p>
        </w:tc>
        <w:tc>
          <w:tcPr>
            <w:tcW w:type="dxa" w:w="3324"/>
          </w:tcPr>
          <w:p>
            <w:pPr>
              <w:spacing w:after="0" w:line="240" w:lineRule="auto"/>
              <w:ind w:firstLine="0"/>
              <w:jc w:val="center"/>
            </w:pPr>
            <w:r>
              <w:rPr>
                <w:b w:val="0"/>
                <w:i w:val="0"/>
                <w:sz w:val="20"/>
              </w:rPr>
              <w:t>Начало масштабной добычи в Мьянме</w:t>
            </w:r>
          </w:p>
        </w:tc>
        <w:tc>
          <w:tcPr>
            <w:tcW w:type="dxa" w:w="3324"/>
          </w:tcPr>
          <w:p>
            <w:pPr>
              <w:spacing w:after="0" w:line="240" w:lineRule="auto"/>
              <w:ind w:firstLine="0"/>
              <w:jc w:val="center"/>
            </w:pPr>
            <w:r>
              <w:rPr>
                <w:b w:val="0"/>
                <w:i w:val="0"/>
                <w:sz w:val="20"/>
              </w:rPr>
              <w:t>новый источник тяжёлых РЗМ</w:t>
            </w:r>
          </w:p>
        </w:tc>
      </w:tr>
      <w:tr>
        <w:tc>
          <w:tcPr>
            <w:tcW w:type="dxa" w:w="3324"/>
          </w:tcPr>
          <w:p>
            <w:pPr>
              <w:spacing w:after="0" w:line="240" w:lineRule="auto"/>
              <w:ind w:firstLine="0"/>
              <w:jc w:val="left"/>
            </w:pPr>
            <w:r>
              <w:rPr>
                <w:b w:val="0"/>
                <w:i w:val="0"/>
                <w:sz w:val="20"/>
              </w:rPr>
              <w:t>2019</w:t>
            </w:r>
          </w:p>
        </w:tc>
        <w:tc>
          <w:tcPr>
            <w:tcW w:type="dxa" w:w="3324"/>
          </w:tcPr>
          <w:p>
            <w:pPr>
              <w:spacing w:after="0" w:line="240" w:lineRule="auto"/>
              <w:ind w:firstLine="0"/>
              <w:jc w:val="center"/>
            </w:pPr>
            <w:r>
              <w:rPr>
                <w:b w:val="0"/>
                <w:i w:val="0"/>
                <w:sz w:val="20"/>
              </w:rPr>
              <w:t>Угроза ограничения поставок в США</w:t>
            </w:r>
          </w:p>
        </w:tc>
        <w:tc>
          <w:tcPr>
            <w:tcW w:type="dxa" w:w="3324"/>
          </w:tcPr>
          <w:p>
            <w:pPr>
              <w:spacing w:after="0" w:line="240" w:lineRule="auto"/>
              <w:ind w:firstLine="0"/>
              <w:jc w:val="center"/>
            </w:pPr>
            <w:r>
              <w:rPr>
                <w:b w:val="0"/>
                <w:i w:val="0"/>
                <w:sz w:val="20"/>
              </w:rPr>
              <w:t>обострение торгового конфликта</w:t>
            </w:r>
          </w:p>
        </w:tc>
      </w:tr>
      <w:tr>
        <w:tc>
          <w:tcPr>
            <w:tcW w:type="dxa" w:w="3324"/>
          </w:tcPr>
          <w:p>
            <w:pPr>
              <w:spacing w:after="0" w:line="240" w:lineRule="auto"/>
              <w:ind w:firstLine="0"/>
              <w:jc w:val="left"/>
            </w:pPr>
            <w:r>
              <w:rPr>
                <w:b w:val="0"/>
                <w:i w:val="0"/>
                <w:sz w:val="20"/>
              </w:rPr>
              <w:t>2020</w:t>
            </w:r>
          </w:p>
        </w:tc>
        <w:tc>
          <w:tcPr>
            <w:tcW w:type="dxa" w:w="3324"/>
          </w:tcPr>
          <w:p>
            <w:pPr>
              <w:spacing w:after="0" w:line="240" w:lineRule="auto"/>
              <w:ind w:firstLine="0"/>
              <w:jc w:val="left"/>
            </w:pPr>
            <w:r>
              <w:rPr>
                <w:b w:val="0"/>
                <w:i w:val="0"/>
                <w:sz w:val="20"/>
              </w:rPr>
              <w:t>Принятие Закона КНР об экспортном контроле</w:t>
            </w:r>
          </w:p>
        </w:tc>
        <w:tc>
          <w:tcPr>
            <w:tcW w:type="dxa" w:w="3324"/>
          </w:tcPr>
          <w:p>
            <w:pPr>
              <w:spacing w:after="0" w:line="240" w:lineRule="auto"/>
              <w:ind w:firstLine="0"/>
              <w:jc w:val="center"/>
            </w:pPr>
            <w:r>
              <w:rPr>
                <w:b w:val="0"/>
                <w:i w:val="0"/>
                <w:sz w:val="20"/>
              </w:rPr>
              <w:t>правовая база будущих ограничений</w:t>
            </w:r>
          </w:p>
        </w:tc>
      </w:tr>
      <w:tr>
        <w:tc>
          <w:tcPr>
            <w:tcW w:type="dxa" w:w="3324"/>
          </w:tcPr>
          <w:p>
            <w:pPr>
              <w:spacing w:after="0" w:line="240" w:lineRule="auto"/>
              <w:ind w:firstLine="0"/>
              <w:jc w:val="left"/>
            </w:pPr>
            <w:r>
              <w:rPr>
                <w:b w:val="0"/>
                <w:i w:val="0"/>
                <w:sz w:val="20"/>
              </w:rPr>
              <w:t>2021</w:t>
            </w:r>
          </w:p>
        </w:tc>
        <w:tc>
          <w:tcPr>
            <w:tcW w:type="dxa" w:w="3324"/>
          </w:tcPr>
          <w:p>
            <w:pPr>
              <w:spacing w:after="0" w:line="240" w:lineRule="auto"/>
              <w:ind w:firstLine="0"/>
              <w:jc w:val="center"/>
            </w:pPr>
            <w:r>
              <w:rPr>
                <w:b w:val="0"/>
                <w:i w:val="0"/>
                <w:sz w:val="20"/>
              </w:rPr>
              <w:t>Создание China Rare Earth Group</w:t>
            </w:r>
          </w:p>
        </w:tc>
        <w:tc>
          <w:tcPr>
            <w:tcW w:type="dxa" w:w="3324"/>
          </w:tcPr>
          <w:p>
            <w:pPr>
              <w:spacing w:after="0" w:line="240" w:lineRule="auto"/>
              <w:ind w:firstLine="0"/>
              <w:jc w:val="center"/>
            </w:pPr>
            <w:r>
              <w:rPr>
                <w:b w:val="0"/>
                <w:i w:val="0"/>
                <w:sz w:val="20"/>
              </w:rPr>
              <w:t>консолидация тяжёлых РЗМ</w:t>
            </w:r>
          </w:p>
        </w:tc>
      </w:tr>
      <w:tr>
        <w:tc>
          <w:tcPr>
            <w:tcW w:type="dxa" w:w="3324"/>
          </w:tcPr>
          <w:p>
            <w:pPr>
              <w:spacing w:after="0" w:line="240" w:lineRule="auto"/>
              <w:ind w:firstLine="0"/>
              <w:jc w:val="left"/>
            </w:pPr>
            <w:r>
              <w:rPr>
                <w:b w:val="0"/>
                <w:i w:val="0"/>
                <w:sz w:val="20"/>
              </w:rPr>
              <w:t>2022</w:t>
            </w:r>
          </w:p>
        </w:tc>
        <w:tc>
          <w:tcPr>
            <w:tcW w:type="dxa" w:w="3324"/>
          </w:tcPr>
          <w:p>
            <w:pPr>
              <w:spacing w:after="0" w:line="240" w:lineRule="auto"/>
              <w:ind w:firstLine="0"/>
              <w:jc w:val="center"/>
            </w:pPr>
            <w:r>
              <w:rPr>
                <w:b w:val="0"/>
                <w:i w:val="0"/>
                <w:sz w:val="20"/>
              </w:rPr>
              <w:t>Пик цен NdPr (187 $/кг, февраль)</w:t>
            </w:r>
          </w:p>
        </w:tc>
        <w:tc>
          <w:tcPr>
            <w:tcW w:type="dxa" w:w="3324"/>
          </w:tcPr>
          <w:p>
            <w:pPr>
              <w:spacing w:after="0" w:line="240" w:lineRule="auto"/>
              <w:ind w:firstLine="0"/>
              <w:jc w:val="center"/>
            </w:pPr>
            <w:r>
              <w:rPr>
                <w:b w:val="0"/>
                <w:i w:val="0"/>
                <w:sz w:val="20"/>
              </w:rPr>
              <w:t>рекорд с 2011 г.</w:t>
            </w:r>
          </w:p>
        </w:tc>
      </w:tr>
      <w:tr>
        <w:tc>
          <w:tcPr>
            <w:tcW w:type="dxa" w:w="3324"/>
          </w:tcPr>
          <w:p>
            <w:pPr>
              <w:spacing w:after="0" w:line="240" w:lineRule="auto"/>
              <w:ind w:firstLine="0"/>
              <w:jc w:val="left"/>
            </w:pPr>
            <w:r>
              <w:rPr>
                <w:b w:val="0"/>
                <w:i w:val="0"/>
                <w:sz w:val="20"/>
              </w:rPr>
              <w:t>2022</w:t>
            </w:r>
          </w:p>
        </w:tc>
        <w:tc>
          <w:tcPr>
            <w:tcW w:type="dxa" w:w="3324"/>
          </w:tcPr>
          <w:p>
            <w:pPr>
              <w:spacing w:after="0" w:line="240" w:lineRule="auto"/>
              <w:ind w:firstLine="0"/>
              <w:jc w:val="left"/>
            </w:pPr>
            <w:r>
              <w:rPr>
                <w:b w:val="0"/>
                <w:i w:val="0"/>
                <w:sz w:val="20"/>
              </w:rPr>
              <w:t>Прекращение поставок карбоната РФ в Эстонию</w:t>
            </w:r>
          </w:p>
        </w:tc>
        <w:tc>
          <w:tcPr>
            <w:tcW w:type="dxa" w:w="3324"/>
          </w:tcPr>
          <w:p>
            <w:pPr>
              <w:spacing w:after="0" w:line="240" w:lineRule="auto"/>
              <w:ind w:firstLine="0"/>
              <w:jc w:val="center"/>
            </w:pPr>
            <w:r>
              <w:rPr>
                <w:b w:val="0"/>
                <w:i w:val="0"/>
                <w:sz w:val="20"/>
              </w:rPr>
              <w:t>разрыв цепочки Ловозеро — Силламяэ</w:t>
            </w:r>
          </w:p>
        </w:tc>
      </w:tr>
      <w:tr>
        <w:tc>
          <w:tcPr>
            <w:tcW w:type="dxa" w:w="3324"/>
          </w:tcPr>
          <w:p>
            <w:pPr>
              <w:spacing w:after="0" w:line="240" w:lineRule="auto"/>
              <w:ind w:firstLine="0"/>
              <w:jc w:val="left"/>
            </w:pPr>
            <w:r>
              <w:rPr>
                <w:b w:val="0"/>
                <w:i w:val="0"/>
                <w:sz w:val="20"/>
              </w:rPr>
              <w:t>2023</w:t>
            </w:r>
          </w:p>
        </w:tc>
        <w:tc>
          <w:tcPr>
            <w:tcW w:type="dxa" w:w="3324"/>
          </w:tcPr>
          <w:p>
            <w:pPr>
              <w:spacing w:after="0" w:line="240" w:lineRule="auto"/>
              <w:ind w:firstLine="0"/>
              <w:jc w:val="left"/>
            </w:pPr>
            <w:r>
              <w:rPr>
                <w:b w:val="0"/>
                <w:i w:val="0"/>
                <w:sz w:val="20"/>
              </w:rPr>
              <w:t>Запрет экспорта технологий разделения (КНР)</w:t>
            </w:r>
          </w:p>
        </w:tc>
        <w:tc>
          <w:tcPr>
            <w:tcW w:type="dxa" w:w="3324"/>
          </w:tcPr>
          <w:p>
            <w:pPr>
              <w:spacing w:after="0" w:line="240" w:lineRule="auto"/>
              <w:ind w:firstLine="0"/>
              <w:jc w:val="center"/>
            </w:pPr>
            <w:r>
              <w:rPr>
                <w:b w:val="0"/>
                <w:i w:val="0"/>
                <w:sz w:val="20"/>
              </w:rPr>
              <w:t>блокирование трансфера компетенций</w:t>
            </w:r>
          </w:p>
        </w:tc>
      </w:tr>
      <w:tr>
        <w:tc>
          <w:tcPr>
            <w:tcW w:type="dxa" w:w="3324"/>
          </w:tcPr>
          <w:p>
            <w:pPr>
              <w:spacing w:after="0" w:line="240" w:lineRule="auto"/>
              <w:ind w:firstLine="0"/>
              <w:jc w:val="left"/>
            </w:pPr>
            <w:r>
              <w:rPr>
                <w:b w:val="0"/>
                <w:i w:val="0"/>
                <w:sz w:val="20"/>
              </w:rPr>
              <w:t>2023</w:t>
            </w:r>
          </w:p>
        </w:tc>
        <w:tc>
          <w:tcPr>
            <w:tcW w:type="dxa" w:w="3324"/>
          </w:tcPr>
          <w:p>
            <w:pPr>
              <w:spacing w:after="0" w:line="240" w:lineRule="auto"/>
              <w:ind w:firstLine="0"/>
              <w:jc w:val="center"/>
            </w:pPr>
            <w:r>
              <w:rPr>
                <w:b w:val="0"/>
                <w:i w:val="0"/>
                <w:sz w:val="20"/>
              </w:rPr>
              <w:t>Передача СМЗ в контур ГК «Росатом»</w:t>
            </w:r>
          </w:p>
        </w:tc>
        <w:tc>
          <w:tcPr>
            <w:tcW w:type="dxa" w:w="3324"/>
          </w:tcPr>
          <w:p>
            <w:pPr>
              <w:spacing w:after="0" w:line="240" w:lineRule="auto"/>
              <w:ind w:firstLine="0"/>
              <w:jc w:val="center"/>
            </w:pPr>
            <w:r>
              <w:rPr>
                <w:b w:val="0"/>
                <w:i w:val="0"/>
                <w:sz w:val="20"/>
              </w:rPr>
              <w:t>консолидация российской отрасли</w:t>
            </w:r>
          </w:p>
        </w:tc>
      </w:tr>
      <w:tr>
        <w:tc>
          <w:tcPr>
            <w:tcW w:type="dxa" w:w="3324"/>
          </w:tcPr>
          <w:p>
            <w:pPr>
              <w:spacing w:after="0" w:line="240" w:lineRule="auto"/>
              <w:ind w:firstLine="0"/>
              <w:jc w:val="left"/>
            </w:pPr>
            <w:r>
              <w:rPr>
                <w:b w:val="0"/>
                <w:i w:val="0"/>
                <w:sz w:val="20"/>
              </w:rPr>
              <w:t>2024</w:t>
            </w:r>
          </w:p>
        </w:tc>
        <w:tc>
          <w:tcPr>
            <w:tcW w:type="dxa" w:w="3324"/>
          </w:tcPr>
          <w:p>
            <w:pPr>
              <w:spacing w:after="0" w:line="240" w:lineRule="auto"/>
              <w:ind w:firstLine="0"/>
              <w:jc w:val="left"/>
            </w:pPr>
            <w:r>
              <w:rPr>
                <w:b w:val="0"/>
                <w:i w:val="0"/>
                <w:sz w:val="20"/>
              </w:rPr>
              <w:t>Правила управления редкоземельной отраслью КНР</w:t>
            </w:r>
          </w:p>
        </w:tc>
        <w:tc>
          <w:tcPr>
            <w:tcW w:type="dxa" w:w="3324"/>
          </w:tcPr>
          <w:p>
            <w:pPr>
              <w:spacing w:after="0" w:line="240" w:lineRule="auto"/>
              <w:ind w:firstLine="0"/>
              <w:jc w:val="center"/>
            </w:pPr>
            <w:r>
              <w:rPr>
                <w:b w:val="0"/>
                <w:i w:val="0"/>
                <w:sz w:val="20"/>
              </w:rPr>
              <w:t>госсобственность на ресурсы</w:t>
            </w:r>
          </w:p>
        </w:tc>
      </w:tr>
      <w:tr>
        <w:tc>
          <w:tcPr>
            <w:tcW w:type="dxa" w:w="3324"/>
          </w:tcPr>
          <w:p>
            <w:pPr>
              <w:spacing w:after="0" w:line="240" w:lineRule="auto"/>
              <w:ind w:firstLine="0"/>
              <w:jc w:val="left"/>
            </w:pPr>
            <w:r>
              <w:rPr>
                <w:b w:val="0"/>
                <w:i w:val="0"/>
                <w:sz w:val="20"/>
              </w:rPr>
              <w:t>2024</w:t>
            </w:r>
          </w:p>
        </w:tc>
        <w:tc>
          <w:tcPr>
            <w:tcW w:type="dxa" w:w="3324"/>
          </w:tcPr>
          <w:p>
            <w:pPr>
              <w:spacing w:after="0" w:line="240" w:lineRule="auto"/>
              <w:ind w:firstLine="0"/>
              <w:jc w:val="left"/>
            </w:pPr>
            <w:r>
              <w:rPr>
                <w:b w:val="0"/>
                <w:i w:val="0"/>
                <w:sz w:val="20"/>
              </w:rPr>
              <w:t>Вступление в силу Регламента ЕС о критическом сырье</w:t>
            </w:r>
          </w:p>
        </w:tc>
        <w:tc>
          <w:tcPr>
            <w:tcW w:type="dxa" w:w="3324"/>
          </w:tcPr>
          <w:p>
            <w:pPr>
              <w:spacing w:after="0" w:line="240" w:lineRule="auto"/>
              <w:ind w:firstLine="0"/>
              <w:jc w:val="center"/>
            </w:pPr>
            <w:r>
              <w:rPr>
                <w:b w:val="0"/>
                <w:i w:val="0"/>
                <w:sz w:val="20"/>
              </w:rPr>
              <w:t>количественные цели для ЕС</w:t>
            </w:r>
          </w:p>
        </w:tc>
      </w:tr>
      <w:tr>
        <w:tc>
          <w:tcPr>
            <w:tcW w:type="dxa" w:w="3324"/>
          </w:tcPr>
          <w:p>
            <w:pPr>
              <w:spacing w:after="0" w:line="240" w:lineRule="auto"/>
              <w:ind w:firstLine="0"/>
              <w:jc w:val="left"/>
            </w:pPr>
            <w:r>
              <w:rPr>
                <w:b w:val="0"/>
                <w:i w:val="0"/>
                <w:sz w:val="20"/>
              </w:rPr>
              <w:t>2024</w:t>
            </w:r>
          </w:p>
        </w:tc>
        <w:tc>
          <w:tcPr>
            <w:tcW w:type="dxa" w:w="3324"/>
          </w:tcPr>
          <w:p>
            <w:pPr>
              <w:spacing w:after="0" w:line="240" w:lineRule="auto"/>
              <w:ind w:firstLine="0"/>
              <w:jc w:val="center"/>
            </w:pPr>
            <w:r>
              <w:rPr>
                <w:b w:val="0"/>
                <w:i w:val="0"/>
                <w:sz w:val="20"/>
              </w:rPr>
              <w:t>Запуск Serra Verde (Бразилия)</w:t>
            </w:r>
          </w:p>
        </w:tc>
        <w:tc>
          <w:tcPr>
            <w:tcW w:type="dxa" w:w="3324"/>
          </w:tcPr>
          <w:p>
            <w:pPr>
              <w:spacing w:after="0" w:line="240" w:lineRule="auto"/>
              <w:ind w:firstLine="0"/>
              <w:jc w:val="center"/>
            </w:pPr>
            <w:r>
              <w:rPr>
                <w:b w:val="0"/>
                <w:i w:val="0"/>
                <w:sz w:val="20"/>
              </w:rPr>
              <w:t>первое IAC-производство вне Азии</w:t>
            </w:r>
          </w:p>
        </w:tc>
      </w:tr>
      <w:tr>
        <w:tc>
          <w:tcPr>
            <w:tcW w:type="dxa" w:w="3324"/>
          </w:tcPr>
          <w:p>
            <w:pPr>
              <w:spacing w:after="0" w:line="240" w:lineRule="auto"/>
              <w:ind w:firstLine="0"/>
              <w:jc w:val="left"/>
            </w:pPr>
            <w:r>
              <w:rPr>
                <w:b w:val="0"/>
                <w:i w:val="0"/>
                <w:sz w:val="20"/>
              </w:rPr>
              <w:t>2025 (апр.)</w:t>
            </w:r>
          </w:p>
        </w:tc>
        <w:tc>
          <w:tcPr>
            <w:tcW w:type="dxa" w:w="3324"/>
          </w:tcPr>
          <w:p>
            <w:pPr>
              <w:spacing w:after="0" w:line="240" w:lineRule="auto"/>
              <w:ind w:firstLine="0"/>
              <w:jc w:val="left"/>
            </w:pPr>
            <w:r>
              <w:rPr>
                <w:b w:val="0"/>
                <w:i w:val="0"/>
                <w:sz w:val="20"/>
              </w:rPr>
              <w:t>Экспортный контроль КНР на 7 элементов и магниты</w:t>
            </w:r>
          </w:p>
        </w:tc>
        <w:tc>
          <w:tcPr>
            <w:tcW w:type="dxa" w:w="3324"/>
          </w:tcPr>
          <w:p>
            <w:pPr>
              <w:spacing w:after="0" w:line="240" w:lineRule="auto"/>
              <w:ind w:firstLine="0"/>
              <w:jc w:val="center"/>
            </w:pPr>
            <w:r>
              <w:rPr>
                <w:b w:val="0"/>
                <w:i w:val="0"/>
                <w:sz w:val="20"/>
              </w:rPr>
              <w:t>ценовой разрыв, дефицит вне КНР</w:t>
            </w:r>
          </w:p>
        </w:tc>
      </w:tr>
      <w:tr>
        <w:tc>
          <w:tcPr>
            <w:tcW w:type="dxa" w:w="3324"/>
          </w:tcPr>
          <w:p>
            <w:pPr>
              <w:spacing w:after="0" w:line="240" w:lineRule="auto"/>
              <w:ind w:firstLine="0"/>
              <w:jc w:val="left"/>
            </w:pPr>
            <w:r>
              <w:rPr>
                <w:b w:val="0"/>
                <w:i w:val="0"/>
                <w:sz w:val="20"/>
              </w:rPr>
              <w:t>2025 (июль)</w:t>
            </w:r>
          </w:p>
        </w:tc>
        <w:tc>
          <w:tcPr>
            <w:tcW w:type="dxa" w:w="3324"/>
          </w:tcPr>
          <w:p>
            <w:pPr>
              <w:spacing w:after="0" w:line="240" w:lineRule="auto"/>
              <w:ind w:firstLine="0"/>
              <w:jc w:val="center"/>
            </w:pPr>
            <w:r>
              <w:rPr>
                <w:b w:val="0"/>
                <w:i w:val="0"/>
                <w:sz w:val="20"/>
              </w:rPr>
              <w:t>Соглашение MP Materials с Минобороны США</w:t>
            </w:r>
          </w:p>
        </w:tc>
        <w:tc>
          <w:tcPr>
            <w:tcW w:type="dxa" w:w="3324"/>
          </w:tcPr>
          <w:p>
            <w:pPr>
              <w:spacing w:after="0" w:line="240" w:lineRule="auto"/>
              <w:ind w:firstLine="0"/>
              <w:jc w:val="center"/>
            </w:pPr>
            <w:r>
              <w:rPr>
                <w:b w:val="0"/>
                <w:i w:val="0"/>
                <w:sz w:val="20"/>
              </w:rPr>
              <w:t>прецедент ценового пола 110 $/кг</w:t>
            </w:r>
          </w:p>
        </w:tc>
      </w:tr>
      <w:tr>
        <w:tc>
          <w:tcPr>
            <w:tcW w:type="dxa" w:w="3324"/>
          </w:tcPr>
          <w:p>
            <w:pPr>
              <w:spacing w:after="0" w:line="240" w:lineRule="auto"/>
              <w:ind w:firstLine="0"/>
              <w:jc w:val="left"/>
            </w:pPr>
            <w:r>
              <w:rPr>
                <w:b w:val="0"/>
                <w:i w:val="0"/>
                <w:sz w:val="20"/>
              </w:rPr>
              <w:t>2025 (окт.)</w:t>
            </w:r>
          </w:p>
        </w:tc>
        <w:tc>
          <w:tcPr>
            <w:tcW w:type="dxa" w:w="3324"/>
          </w:tcPr>
          <w:p>
            <w:pPr>
              <w:spacing w:after="0" w:line="240" w:lineRule="auto"/>
              <w:ind w:firstLine="0"/>
              <w:jc w:val="left"/>
            </w:pPr>
            <w:r>
              <w:rPr>
                <w:b w:val="0"/>
                <w:i w:val="0"/>
                <w:sz w:val="20"/>
              </w:rPr>
              <w:t>Расширение экспортного контроля КНР, правило 0,1%</w:t>
            </w:r>
          </w:p>
        </w:tc>
        <w:tc>
          <w:tcPr>
            <w:tcW w:type="dxa" w:w="3324"/>
          </w:tcPr>
          <w:p>
            <w:pPr>
              <w:spacing w:after="0" w:line="240" w:lineRule="auto"/>
              <w:ind w:firstLine="0"/>
              <w:jc w:val="center"/>
            </w:pPr>
            <w:r>
              <w:rPr>
                <w:b w:val="0"/>
                <w:i w:val="0"/>
                <w:sz w:val="20"/>
              </w:rPr>
              <w:t>экстерриториальный охват</w:t>
            </w:r>
          </w:p>
        </w:tc>
      </w:tr>
      <w:tr>
        <w:tc>
          <w:tcPr>
            <w:tcW w:type="dxa" w:w="3324"/>
          </w:tcPr>
          <w:p>
            <w:pPr>
              <w:spacing w:after="0" w:line="240" w:lineRule="auto"/>
              <w:ind w:firstLine="0"/>
              <w:jc w:val="left"/>
            </w:pPr>
            <w:r>
              <w:rPr>
                <w:b w:val="0"/>
                <w:i w:val="0"/>
                <w:sz w:val="20"/>
              </w:rPr>
              <w:t>2025</w:t>
            </w:r>
          </w:p>
        </w:tc>
        <w:tc>
          <w:tcPr>
            <w:tcW w:type="dxa" w:w="3324"/>
          </w:tcPr>
          <w:p>
            <w:pPr>
              <w:spacing w:after="0" w:line="240" w:lineRule="auto"/>
              <w:ind w:firstLine="0"/>
              <w:jc w:val="left"/>
            </w:pPr>
            <w:r>
              <w:rPr>
                <w:b w:val="0"/>
                <w:i w:val="0"/>
                <w:sz w:val="20"/>
              </w:rPr>
              <w:t>Начало производства Dy и Tb компанией Lynas</w:t>
            </w:r>
          </w:p>
        </w:tc>
        <w:tc>
          <w:tcPr>
            <w:tcW w:type="dxa" w:w="3324"/>
          </w:tcPr>
          <w:p>
            <w:pPr>
              <w:spacing w:after="0" w:line="240" w:lineRule="auto"/>
              <w:ind w:firstLine="0"/>
              <w:jc w:val="center"/>
            </w:pPr>
            <w:r>
              <w:rPr>
                <w:b w:val="0"/>
                <w:i w:val="0"/>
                <w:sz w:val="20"/>
              </w:rPr>
              <w:t>первое разделение тяжёлых вне КНР</w:t>
            </w:r>
          </w:p>
        </w:tc>
      </w:tr>
    </w:tbl>
    <w:p>
      <w:pPr>
        <w:spacing w:after="180"/>
        <w:ind w:firstLine="0"/>
      </w:pPr>
      <w:r>
        <w:rPr>
          <w:i/>
          <w:sz w:val="20"/>
        </w:rPr>
        <w:t>Источник: аналитический центр</w:t>
      </w:r>
    </w:p>
    <w:p>
      <w:pPr>
        <w:keepNext/>
        <w:spacing w:before="160" w:after="60"/>
        <w:ind w:firstLine="0"/>
        <w:jc w:val="left"/>
      </w:pPr>
      <w:r>
        <w:rPr>
          <w:b/>
          <w:sz w:val="22"/>
        </w:rPr>
        <w:t>Таблица 136. Перечень таблиц и рисунков по главам отчёта</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Глава</w:t>
            </w:r>
          </w:p>
        </w:tc>
        <w:tc>
          <w:tcPr>
            <w:tcW w:type="dxa" w:w="3324"/>
            <w:shd w:val="clear" w:fill="DCE6F1"/>
          </w:tcPr>
          <w:p>
            <w:pPr>
              <w:spacing w:after="0" w:line="240" w:lineRule="auto"/>
              <w:ind w:firstLine="0"/>
              <w:jc w:val="center"/>
            </w:pPr>
            <w:r>
              <w:rPr>
                <w:b/>
                <w:i w:val="0"/>
                <w:sz w:val="20"/>
              </w:rPr>
              <w:t>Таблицы</w:t>
            </w:r>
          </w:p>
        </w:tc>
        <w:tc>
          <w:tcPr>
            <w:tcW w:type="dxa" w:w="3324"/>
            <w:shd w:val="clear" w:fill="DCE6F1"/>
          </w:tcPr>
          <w:p>
            <w:pPr>
              <w:spacing w:after="0" w:line="240" w:lineRule="auto"/>
              <w:ind w:firstLine="0"/>
              <w:jc w:val="center"/>
            </w:pPr>
            <w:r>
              <w:rPr>
                <w:b/>
                <w:i w:val="0"/>
                <w:sz w:val="20"/>
              </w:rPr>
              <w:t>Рисунки</w:t>
            </w:r>
          </w:p>
        </w:tc>
      </w:tr>
      <w:tr>
        <w:tc>
          <w:tcPr>
            <w:tcW w:type="dxa" w:w="3324"/>
          </w:tcPr>
          <w:p>
            <w:pPr>
              <w:spacing w:after="0" w:line="240" w:lineRule="auto"/>
              <w:ind w:firstLine="0"/>
              <w:jc w:val="left"/>
            </w:pPr>
            <w:r>
              <w:rPr>
                <w:b w:val="0"/>
                <w:i w:val="0"/>
                <w:sz w:val="20"/>
              </w:rPr>
              <w:t>1. Общая характеристика РЗМ</w:t>
            </w:r>
          </w:p>
        </w:tc>
        <w:tc>
          <w:tcPr>
            <w:tcW w:type="dxa" w:w="3324"/>
          </w:tcPr>
          <w:p>
            <w:pPr>
              <w:spacing w:after="0" w:line="240" w:lineRule="auto"/>
              <w:ind w:firstLine="0"/>
              <w:jc w:val="center"/>
            </w:pPr>
            <w:r>
              <w:rPr>
                <w:b w:val="0"/>
                <w:i w:val="0"/>
                <w:sz w:val="20"/>
              </w:rPr>
              <w:t>1–8</w:t>
            </w:r>
          </w:p>
        </w:tc>
        <w:tc>
          <w:tcPr>
            <w:tcW w:type="dxa" w:w="3324"/>
          </w:tcPr>
          <w:p>
            <w:pPr>
              <w:spacing w:after="0" w:line="240" w:lineRule="auto"/>
              <w:ind w:firstLine="0"/>
              <w:jc w:val="center"/>
            </w:pPr>
            <w:r>
              <w:rPr>
                <w:b w:val="0"/>
                <w:i w:val="0"/>
                <w:sz w:val="20"/>
              </w:rPr>
              <w:t>1–5</w:t>
            </w:r>
          </w:p>
        </w:tc>
      </w:tr>
      <w:tr>
        <w:tc>
          <w:tcPr>
            <w:tcW w:type="dxa" w:w="3324"/>
          </w:tcPr>
          <w:p>
            <w:pPr>
              <w:spacing w:after="0" w:line="240" w:lineRule="auto"/>
              <w:ind w:firstLine="0"/>
              <w:jc w:val="left"/>
            </w:pPr>
            <w:r>
              <w:rPr>
                <w:b w:val="0"/>
                <w:i w:val="0"/>
                <w:sz w:val="20"/>
              </w:rPr>
              <w:t>2. Мировая сырьевая база</w:t>
            </w:r>
          </w:p>
        </w:tc>
        <w:tc>
          <w:tcPr>
            <w:tcW w:type="dxa" w:w="3324"/>
          </w:tcPr>
          <w:p>
            <w:pPr>
              <w:spacing w:after="0" w:line="240" w:lineRule="auto"/>
              <w:ind w:firstLine="0"/>
              <w:jc w:val="center"/>
            </w:pPr>
            <w:r>
              <w:rPr>
                <w:b w:val="0"/>
                <w:i w:val="0"/>
                <w:sz w:val="20"/>
              </w:rPr>
              <w:t>9–15</w:t>
            </w:r>
          </w:p>
        </w:tc>
        <w:tc>
          <w:tcPr>
            <w:tcW w:type="dxa" w:w="3324"/>
          </w:tcPr>
          <w:p>
            <w:pPr>
              <w:spacing w:after="0" w:line="240" w:lineRule="auto"/>
              <w:ind w:firstLine="0"/>
              <w:jc w:val="center"/>
            </w:pPr>
            <w:r>
              <w:rPr>
                <w:b w:val="0"/>
                <w:i w:val="0"/>
                <w:sz w:val="20"/>
              </w:rPr>
              <w:t>6–10</w:t>
            </w:r>
          </w:p>
        </w:tc>
      </w:tr>
      <w:tr>
        <w:tc>
          <w:tcPr>
            <w:tcW w:type="dxa" w:w="3324"/>
          </w:tcPr>
          <w:p>
            <w:pPr>
              <w:spacing w:after="0" w:line="240" w:lineRule="auto"/>
              <w:ind w:firstLine="0"/>
              <w:jc w:val="left"/>
            </w:pPr>
            <w:r>
              <w:rPr>
                <w:b w:val="0"/>
                <w:i w:val="0"/>
                <w:sz w:val="20"/>
              </w:rPr>
              <w:t>3. Мировая добыча и производство</w:t>
            </w:r>
          </w:p>
        </w:tc>
        <w:tc>
          <w:tcPr>
            <w:tcW w:type="dxa" w:w="3324"/>
          </w:tcPr>
          <w:p>
            <w:pPr>
              <w:spacing w:after="0" w:line="240" w:lineRule="auto"/>
              <w:ind w:firstLine="0"/>
              <w:jc w:val="center"/>
            </w:pPr>
            <w:r>
              <w:rPr>
                <w:b w:val="0"/>
                <w:i w:val="0"/>
                <w:sz w:val="20"/>
              </w:rPr>
              <w:t>16–22</w:t>
            </w:r>
          </w:p>
        </w:tc>
        <w:tc>
          <w:tcPr>
            <w:tcW w:type="dxa" w:w="3324"/>
          </w:tcPr>
          <w:p>
            <w:pPr>
              <w:spacing w:after="0" w:line="240" w:lineRule="auto"/>
              <w:ind w:firstLine="0"/>
              <w:jc w:val="center"/>
            </w:pPr>
            <w:r>
              <w:rPr>
                <w:b w:val="0"/>
                <w:i w:val="0"/>
                <w:sz w:val="20"/>
              </w:rPr>
              <w:t>11–17</w:t>
            </w:r>
          </w:p>
        </w:tc>
      </w:tr>
      <w:tr>
        <w:tc>
          <w:tcPr>
            <w:tcW w:type="dxa" w:w="3324"/>
          </w:tcPr>
          <w:p>
            <w:pPr>
              <w:spacing w:after="0" w:line="240" w:lineRule="auto"/>
              <w:ind w:firstLine="0"/>
              <w:jc w:val="left"/>
            </w:pPr>
            <w:r>
              <w:rPr>
                <w:b w:val="0"/>
                <w:i w:val="0"/>
                <w:sz w:val="20"/>
              </w:rPr>
              <w:t>4. Мировые производители</w:t>
            </w:r>
          </w:p>
        </w:tc>
        <w:tc>
          <w:tcPr>
            <w:tcW w:type="dxa" w:w="3324"/>
          </w:tcPr>
          <w:p>
            <w:pPr>
              <w:spacing w:after="0" w:line="240" w:lineRule="auto"/>
              <w:ind w:firstLine="0"/>
              <w:jc w:val="center"/>
            </w:pPr>
            <w:r>
              <w:rPr>
                <w:b w:val="0"/>
                <w:i w:val="0"/>
                <w:sz w:val="20"/>
              </w:rPr>
              <w:t>23–32</w:t>
            </w:r>
          </w:p>
        </w:tc>
        <w:tc>
          <w:tcPr>
            <w:tcW w:type="dxa" w:w="3324"/>
          </w:tcPr>
          <w:p>
            <w:pPr>
              <w:spacing w:after="0" w:line="240" w:lineRule="auto"/>
              <w:ind w:firstLine="0"/>
              <w:jc w:val="center"/>
            </w:pPr>
            <w:r>
              <w:rPr>
                <w:b w:val="0"/>
                <w:i w:val="0"/>
                <w:sz w:val="20"/>
              </w:rPr>
              <w:t>18–23</w:t>
            </w:r>
          </w:p>
        </w:tc>
      </w:tr>
      <w:tr>
        <w:tc>
          <w:tcPr>
            <w:tcW w:type="dxa" w:w="3324"/>
          </w:tcPr>
          <w:p>
            <w:pPr>
              <w:spacing w:after="0" w:line="240" w:lineRule="auto"/>
              <w:ind w:firstLine="0"/>
              <w:jc w:val="left"/>
            </w:pPr>
            <w:r>
              <w:rPr>
                <w:b w:val="0"/>
                <w:i w:val="0"/>
                <w:sz w:val="20"/>
              </w:rPr>
              <w:t>5. Отрасли применения</w:t>
            </w:r>
          </w:p>
        </w:tc>
        <w:tc>
          <w:tcPr>
            <w:tcW w:type="dxa" w:w="3324"/>
          </w:tcPr>
          <w:p>
            <w:pPr>
              <w:spacing w:after="0" w:line="240" w:lineRule="auto"/>
              <w:ind w:firstLine="0"/>
              <w:jc w:val="center"/>
            </w:pPr>
            <w:r>
              <w:rPr>
                <w:b w:val="0"/>
                <w:i w:val="0"/>
                <w:sz w:val="20"/>
              </w:rPr>
              <w:t>33–42</w:t>
            </w:r>
          </w:p>
        </w:tc>
        <w:tc>
          <w:tcPr>
            <w:tcW w:type="dxa" w:w="3324"/>
          </w:tcPr>
          <w:p>
            <w:pPr>
              <w:spacing w:after="0" w:line="240" w:lineRule="auto"/>
              <w:ind w:firstLine="0"/>
              <w:jc w:val="center"/>
            </w:pPr>
            <w:r>
              <w:rPr>
                <w:b w:val="0"/>
                <w:i w:val="0"/>
                <w:sz w:val="20"/>
              </w:rPr>
              <w:t>24–31</w:t>
            </w:r>
          </w:p>
        </w:tc>
      </w:tr>
      <w:tr>
        <w:tc>
          <w:tcPr>
            <w:tcW w:type="dxa" w:w="3324"/>
          </w:tcPr>
          <w:p>
            <w:pPr>
              <w:spacing w:after="0" w:line="240" w:lineRule="auto"/>
              <w:ind w:firstLine="0"/>
              <w:jc w:val="left"/>
            </w:pPr>
            <w:r>
              <w:rPr>
                <w:b w:val="0"/>
                <w:i w:val="0"/>
                <w:sz w:val="20"/>
              </w:rPr>
              <w:t>6. Ценовая конъюнктура</w:t>
            </w:r>
          </w:p>
        </w:tc>
        <w:tc>
          <w:tcPr>
            <w:tcW w:type="dxa" w:w="3324"/>
          </w:tcPr>
          <w:p>
            <w:pPr>
              <w:spacing w:after="0" w:line="240" w:lineRule="auto"/>
              <w:ind w:firstLine="0"/>
              <w:jc w:val="center"/>
            </w:pPr>
            <w:r>
              <w:rPr>
                <w:b w:val="0"/>
                <w:i w:val="0"/>
                <w:sz w:val="20"/>
              </w:rPr>
              <w:t>43–49</w:t>
            </w:r>
          </w:p>
        </w:tc>
        <w:tc>
          <w:tcPr>
            <w:tcW w:type="dxa" w:w="3324"/>
          </w:tcPr>
          <w:p>
            <w:pPr>
              <w:spacing w:after="0" w:line="240" w:lineRule="auto"/>
              <w:ind w:firstLine="0"/>
              <w:jc w:val="center"/>
            </w:pPr>
            <w:r>
              <w:rPr>
                <w:b w:val="0"/>
                <w:i w:val="0"/>
                <w:sz w:val="20"/>
              </w:rPr>
              <w:t>32–39</w:t>
            </w:r>
          </w:p>
        </w:tc>
      </w:tr>
      <w:tr>
        <w:tc>
          <w:tcPr>
            <w:tcW w:type="dxa" w:w="3324"/>
          </w:tcPr>
          <w:p>
            <w:pPr>
              <w:spacing w:after="0" w:line="240" w:lineRule="auto"/>
              <w:ind w:firstLine="0"/>
              <w:jc w:val="left"/>
            </w:pPr>
            <w:r>
              <w:rPr>
                <w:b w:val="0"/>
                <w:i w:val="0"/>
                <w:sz w:val="20"/>
              </w:rPr>
              <w:t>7. Регулирование и геополитика</w:t>
            </w:r>
          </w:p>
        </w:tc>
        <w:tc>
          <w:tcPr>
            <w:tcW w:type="dxa" w:w="3324"/>
          </w:tcPr>
          <w:p>
            <w:pPr>
              <w:spacing w:after="0" w:line="240" w:lineRule="auto"/>
              <w:ind w:firstLine="0"/>
              <w:jc w:val="center"/>
            </w:pPr>
            <w:r>
              <w:rPr>
                <w:b w:val="0"/>
                <w:i w:val="0"/>
                <w:sz w:val="20"/>
              </w:rPr>
              <w:t>50–54</w:t>
            </w:r>
          </w:p>
        </w:tc>
        <w:tc>
          <w:tcPr>
            <w:tcW w:type="dxa" w:w="3324"/>
          </w:tcPr>
          <w:p>
            <w:pPr>
              <w:spacing w:after="0" w:line="240" w:lineRule="auto"/>
              <w:ind w:firstLine="0"/>
              <w:jc w:val="center"/>
            </w:pPr>
            <w:r>
              <w:rPr>
                <w:b w:val="0"/>
                <w:i w:val="0"/>
                <w:sz w:val="20"/>
              </w:rPr>
              <w:t>40–43</w:t>
            </w:r>
          </w:p>
        </w:tc>
      </w:tr>
      <w:tr>
        <w:tc>
          <w:tcPr>
            <w:tcW w:type="dxa" w:w="3324"/>
          </w:tcPr>
          <w:p>
            <w:pPr>
              <w:spacing w:after="0" w:line="240" w:lineRule="auto"/>
              <w:ind w:firstLine="0"/>
              <w:jc w:val="left"/>
            </w:pPr>
            <w:r>
              <w:rPr>
                <w:b w:val="0"/>
                <w:i w:val="0"/>
                <w:sz w:val="20"/>
              </w:rPr>
              <w:t>8. Прогноз мирового рынка</w:t>
            </w:r>
          </w:p>
        </w:tc>
        <w:tc>
          <w:tcPr>
            <w:tcW w:type="dxa" w:w="3324"/>
          </w:tcPr>
          <w:p>
            <w:pPr>
              <w:spacing w:after="0" w:line="240" w:lineRule="auto"/>
              <w:ind w:firstLine="0"/>
              <w:jc w:val="center"/>
            </w:pPr>
            <w:r>
              <w:rPr>
                <w:b w:val="0"/>
                <w:i w:val="0"/>
                <w:sz w:val="20"/>
              </w:rPr>
              <w:t>55–61</w:t>
            </w:r>
          </w:p>
        </w:tc>
        <w:tc>
          <w:tcPr>
            <w:tcW w:type="dxa" w:w="3324"/>
          </w:tcPr>
          <w:p>
            <w:pPr>
              <w:spacing w:after="0" w:line="240" w:lineRule="auto"/>
              <w:ind w:firstLine="0"/>
              <w:jc w:val="center"/>
            </w:pPr>
            <w:r>
              <w:rPr>
                <w:b w:val="0"/>
                <w:i w:val="0"/>
                <w:sz w:val="20"/>
              </w:rPr>
              <w:t>44–48</w:t>
            </w:r>
          </w:p>
        </w:tc>
      </w:tr>
      <w:tr>
        <w:tc>
          <w:tcPr>
            <w:tcW w:type="dxa" w:w="3324"/>
          </w:tcPr>
          <w:p>
            <w:pPr>
              <w:spacing w:after="0" w:line="240" w:lineRule="auto"/>
              <w:ind w:firstLine="0"/>
              <w:jc w:val="left"/>
            </w:pPr>
            <w:r>
              <w:rPr>
                <w:b w:val="0"/>
                <w:i w:val="0"/>
                <w:sz w:val="20"/>
              </w:rPr>
              <w:t>9. Сырьевая база России и ЕАЭС</w:t>
            </w:r>
          </w:p>
        </w:tc>
        <w:tc>
          <w:tcPr>
            <w:tcW w:type="dxa" w:w="3324"/>
          </w:tcPr>
          <w:p>
            <w:pPr>
              <w:spacing w:after="0" w:line="240" w:lineRule="auto"/>
              <w:ind w:firstLine="0"/>
              <w:jc w:val="center"/>
            </w:pPr>
            <w:r>
              <w:rPr>
                <w:b w:val="0"/>
                <w:i w:val="0"/>
                <w:sz w:val="20"/>
              </w:rPr>
              <w:t>62–68</w:t>
            </w:r>
          </w:p>
        </w:tc>
        <w:tc>
          <w:tcPr>
            <w:tcW w:type="dxa" w:w="3324"/>
          </w:tcPr>
          <w:p>
            <w:pPr>
              <w:spacing w:after="0" w:line="240" w:lineRule="auto"/>
              <w:ind w:firstLine="0"/>
              <w:jc w:val="center"/>
            </w:pPr>
            <w:r>
              <w:rPr>
                <w:b w:val="0"/>
                <w:i w:val="0"/>
                <w:sz w:val="20"/>
              </w:rPr>
              <w:t>49–54</w:t>
            </w:r>
          </w:p>
        </w:tc>
      </w:tr>
      <w:tr>
        <w:tc>
          <w:tcPr>
            <w:tcW w:type="dxa" w:w="3324"/>
          </w:tcPr>
          <w:p>
            <w:pPr>
              <w:spacing w:after="0" w:line="240" w:lineRule="auto"/>
              <w:ind w:firstLine="0"/>
              <w:jc w:val="left"/>
            </w:pPr>
            <w:r>
              <w:rPr>
                <w:b w:val="0"/>
                <w:i w:val="0"/>
                <w:sz w:val="20"/>
              </w:rPr>
              <w:t>10. Производство в РФ</w:t>
            </w:r>
          </w:p>
        </w:tc>
        <w:tc>
          <w:tcPr>
            <w:tcW w:type="dxa" w:w="3324"/>
          </w:tcPr>
          <w:p>
            <w:pPr>
              <w:spacing w:after="0" w:line="240" w:lineRule="auto"/>
              <w:ind w:firstLine="0"/>
              <w:jc w:val="center"/>
            </w:pPr>
            <w:r>
              <w:rPr>
                <w:b w:val="0"/>
                <w:i w:val="0"/>
                <w:sz w:val="20"/>
              </w:rPr>
              <w:t>69–74</w:t>
            </w:r>
          </w:p>
        </w:tc>
        <w:tc>
          <w:tcPr>
            <w:tcW w:type="dxa" w:w="3324"/>
          </w:tcPr>
          <w:p>
            <w:pPr>
              <w:spacing w:after="0" w:line="240" w:lineRule="auto"/>
              <w:ind w:firstLine="0"/>
              <w:jc w:val="center"/>
            </w:pPr>
            <w:r>
              <w:rPr>
                <w:b w:val="0"/>
                <w:i w:val="0"/>
                <w:sz w:val="20"/>
              </w:rPr>
              <w:t>55–58</w:t>
            </w:r>
          </w:p>
        </w:tc>
      </w:tr>
      <w:tr>
        <w:tc>
          <w:tcPr>
            <w:tcW w:type="dxa" w:w="3324"/>
          </w:tcPr>
          <w:p>
            <w:pPr>
              <w:spacing w:after="0" w:line="240" w:lineRule="auto"/>
              <w:ind w:firstLine="0"/>
              <w:jc w:val="left"/>
            </w:pPr>
            <w:r>
              <w:rPr>
                <w:b w:val="0"/>
                <w:i w:val="0"/>
                <w:sz w:val="20"/>
              </w:rPr>
              <w:t>11. Российские предприятия</w:t>
            </w:r>
          </w:p>
        </w:tc>
        <w:tc>
          <w:tcPr>
            <w:tcW w:type="dxa" w:w="3324"/>
          </w:tcPr>
          <w:p>
            <w:pPr>
              <w:spacing w:after="0" w:line="240" w:lineRule="auto"/>
              <w:ind w:firstLine="0"/>
              <w:jc w:val="center"/>
            </w:pPr>
            <w:r>
              <w:rPr>
                <w:b w:val="0"/>
                <w:i w:val="0"/>
                <w:sz w:val="20"/>
              </w:rPr>
              <w:t>75–82</w:t>
            </w:r>
          </w:p>
        </w:tc>
        <w:tc>
          <w:tcPr>
            <w:tcW w:type="dxa" w:w="3324"/>
          </w:tcPr>
          <w:p>
            <w:pPr>
              <w:spacing w:after="0" w:line="240" w:lineRule="auto"/>
              <w:ind w:firstLine="0"/>
              <w:jc w:val="center"/>
            </w:pPr>
            <w:r>
              <w:rPr>
                <w:b w:val="0"/>
                <w:i w:val="0"/>
                <w:sz w:val="20"/>
              </w:rPr>
              <w:t>59–63</w:t>
            </w:r>
          </w:p>
        </w:tc>
      </w:tr>
      <w:tr>
        <w:tc>
          <w:tcPr>
            <w:tcW w:type="dxa" w:w="3324"/>
          </w:tcPr>
          <w:p>
            <w:pPr>
              <w:spacing w:after="0" w:line="240" w:lineRule="auto"/>
              <w:ind w:firstLine="0"/>
              <w:jc w:val="left"/>
            </w:pPr>
            <w:r>
              <w:rPr>
                <w:b w:val="0"/>
                <w:i w:val="0"/>
                <w:sz w:val="20"/>
              </w:rPr>
              <w:t>12. Технологии и НИОКР</w:t>
            </w:r>
          </w:p>
        </w:tc>
        <w:tc>
          <w:tcPr>
            <w:tcW w:type="dxa" w:w="3324"/>
          </w:tcPr>
          <w:p>
            <w:pPr>
              <w:spacing w:after="0" w:line="240" w:lineRule="auto"/>
              <w:ind w:firstLine="0"/>
              <w:jc w:val="center"/>
            </w:pPr>
            <w:r>
              <w:rPr>
                <w:b w:val="0"/>
                <w:i w:val="0"/>
                <w:sz w:val="20"/>
              </w:rPr>
              <w:t>83–88</w:t>
            </w:r>
          </w:p>
        </w:tc>
        <w:tc>
          <w:tcPr>
            <w:tcW w:type="dxa" w:w="3324"/>
          </w:tcPr>
          <w:p>
            <w:pPr>
              <w:spacing w:after="0" w:line="240" w:lineRule="auto"/>
              <w:ind w:firstLine="0"/>
              <w:jc w:val="center"/>
            </w:pPr>
            <w:r>
              <w:rPr>
                <w:b w:val="0"/>
                <w:i w:val="0"/>
                <w:sz w:val="20"/>
              </w:rPr>
              <w:t>64–66</w:t>
            </w:r>
          </w:p>
        </w:tc>
      </w:tr>
      <w:tr>
        <w:tc>
          <w:tcPr>
            <w:tcW w:type="dxa" w:w="3324"/>
          </w:tcPr>
          <w:p>
            <w:pPr>
              <w:spacing w:after="0" w:line="240" w:lineRule="auto"/>
              <w:ind w:firstLine="0"/>
              <w:jc w:val="left"/>
            </w:pPr>
            <w:r>
              <w:rPr>
                <w:b w:val="0"/>
                <w:i w:val="0"/>
                <w:sz w:val="20"/>
              </w:rPr>
              <w:t>13. Внешняя торговля</w:t>
            </w:r>
          </w:p>
        </w:tc>
        <w:tc>
          <w:tcPr>
            <w:tcW w:type="dxa" w:w="3324"/>
          </w:tcPr>
          <w:p>
            <w:pPr>
              <w:spacing w:after="0" w:line="240" w:lineRule="auto"/>
              <w:ind w:firstLine="0"/>
              <w:jc w:val="center"/>
            </w:pPr>
            <w:r>
              <w:rPr>
                <w:b w:val="0"/>
                <w:i w:val="0"/>
                <w:sz w:val="20"/>
              </w:rPr>
              <w:t>89–96</w:t>
            </w:r>
          </w:p>
        </w:tc>
        <w:tc>
          <w:tcPr>
            <w:tcW w:type="dxa" w:w="3324"/>
          </w:tcPr>
          <w:p>
            <w:pPr>
              <w:spacing w:after="0" w:line="240" w:lineRule="auto"/>
              <w:ind w:firstLine="0"/>
              <w:jc w:val="center"/>
            </w:pPr>
            <w:r>
              <w:rPr>
                <w:b w:val="0"/>
                <w:i w:val="0"/>
                <w:sz w:val="20"/>
              </w:rPr>
              <w:t>67–72</w:t>
            </w:r>
          </w:p>
        </w:tc>
      </w:tr>
      <w:tr>
        <w:tc>
          <w:tcPr>
            <w:tcW w:type="dxa" w:w="3324"/>
          </w:tcPr>
          <w:p>
            <w:pPr>
              <w:spacing w:after="0" w:line="240" w:lineRule="auto"/>
              <w:ind w:firstLine="0"/>
              <w:jc w:val="left"/>
            </w:pPr>
            <w:r>
              <w:rPr>
                <w:b w:val="0"/>
                <w:i w:val="0"/>
                <w:sz w:val="20"/>
              </w:rPr>
              <w:t>14. Внутреннее потребление</w:t>
            </w:r>
          </w:p>
        </w:tc>
        <w:tc>
          <w:tcPr>
            <w:tcW w:type="dxa" w:w="3324"/>
          </w:tcPr>
          <w:p>
            <w:pPr>
              <w:spacing w:after="0" w:line="240" w:lineRule="auto"/>
              <w:ind w:firstLine="0"/>
              <w:jc w:val="center"/>
            </w:pPr>
            <w:r>
              <w:rPr>
                <w:b w:val="0"/>
                <w:i w:val="0"/>
                <w:sz w:val="20"/>
              </w:rPr>
              <w:t>97–104</w:t>
            </w:r>
          </w:p>
        </w:tc>
        <w:tc>
          <w:tcPr>
            <w:tcW w:type="dxa" w:w="3324"/>
          </w:tcPr>
          <w:p>
            <w:pPr>
              <w:spacing w:after="0" w:line="240" w:lineRule="auto"/>
              <w:ind w:firstLine="0"/>
              <w:jc w:val="center"/>
            </w:pPr>
            <w:r>
              <w:rPr>
                <w:b w:val="0"/>
                <w:i w:val="0"/>
                <w:sz w:val="20"/>
              </w:rPr>
              <w:t>73–78</w:t>
            </w:r>
          </w:p>
        </w:tc>
      </w:tr>
      <w:tr>
        <w:tc>
          <w:tcPr>
            <w:tcW w:type="dxa" w:w="3324"/>
          </w:tcPr>
          <w:p>
            <w:pPr>
              <w:spacing w:after="0" w:line="240" w:lineRule="auto"/>
              <w:ind w:firstLine="0"/>
              <w:jc w:val="left"/>
            </w:pPr>
            <w:r>
              <w:rPr>
                <w:b w:val="0"/>
                <w:i w:val="0"/>
                <w:sz w:val="20"/>
              </w:rPr>
              <w:t>15. Государственное регулирование</w:t>
            </w:r>
          </w:p>
        </w:tc>
        <w:tc>
          <w:tcPr>
            <w:tcW w:type="dxa" w:w="3324"/>
          </w:tcPr>
          <w:p>
            <w:pPr>
              <w:spacing w:after="0" w:line="240" w:lineRule="auto"/>
              <w:ind w:firstLine="0"/>
              <w:jc w:val="center"/>
            </w:pPr>
            <w:r>
              <w:rPr>
                <w:b w:val="0"/>
                <w:i w:val="0"/>
                <w:sz w:val="20"/>
              </w:rPr>
              <w:t>105–111</w:t>
            </w:r>
          </w:p>
        </w:tc>
        <w:tc>
          <w:tcPr>
            <w:tcW w:type="dxa" w:w="3324"/>
          </w:tcPr>
          <w:p>
            <w:pPr>
              <w:spacing w:after="0" w:line="240" w:lineRule="auto"/>
              <w:ind w:firstLine="0"/>
              <w:jc w:val="center"/>
            </w:pPr>
            <w:r>
              <w:rPr>
                <w:b w:val="0"/>
                <w:i w:val="0"/>
                <w:sz w:val="20"/>
              </w:rPr>
              <w:t>79–80</w:t>
            </w:r>
          </w:p>
        </w:tc>
      </w:tr>
      <w:tr>
        <w:tc>
          <w:tcPr>
            <w:tcW w:type="dxa" w:w="3324"/>
          </w:tcPr>
          <w:p>
            <w:pPr>
              <w:spacing w:after="0" w:line="240" w:lineRule="auto"/>
              <w:ind w:firstLine="0"/>
              <w:jc w:val="left"/>
            </w:pPr>
            <w:r>
              <w:rPr>
                <w:b w:val="0"/>
                <w:i w:val="0"/>
                <w:sz w:val="20"/>
              </w:rPr>
              <w:t>16. Прогноз развития отрасли РФ</w:t>
            </w:r>
          </w:p>
        </w:tc>
        <w:tc>
          <w:tcPr>
            <w:tcW w:type="dxa" w:w="3324"/>
          </w:tcPr>
          <w:p>
            <w:pPr>
              <w:spacing w:after="0" w:line="240" w:lineRule="auto"/>
              <w:ind w:firstLine="0"/>
              <w:jc w:val="center"/>
            </w:pPr>
            <w:r>
              <w:rPr>
                <w:b w:val="0"/>
                <w:i w:val="0"/>
                <w:sz w:val="20"/>
              </w:rPr>
              <w:t>112–119</w:t>
            </w:r>
          </w:p>
        </w:tc>
        <w:tc>
          <w:tcPr>
            <w:tcW w:type="dxa" w:w="3324"/>
          </w:tcPr>
          <w:p>
            <w:pPr>
              <w:spacing w:after="0" w:line="240" w:lineRule="auto"/>
              <w:ind w:firstLine="0"/>
              <w:jc w:val="center"/>
            </w:pPr>
            <w:r>
              <w:rPr>
                <w:b w:val="0"/>
                <w:i w:val="0"/>
                <w:sz w:val="20"/>
              </w:rPr>
              <w:t>81–87</w:t>
            </w:r>
          </w:p>
        </w:tc>
      </w:tr>
      <w:tr>
        <w:tc>
          <w:tcPr>
            <w:tcW w:type="dxa" w:w="3324"/>
          </w:tcPr>
          <w:p>
            <w:pPr>
              <w:spacing w:after="0" w:line="240" w:lineRule="auto"/>
              <w:ind w:firstLine="0"/>
              <w:jc w:val="left"/>
            </w:pPr>
            <w:r>
              <w:rPr>
                <w:b w:val="0"/>
                <w:i w:val="0"/>
                <w:sz w:val="20"/>
              </w:rPr>
              <w:t>17. Инвестиционный анализ</w:t>
            </w:r>
          </w:p>
        </w:tc>
        <w:tc>
          <w:tcPr>
            <w:tcW w:type="dxa" w:w="3324"/>
          </w:tcPr>
          <w:p>
            <w:pPr>
              <w:spacing w:after="0" w:line="240" w:lineRule="auto"/>
              <w:ind w:firstLine="0"/>
              <w:jc w:val="center"/>
            </w:pPr>
            <w:r>
              <w:rPr>
                <w:b w:val="0"/>
                <w:i w:val="0"/>
                <w:sz w:val="20"/>
              </w:rPr>
              <w:t>120–126</w:t>
            </w:r>
          </w:p>
        </w:tc>
        <w:tc>
          <w:tcPr>
            <w:tcW w:type="dxa" w:w="3324"/>
          </w:tcPr>
          <w:p>
            <w:pPr>
              <w:spacing w:after="0" w:line="240" w:lineRule="auto"/>
              <w:ind w:firstLine="0"/>
              <w:jc w:val="center"/>
            </w:pPr>
            <w:r>
              <w:rPr>
                <w:b w:val="0"/>
                <w:i w:val="0"/>
                <w:sz w:val="20"/>
              </w:rPr>
              <w:t>88–93</w:t>
            </w:r>
          </w:p>
        </w:tc>
      </w:tr>
      <w:tr>
        <w:tc>
          <w:tcPr>
            <w:tcW w:type="dxa" w:w="3324"/>
          </w:tcPr>
          <w:p>
            <w:pPr>
              <w:spacing w:after="0" w:line="240" w:lineRule="auto"/>
              <w:ind w:firstLine="0"/>
              <w:jc w:val="left"/>
            </w:pPr>
            <w:r>
              <w:rPr>
                <w:b w:val="0"/>
                <w:i w:val="0"/>
                <w:sz w:val="20"/>
              </w:rPr>
              <w:t>Приложения 1–7</w:t>
            </w:r>
          </w:p>
        </w:tc>
        <w:tc>
          <w:tcPr>
            <w:tcW w:type="dxa" w:w="3324"/>
          </w:tcPr>
          <w:p>
            <w:pPr>
              <w:spacing w:after="0" w:line="240" w:lineRule="auto"/>
              <w:ind w:firstLine="0"/>
              <w:jc w:val="center"/>
            </w:pPr>
            <w:r>
              <w:rPr>
                <w:b w:val="0"/>
                <w:i w:val="0"/>
                <w:sz w:val="20"/>
              </w:rPr>
              <w:t>127–136</w:t>
            </w:r>
          </w:p>
        </w:tc>
        <w:tc>
          <w:tcPr>
            <w:tcW w:type="dxa" w:w="3324"/>
          </w:tcPr>
          <w:p>
            <w:pPr>
              <w:spacing w:after="0" w:line="240" w:lineRule="auto"/>
              <w:ind w:firstLine="0"/>
              <w:jc w:val="center"/>
            </w:pPr>
            <w:r>
              <w:rPr>
                <w:b w:val="0"/>
                <w:i w:val="0"/>
                <w:sz w:val="20"/>
              </w:rPr>
              <w:t>—</w:t>
            </w:r>
          </w:p>
        </w:tc>
      </w:tr>
      <w:tr>
        <w:tc>
          <w:tcPr>
            <w:tcW w:type="dxa" w:w="3324"/>
          </w:tcPr>
          <w:p>
            <w:pPr>
              <w:spacing w:after="0" w:line="240" w:lineRule="auto"/>
              <w:ind w:firstLine="0"/>
              <w:jc w:val="left"/>
            </w:pPr>
            <w:r>
              <w:rPr>
                <w:b w:val="0"/>
                <w:i w:val="0"/>
                <w:sz w:val="20"/>
              </w:rPr>
              <w:t>Приложение 8. Рынок скандия</w:t>
            </w:r>
          </w:p>
        </w:tc>
        <w:tc>
          <w:tcPr>
            <w:tcW w:type="dxa" w:w="3324"/>
          </w:tcPr>
          <w:p>
            <w:pPr>
              <w:spacing w:after="0" w:line="240" w:lineRule="auto"/>
              <w:ind w:firstLine="0"/>
              <w:jc w:val="center"/>
            </w:pPr>
            <w:r>
              <w:rPr>
                <w:b w:val="0"/>
                <w:i w:val="0"/>
                <w:sz w:val="20"/>
              </w:rPr>
              <w:t>137–140</w:t>
            </w:r>
          </w:p>
        </w:tc>
        <w:tc>
          <w:tcPr>
            <w:tcW w:type="dxa" w:w="3324"/>
          </w:tcPr>
          <w:p>
            <w:pPr>
              <w:spacing w:after="0" w:line="240" w:lineRule="auto"/>
              <w:ind w:firstLine="0"/>
              <w:jc w:val="center"/>
            </w:pPr>
            <w:r>
              <w:rPr>
                <w:b w:val="0"/>
                <w:i w:val="0"/>
                <w:sz w:val="20"/>
              </w:rPr>
              <w:t>94–95</w:t>
            </w:r>
          </w:p>
        </w:tc>
      </w:tr>
      <w:tr>
        <w:tc>
          <w:tcPr>
            <w:tcW w:type="dxa" w:w="3324"/>
          </w:tcPr>
          <w:p>
            <w:pPr>
              <w:spacing w:after="0" w:line="240" w:lineRule="auto"/>
              <w:ind w:firstLine="0"/>
              <w:jc w:val="left"/>
            </w:pPr>
            <w:r>
              <w:rPr>
                <w:b w:val="0"/>
                <w:i w:val="0"/>
                <w:sz w:val="20"/>
              </w:rPr>
              <w:t>Приложение 9. Методика прогнозирования</w:t>
            </w:r>
          </w:p>
        </w:tc>
        <w:tc>
          <w:tcPr>
            <w:tcW w:type="dxa" w:w="3324"/>
          </w:tcPr>
          <w:p>
            <w:pPr>
              <w:spacing w:after="0" w:line="240" w:lineRule="auto"/>
              <w:ind w:firstLine="0"/>
              <w:jc w:val="center"/>
            </w:pPr>
            <w:r>
              <w:rPr>
                <w:b w:val="0"/>
                <w:i w:val="0"/>
                <w:sz w:val="20"/>
              </w:rPr>
              <w:t>141–144</w:t>
            </w:r>
          </w:p>
        </w:tc>
        <w:tc>
          <w:tcPr>
            <w:tcW w:type="dxa" w:w="3324"/>
          </w:tcPr>
          <w:p>
            <w:pPr>
              <w:spacing w:after="0" w:line="240" w:lineRule="auto"/>
              <w:ind w:firstLine="0"/>
              <w:jc w:val="center"/>
            </w:pPr>
            <w:r>
              <w:rPr>
                <w:b w:val="0"/>
                <w:i w:val="0"/>
                <w:sz w:val="20"/>
              </w:rPr>
              <w:t>96</w:t>
            </w:r>
          </w:p>
        </w:tc>
      </w:tr>
      <w:tr>
        <w:tc>
          <w:tcPr>
            <w:tcW w:type="dxa" w:w="3324"/>
          </w:tcPr>
          <w:p>
            <w:pPr>
              <w:spacing w:after="0" w:line="240" w:lineRule="auto"/>
              <w:ind w:firstLine="0"/>
              <w:jc w:val="left"/>
            </w:pPr>
            <w:r>
              <w:rPr>
                <w:b w:val="0"/>
                <w:i w:val="0"/>
                <w:sz w:val="20"/>
              </w:rPr>
              <w:t>Приложение 10. Сопоставление рынков</w:t>
            </w:r>
          </w:p>
        </w:tc>
        <w:tc>
          <w:tcPr>
            <w:tcW w:type="dxa" w:w="3324"/>
          </w:tcPr>
          <w:p>
            <w:pPr>
              <w:spacing w:after="0" w:line="240" w:lineRule="auto"/>
              <w:ind w:firstLine="0"/>
              <w:jc w:val="center"/>
            </w:pPr>
            <w:r>
              <w:rPr>
                <w:b w:val="0"/>
                <w:i w:val="0"/>
                <w:sz w:val="20"/>
              </w:rPr>
              <w:t>145–148</w:t>
            </w:r>
          </w:p>
        </w:tc>
        <w:tc>
          <w:tcPr>
            <w:tcW w:type="dxa" w:w="3324"/>
          </w:tcPr>
          <w:p>
            <w:pPr>
              <w:spacing w:after="0" w:line="240" w:lineRule="auto"/>
              <w:ind w:firstLine="0"/>
              <w:jc w:val="center"/>
            </w:pPr>
            <w:r>
              <w:rPr>
                <w:b w:val="0"/>
                <w:i w:val="0"/>
                <w:sz w:val="20"/>
              </w:rPr>
              <w:t>97–98</w:t>
            </w:r>
          </w:p>
        </w:tc>
      </w:tr>
      <w:tr>
        <w:tc>
          <w:tcPr>
            <w:tcW w:type="dxa" w:w="3324"/>
          </w:tcPr>
          <w:p>
            <w:pPr>
              <w:spacing w:after="0" w:line="240" w:lineRule="auto"/>
              <w:ind w:firstLine="0"/>
              <w:jc w:val="left"/>
            </w:pPr>
            <w:r>
              <w:rPr>
                <w:b w:val="0"/>
                <w:i w:val="0"/>
                <w:sz w:val="20"/>
              </w:rPr>
              <w:t>Приложение 11. Сводные таблицы</w:t>
            </w:r>
          </w:p>
        </w:tc>
        <w:tc>
          <w:tcPr>
            <w:tcW w:type="dxa" w:w="3324"/>
          </w:tcPr>
          <w:p>
            <w:pPr>
              <w:spacing w:after="0" w:line="240" w:lineRule="auto"/>
              <w:ind w:firstLine="0"/>
              <w:jc w:val="center"/>
            </w:pPr>
            <w:r>
              <w:rPr>
                <w:b w:val="0"/>
                <w:i w:val="0"/>
                <w:sz w:val="20"/>
              </w:rPr>
              <w:t>149–154</w:t>
            </w:r>
          </w:p>
        </w:tc>
        <w:tc>
          <w:tcPr>
            <w:tcW w:type="dxa" w:w="3324"/>
          </w:tcPr>
          <w:p>
            <w:pPr>
              <w:spacing w:after="0" w:line="240" w:lineRule="auto"/>
              <w:ind w:firstLine="0"/>
              <w:jc w:val="center"/>
            </w:pPr>
            <w:r>
              <w:rPr>
                <w:b w:val="0"/>
                <w:i w:val="0"/>
                <w:sz w:val="20"/>
              </w:rPr>
              <w:t>—</w:t>
            </w:r>
          </w:p>
        </w:tc>
      </w:tr>
      <w:tr>
        <w:tc>
          <w:tcPr>
            <w:tcW w:type="dxa" w:w="3324"/>
          </w:tcPr>
          <w:p>
            <w:pPr>
              <w:spacing w:after="0" w:line="240" w:lineRule="auto"/>
              <w:ind w:firstLine="0"/>
              <w:jc w:val="left"/>
            </w:pPr>
            <w:r>
              <w:rPr>
                <w:b/>
                <w:i w:val="0"/>
                <w:sz w:val="20"/>
              </w:rPr>
              <w:t>Всего</w:t>
            </w:r>
          </w:p>
        </w:tc>
        <w:tc>
          <w:tcPr>
            <w:tcW w:type="dxa" w:w="3324"/>
          </w:tcPr>
          <w:p>
            <w:pPr>
              <w:spacing w:after="0" w:line="240" w:lineRule="auto"/>
              <w:ind w:firstLine="0"/>
              <w:jc w:val="center"/>
            </w:pPr>
            <w:r>
              <w:rPr>
                <w:b/>
                <w:i w:val="0"/>
                <w:sz w:val="20"/>
              </w:rPr>
              <w:t>154</w:t>
            </w:r>
          </w:p>
        </w:tc>
        <w:tc>
          <w:tcPr>
            <w:tcW w:type="dxa" w:w="3324"/>
          </w:tcPr>
          <w:p>
            <w:pPr>
              <w:spacing w:after="0" w:line="240" w:lineRule="auto"/>
              <w:ind w:firstLine="0"/>
              <w:jc w:val="center"/>
            </w:pPr>
            <w:r>
              <w:rPr>
                <w:b/>
                <w:i w:val="0"/>
                <w:sz w:val="20"/>
              </w:rPr>
              <w:t>98</w:t>
            </w:r>
          </w:p>
        </w:tc>
      </w:tr>
    </w:tbl>
    <w:p>
      <w:pPr>
        <w:spacing w:after="180"/>
        <w:ind w:firstLine="0"/>
      </w:pPr>
      <w:r>
        <w:rPr>
          <w:i/>
          <w:sz w:val="20"/>
        </w:rPr>
        <w:t>Источник: аналитический центр</w:t>
      </w:r>
    </w:p>
    <w:p>
      <w:r>
        <w:br w:type="page"/>
      </w:r>
    </w:p>
    <w:p>
      <w:pPr>
        <w:pStyle w:val="Heading1"/>
      </w:pPr>
      <w:r>
        <w:rPr>
          <w:b w:val="0"/>
          <w:i w:val="0"/>
        </w:rPr>
        <w:t>Приложение 8. Рынок скандия</w:t>
      </w:r>
    </w:p>
    <w:p>
      <w:pPr>
        <w:pStyle w:val="Heading2"/>
      </w:pPr>
      <w:r>
        <w:rPr>
          <w:b w:val="0"/>
          <w:i w:val="0"/>
        </w:rPr>
        <w:t>П8.1. Обособленность скандиевого рынка</w:t>
      </w:r>
    </w:p>
    <w:p>
      <w:r>
        <w:rPr>
          <w:b w:val="0"/>
          <w:i w:val="0"/>
        </w:rPr>
        <w:t>Скандий формально относится к группе редкоземельных элементов, однако по геохимии, технологии получения, структуре спроса и ценовым уровням образует самостоятельный рынок, не связанный с рынком лантаноидов. Причины обособленности:</w:t>
      </w:r>
    </w:p>
    <w:p>
      <w:r>
        <w:rPr>
          <w:b/>
          <w:i w:val="0"/>
        </w:rPr>
        <w:t>Геохимия.</w:t>
      </w:r>
      <w:r>
        <w:rPr>
          <w:b w:val="0"/>
          <w:i w:val="0"/>
        </w:rPr>
        <w:t xml:space="preserve"> Скандий не образует собственных промышленных месторождений (единственное известное исключение — тортвейтит-содержащие пегматиты Мадагаскара и Норвегии, промышленного значения не имеющие). Он рассеян в породах и извлекается исключительно попутно.</w:t>
      </w:r>
    </w:p>
    <w:p>
      <w:r>
        <w:rPr>
          <w:b/>
          <w:i w:val="0"/>
        </w:rPr>
        <w:t>Технология.</w:t>
      </w:r>
      <w:r>
        <w:rPr>
          <w:b w:val="0"/>
          <w:i w:val="0"/>
        </w:rPr>
        <w:t xml:space="preserve"> Скандий не разделяется вместе с лантаноидами в экстракционных каскадах: его ионный радиус (0,745 Å) существенно меньше, чем у лютеция (0,861 Å), что делает его поведение принципиально иным. Извлечение осуществляется отдельными сорбционными и экстракционными схемами.</w:t>
      </w:r>
    </w:p>
    <w:p>
      <w:r>
        <w:rPr>
          <w:b/>
          <w:i w:val="0"/>
        </w:rPr>
        <w:t>Масштаб.</w:t>
      </w:r>
      <w:r>
        <w:rPr>
          <w:b w:val="0"/>
          <w:i w:val="0"/>
        </w:rPr>
        <w:t xml:space="preserve"> Мировое производство оксида скандия составляет 30–40 т в год — на три порядка меньше, чем производство суммы лантаноидов. Рынок сопоставим по объёму с рынками редких платиноидов.</w:t>
      </w:r>
    </w:p>
    <w:p>
      <w:r>
        <w:rPr>
          <w:b/>
          <w:i w:val="0"/>
        </w:rPr>
        <w:t>Ценовой уровень.</w:t>
      </w:r>
      <w:r>
        <w:rPr>
          <w:b w:val="0"/>
          <w:i w:val="0"/>
        </w:rPr>
        <w:t xml:space="preserve"> Цена оксида скандия чистотой 99,99% составляет 1 100–2 000 долл./кг, что превышает цену большинства редкоземельных оксидов и приближается к уровню тербия.</w:t>
      </w:r>
    </w:p>
    <w:p>
      <w:pPr>
        <w:pStyle w:val="Heading2"/>
      </w:pPr>
      <w:r>
        <w:rPr>
          <w:b w:val="0"/>
          <w:i w:val="0"/>
        </w:rPr>
        <w:t>П8.2. Источники получения скандия</w:t>
      </w:r>
    </w:p>
    <w:p>
      <w:pPr>
        <w:keepNext/>
        <w:spacing w:before="160" w:after="60"/>
        <w:ind w:firstLine="0"/>
        <w:jc w:val="left"/>
      </w:pPr>
      <w:r>
        <w:rPr>
          <w:b/>
          <w:sz w:val="22"/>
        </w:rPr>
        <w:t>Таблица 137. Промышленные и потенциальные источники скандия</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Источник</w:t>
            </w:r>
          </w:p>
        </w:tc>
        <w:tc>
          <w:tcPr>
            <w:tcW w:type="dxa" w:w="2493"/>
            <w:shd w:val="clear" w:fill="DCE6F1"/>
          </w:tcPr>
          <w:p>
            <w:pPr>
              <w:spacing w:after="0" w:line="240" w:lineRule="auto"/>
              <w:ind w:firstLine="0"/>
              <w:jc w:val="center"/>
            </w:pPr>
            <w:r>
              <w:rPr>
                <w:b/>
                <w:i w:val="0"/>
                <w:sz w:val="20"/>
              </w:rPr>
              <w:t>Содержание Sc₂O₃</w:t>
            </w:r>
          </w:p>
        </w:tc>
        <w:tc>
          <w:tcPr>
            <w:tcW w:type="dxa" w:w="2493"/>
            <w:shd w:val="clear" w:fill="DCE6F1"/>
          </w:tcPr>
          <w:p>
            <w:pPr>
              <w:spacing w:after="0" w:line="240" w:lineRule="auto"/>
              <w:ind w:firstLine="0"/>
              <w:jc w:val="center"/>
            </w:pPr>
            <w:r>
              <w:rPr>
                <w:b/>
                <w:i w:val="0"/>
                <w:sz w:val="20"/>
              </w:rPr>
              <w:t>Освоенность</w:t>
            </w:r>
          </w:p>
        </w:tc>
        <w:tc>
          <w:tcPr>
            <w:tcW w:type="dxa" w:w="2493"/>
            <w:shd w:val="clear" w:fill="DCE6F1"/>
          </w:tcPr>
          <w:p>
            <w:pPr>
              <w:spacing w:after="0" w:line="240" w:lineRule="auto"/>
              <w:ind w:firstLine="0"/>
              <w:jc w:val="center"/>
            </w:pPr>
            <w:r>
              <w:rPr>
                <w:b/>
                <w:i w:val="0"/>
                <w:sz w:val="20"/>
              </w:rPr>
              <w:t>Основные объекты</w:t>
            </w:r>
          </w:p>
        </w:tc>
      </w:tr>
      <w:tr>
        <w:tc>
          <w:tcPr>
            <w:tcW w:type="dxa" w:w="2493"/>
          </w:tcPr>
          <w:p>
            <w:pPr>
              <w:spacing w:after="0" w:line="240" w:lineRule="auto"/>
              <w:ind w:firstLine="0"/>
              <w:jc w:val="left"/>
            </w:pPr>
            <w:r>
              <w:rPr>
                <w:b w:val="0"/>
                <w:i w:val="0"/>
                <w:sz w:val="20"/>
              </w:rPr>
              <w:t>Красные шламы глинозёмного произв.</w:t>
            </w:r>
          </w:p>
        </w:tc>
        <w:tc>
          <w:tcPr>
            <w:tcW w:type="dxa" w:w="2493"/>
          </w:tcPr>
          <w:p>
            <w:pPr>
              <w:spacing w:after="0" w:line="240" w:lineRule="auto"/>
              <w:ind w:firstLine="0"/>
              <w:jc w:val="center"/>
            </w:pPr>
            <w:r>
              <w:rPr>
                <w:b w:val="0"/>
                <w:i w:val="0"/>
                <w:sz w:val="20"/>
              </w:rPr>
              <w:t>60–150 г/т</w:t>
            </w:r>
          </w:p>
        </w:tc>
        <w:tc>
          <w:tcPr>
            <w:tcW w:type="dxa" w:w="2493"/>
          </w:tcPr>
          <w:p>
            <w:pPr>
              <w:spacing w:after="0" w:line="240" w:lineRule="auto"/>
              <w:ind w:firstLine="0"/>
              <w:jc w:val="center"/>
            </w:pPr>
            <w:r>
              <w:rPr>
                <w:b w:val="0"/>
                <w:i w:val="0"/>
                <w:sz w:val="20"/>
              </w:rPr>
              <w:t>опытно-промышленная</w:t>
            </w:r>
          </w:p>
        </w:tc>
        <w:tc>
          <w:tcPr>
            <w:tcW w:type="dxa" w:w="2493"/>
          </w:tcPr>
          <w:p>
            <w:pPr>
              <w:spacing w:after="0" w:line="240" w:lineRule="auto"/>
              <w:ind w:firstLine="0"/>
              <w:jc w:val="center"/>
            </w:pPr>
            <w:r>
              <w:rPr>
                <w:b w:val="0"/>
                <w:i w:val="0"/>
                <w:sz w:val="20"/>
              </w:rPr>
              <w:t>РФ, Австралия, Греция</w:t>
            </w:r>
          </w:p>
        </w:tc>
      </w:tr>
      <w:tr>
        <w:tc>
          <w:tcPr>
            <w:tcW w:type="dxa" w:w="2493"/>
          </w:tcPr>
          <w:p>
            <w:pPr>
              <w:spacing w:after="0" w:line="240" w:lineRule="auto"/>
              <w:ind w:firstLine="0"/>
              <w:jc w:val="left"/>
            </w:pPr>
            <w:r>
              <w:rPr>
                <w:b w:val="0"/>
                <w:i w:val="0"/>
                <w:sz w:val="20"/>
              </w:rPr>
              <w:t>Продуктивные растворы ПСВ урана</w:t>
            </w:r>
          </w:p>
        </w:tc>
        <w:tc>
          <w:tcPr>
            <w:tcW w:type="dxa" w:w="2493"/>
          </w:tcPr>
          <w:p>
            <w:pPr>
              <w:spacing w:after="0" w:line="240" w:lineRule="auto"/>
              <w:ind w:firstLine="0"/>
              <w:jc w:val="center"/>
            </w:pPr>
            <w:r>
              <w:rPr>
                <w:b w:val="0"/>
                <w:i w:val="0"/>
                <w:sz w:val="20"/>
              </w:rPr>
              <w:t>5–25 мг/л</w:t>
            </w:r>
          </w:p>
        </w:tc>
        <w:tc>
          <w:tcPr>
            <w:tcW w:type="dxa" w:w="2493"/>
          </w:tcPr>
          <w:p>
            <w:pPr>
              <w:spacing w:after="0" w:line="240" w:lineRule="auto"/>
              <w:ind w:firstLine="0"/>
              <w:jc w:val="center"/>
            </w:pPr>
            <w:r>
              <w:rPr>
                <w:b w:val="0"/>
                <w:i w:val="0"/>
                <w:sz w:val="20"/>
              </w:rPr>
              <w:t>промышленная</w:t>
            </w:r>
          </w:p>
        </w:tc>
        <w:tc>
          <w:tcPr>
            <w:tcW w:type="dxa" w:w="2493"/>
          </w:tcPr>
          <w:p>
            <w:pPr>
              <w:spacing w:after="0" w:line="240" w:lineRule="auto"/>
              <w:ind w:firstLine="0"/>
              <w:jc w:val="center"/>
            </w:pPr>
            <w:r>
              <w:rPr>
                <w:b w:val="0"/>
                <w:i w:val="0"/>
                <w:sz w:val="20"/>
              </w:rPr>
              <w:t>РФ (Далур), Казахстан</w:t>
            </w:r>
          </w:p>
        </w:tc>
      </w:tr>
      <w:tr>
        <w:tc>
          <w:tcPr>
            <w:tcW w:type="dxa" w:w="2493"/>
          </w:tcPr>
          <w:p>
            <w:pPr>
              <w:spacing w:after="0" w:line="240" w:lineRule="auto"/>
              <w:ind w:firstLine="0"/>
              <w:jc w:val="left"/>
            </w:pPr>
            <w:r>
              <w:rPr>
                <w:b w:val="0"/>
                <w:i w:val="0"/>
                <w:sz w:val="20"/>
              </w:rPr>
              <w:t>Отходы производства TiO₂</w:t>
            </w:r>
          </w:p>
        </w:tc>
        <w:tc>
          <w:tcPr>
            <w:tcW w:type="dxa" w:w="2493"/>
          </w:tcPr>
          <w:p>
            <w:pPr>
              <w:spacing w:after="0" w:line="240" w:lineRule="auto"/>
              <w:ind w:firstLine="0"/>
              <w:jc w:val="center"/>
            </w:pPr>
            <w:r>
              <w:rPr>
                <w:b w:val="0"/>
                <w:i w:val="0"/>
                <w:sz w:val="20"/>
              </w:rPr>
              <w:t>50–120 г/т</w:t>
            </w:r>
          </w:p>
        </w:tc>
        <w:tc>
          <w:tcPr>
            <w:tcW w:type="dxa" w:w="2493"/>
          </w:tcPr>
          <w:p>
            <w:pPr>
              <w:spacing w:after="0" w:line="240" w:lineRule="auto"/>
              <w:ind w:firstLine="0"/>
              <w:jc w:val="center"/>
            </w:pPr>
            <w:r>
              <w:rPr>
                <w:b w:val="0"/>
                <w:i w:val="0"/>
                <w:sz w:val="20"/>
              </w:rPr>
              <w:t>опытная</w:t>
            </w:r>
          </w:p>
        </w:tc>
        <w:tc>
          <w:tcPr>
            <w:tcW w:type="dxa" w:w="2493"/>
          </w:tcPr>
          <w:p>
            <w:pPr>
              <w:spacing w:after="0" w:line="240" w:lineRule="auto"/>
              <w:ind w:firstLine="0"/>
              <w:jc w:val="center"/>
            </w:pPr>
            <w:r>
              <w:rPr>
                <w:b w:val="0"/>
                <w:i w:val="0"/>
                <w:sz w:val="20"/>
              </w:rPr>
              <w:t>Украина, КНР, Австралия</w:t>
            </w:r>
          </w:p>
        </w:tc>
      </w:tr>
      <w:tr>
        <w:tc>
          <w:tcPr>
            <w:tcW w:type="dxa" w:w="2493"/>
          </w:tcPr>
          <w:p>
            <w:pPr>
              <w:spacing w:after="0" w:line="240" w:lineRule="auto"/>
              <w:ind w:firstLine="0"/>
              <w:jc w:val="left"/>
            </w:pPr>
            <w:r>
              <w:rPr>
                <w:b w:val="0"/>
                <w:i w:val="0"/>
                <w:sz w:val="20"/>
              </w:rPr>
              <w:t>Отходы вольфрамового производства</w:t>
            </w:r>
          </w:p>
        </w:tc>
        <w:tc>
          <w:tcPr>
            <w:tcW w:type="dxa" w:w="2493"/>
          </w:tcPr>
          <w:p>
            <w:pPr>
              <w:spacing w:after="0" w:line="240" w:lineRule="auto"/>
              <w:ind w:firstLine="0"/>
              <w:jc w:val="center"/>
            </w:pPr>
            <w:r>
              <w:rPr>
                <w:b w:val="0"/>
                <w:i w:val="0"/>
                <w:sz w:val="20"/>
              </w:rPr>
              <w:t>100–400 г/т</w:t>
            </w:r>
          </w:p>
        </w:tc>
        <w:tc>
          <w:tcPr>
            <w:tcW w:type="dxa" w:w="2493"/>
          </w:tcPr>
          <w:p>
            <w:pPr>
              <w:spacing w:after="0" w:line="240" w:lineRule="auto"/>
              <w:ind w:firstLine="0"/>
              <w:jc w:val="center"/>
            </w:pPr>
            <w:r>
              <w:rPr>
                <w:b w:val="0"/>
                <w:i w:val="0"/>
                <w:sz w:val="20"/>
              </w:rPr>
              <w:t>промышленная (КНР)</w:t>
            </w:r>
          </w:p>
        </w:tc>
        <w:tc>
          <w:tcPr>
            <w:tcW w:type="dxa" w:w="2493"/>
          </w:tcPr>
          <w:p>
            <w:pPr>
              <w:spacing w:after="0" w:line="240" w:lineRule="auto"/>
              <w:ind w:firstLine="0"/>
              <w:jc w:val="center"/>
            </w:pPr>
            <w:r>
              <w:rPr>
                <w:b w:val="0"/>
                <w:i w:val="0"/>
                <w:sz w:val="20"/>
              </w:rPr>
              <w:t>КНР</w:t>
            </w:r>
          </w:p>
        </w:tc>
      </w:tr>
      <w:tr>
        <w:tc>
          <w:tcPr>
            <w:tcW w:type="dxa" w:w="2493"/>
          </w:tcPr>
          <w:p>
            <w:pPr>
              <w:spacing w:after="0" w:line="240" w:lineRule="auto"/>
              <w:ind w:firstLine="0"/>
              <w:jc w:val="left"/>
            </w:pPr>
            <w:r>
              <w:rPr>
                <w:b w:val="0"/>
                <w:i w:val="0"/>
                <w:sz w:val="20"/>
              </w:rPr>
              <w:t>Латеритные никелевые руды</w:t>
            </w:r>
          </w:p>
        </w:tc>
        <w:tc>
          <w:tcPr>
            <w:tcW w:type="dxa" w:w="2493"/>
          </w:tcPr>
          <w:p>
            <w:pPr>
              <w:spacing w:after="0" w:line="240" w:lineRule="auto"/>
              <w:ind w:firstLine="0"/>
              <w:jc w:val="center"/>
            </w:pPr>
            <w:r>
              <w:rPr>
                <w:b w:val="0"/>
                <w:i w:val="0"/>
                <w:sz w:val="20"/>
              </w:rPr>
              <w:t>40–100 г/т</w:t>
            </w:r>
          </w:p>
        </w:tc>
        <w:tc>
          <w:tcPr>
            <w:tcW w:type="dxa" w:w="2493"/>
          </w:tcPr>
          <w:p>
            <w:pPr>
              <w:spacing w:after="0" w:line="240" w:lineRule="auto"/>
              <w:ind w:firstLine="0"/>
              <w:jc w:val="center"/>
            </w:pPr>
            <w:r>
              <w:rPr>
                <w:b w:val="0"/>
                <w:i w:val="0"/>
                <w:sz w:val="20"/>
              </w:rPr>
              <w:t>проектная</w:t>
            </w:r>
          </w:p>
        </w:tc>
        <w:tc>
          <w:tcPr>
            <w:tcW w:type="dxa" w:w="2493"/>
          </w:tcPr>
          <w:p>
            <w:pPr>
              <w:spacing w:after="0" w:line="240" w:lineRule="auto"/>
              <w:ind w:firstLine="0"/>
              <w:jc w:val="center"/>
            </w:pPr>
            <w:r>
              <w:rPr>
                <w:b w:val="0"/>
                <w:i w:val="0"/>
                <w:sz w:val="20"/>
              </w:rPr>
              <w:t>Австралия (Nyngan, Sunrise)</w:t>
            </w:r>
          </w:p>
        </w:tc>
      </w:tr>
      <w:tr>
        <w:tc>
          <w:tcPr>
            <w:tcW w:type="dxa" w:w="2493"/>
          </w:tcPr>
          <w:p>
            <w:pPr>
              <w:spacing w:after="0" w:line="240" w:lineRule="auto"/>
              <w:ind w:firstLine="0"/>
              <w:jc w:val="left"/>
            </w:pPr>
            <w:r>
              <w:rPr>
                <w:b w:val="0"/>
                <w:i w:val="0"/>
                <w:sz w:val="20"/>
              </w:rPr>
              <w:t>Хвосты обогащения апатита</w:t>
            </w:r>
          </w:p>
        </w:tc>
        <w:tc>
          <w:tcPr>
            <w:tcW w:type="dxa" w:w="2493"/>
          </w:tcPr>
          <w:p>
            <w:pPr>
              <w:spacing w:after="0" w:line="240" w:lineRule="auto"/>
              <w:ind w:firstLine="0"/>
              <w:jc w:val="center"/>
            </w:pPr>
            <w:r>
              <w:rPr>
                <w:b w:val="0"/>
                <w:i w:val="0"/>
                <w:sz w:val="20"/>
              </w:rPr>
              <w:t>20–60 г/т</w:t>
            </w:r>
          </w:p>
        </w:tc>
        <w:tc>
          <w:tcPr>
            <w:tcW w:type="dxa" w:w="2493"/>
          </w:tcPr>
          <w:p>
            <w:pPr>
              <w:spacing w:after="0" w:line="240" w:lineRule="auto"/>
              <w:ind w:firstLine="0"/>
              <w:jc w:val="center"/>
            </w:pPr>
            <w:r>
              <w:rPr>
                <w:b w:val="0"/>
                <w:i w:val="0"/>
                <w:sz w:val="20"/>
              </w:rPr>
              <w:t>опытная</w:t>
            </w:r>
          </w:p>
        </w:tc>
        <w:tc>
          <w:tcPr>
            <w:tcW w:type="dxa" w:w="2493"/>
          </w:tcPr>
          <w:p>
            <w:pPr>
              <w:spacing w:after="0" w:line="240" w:lineRule="auto"/>
              <w:ind w:firstLine="0"/>
              <w:jc w:val="center"/>
            </w:pPr>
            <w:r>
              <w:rPr>
                <w:b w:val="0"/>
                <w:i w:val="0"/>
                <w:sz w:val="20"/>
              </w:rPr>
              <w:t>РФ (Хибины)</w:t>
            </w:r>
          </w:p>
        </w:tc>
      </w:tr>
      <w:tr>
        <w:tc>
          <w:tcPr>
            <w:tcW w:type="dxa" w:w="2493"/>
          </w:tcPr>
          <w:p>
            <w:pPr>
              <w:spacing w:after="0" w:line="240" w:lineRule="auto"/>
              <w:ind w:firstLine="0"/>
              <w:jc w:val="left"/>
            </w:pPr>
            <w:r>
              <w:rPr>
                <w:b w:val="0"/>
                <w:i w:val="0"/>
                <w:sz w:val="20"/>
              </w:rPr>
              <w:t>Ниобиевые руды (Elk Creek)</w:t>
            </w:r>
          </w:p>
        </w:tc>
        <w:tc>
          <w:tcPr>
            <w:tcW w:type="dxa" w:w="2493"/>
          </w:tcPr>
          <w:p>
            <w:pPr>
              <w:spacing w:after="0" w:line="240" w:lineRule="auto"/>
              <w:ind w:firstLine="0"/>
              <w:jc w:val="center"/>
            </w:pPr>
            <w:r>
              <w:rPr>
                <w:b w:val="0"/>
                <w:i w:val="0"/>
                <w:sz w:val="20"/>
              </w:rPr>
              <w:t>60–80 г/т</w:t>
            </w:r>
          </w:p>
        </w:tc>
        <w:tc>
          <w:tcPr>
            <w:tcW w:type="dxa" w:w="2493"/>
          </w:tcPr>
          <w:p>
            <w:pPr>
              <w:spacing w:after="0" w:line="240" w:lineRule="auto"/>
              <w:ind w:firstLine="0"/>
              <w:jc w:val="center"/>
            </w:pPr>
            <w:r>
              <w:rPr>
                <w:b w:val="0"/>
                <w:i w:val="0"/>
                <w:sz w:val="20"/>
              </w:rPr>
              <w:t>проектная</w:t>
            </w:r>
          </w:p>
        </w:tc>
        <w:tc>
          <w:tcPr>
            <w:tcW w:type="dxa" w:w="2493"/>
          </w:tcPr>
          <w:p>
            <w:pPr>
              <w:spacing w:after="0" w:line="240" w:lineRule="auto"/>
              <w:ind w:firstLine="0"/>
              <w:jc w:val="center"/>
            </w:pPr>
            <w:r>
              <w:rPr>
                <w:b w:val="0"/>
                <w:i w:val="0"/>
                <w:sz w:val="20"/>
              </w:rPr>
              <w:t>США</w:t>
            </w:r>
          </w:p>
        </w:tc>
      </w:tr>
      <w:tr>
        <w:tc>
          <w:tcPr>
            <w:tcW w:type="dxa" w:w="2493"/>
          </w:tcPr>
          <w:p>
            <w:pPr>
              <w:spacing w:after="0" w:line="240" w:lineRule="auto"/>
              <w:ind w:firstLine="0"/>
              <w:jc w:val="left"/>
            </w:pPr>
            <w:r>
              <w:rPr>
                <w:b w:val="0"/>
                <w:i w:val="0"/>
                <w:sz w:val="20"/>
              </w:rPr>
              <w:t>Тортвейит</w:t>
            </w:r>
          </w:p>
        </w:tc>
        <w:tc>
          <w:tcPr>
            <w:tcW w:type="dxa" w:w="2493"/>
          </w:tcPr>
          <w:p>
            <w:pPr>
              <w:spacing w:after="0" w:line="240" w:lineRule="auto"/>
              <w:ind w:firstLine="0"/>
              <w:jc w:val="center"/>
            </w:pPr>
            <w:r>
              <w:rPr>
                <w:b w:val="0"/>
                <w:i w:val="0"/>
                <w:sz w:val="20"/>
              </w:rPr>
              <w:t>20–35% Sc₂O₃</w:t>
            </w:r>
          </w:p>
        </w:tc>
        <w:tc>
          <w:tcPr>
            <w:tcW w:type="dxa" w:w="2493"/>
          </w:tcPr>
          <w:p>
            <w:pPr>
              <w:spacing w:after="0" w:line="240" w:lineRule="auto"/>
              <w:ind w:firstLine="0"/>
              <w:jc w:val="center"/>
            </w:pPr>
            <w:r>
              <w:rPr>
                <w:b w:val="0"/>
                <w:i w:val="0"/>
                <w:sz w:val="20"/>
              </w:rPr>
              <w:t>не осваивается</w:t>
            </w:r>
          </w:p>
        </w:tc>
        <w:tc>
          <w:tcPr>
            <w:tcW w:type="dxa" w:w="2493"/>
          </w:tcPr>
          <w:p>
            <w:pPr>
              <w:spacing w:after="0" w:line="240" w:lineRule="auto"/>
              <w:ind w:firstLine="0"/>
              <w:jc w:val="center"/>
            </w:pPr>
            <w:r>
              <w:rPr>
                <w:b w:val="0"/>
                <w:i w:val="0"/>
                <w:sz w:val="20"/>
              </w:rPr>
              <w:t>Мадагаскар, Норвегия</w:t>
            </w:r>
          </w:p>
        </w:tc>
      </w:tr>
    </w:tbl>
    <w:p>
      <w:pPr>
        <w:spacing w:after="180"/>
        <w:ind w:firstLine="0"/>
      </w:pPr>
      <w:r>
        <w:rPr>
          <w:i/>
          <w:sz w:val="20"/>
        </w:rPr>
        <w:t>Источник: аналитический центр по данным USGS, корпоративных раскрытий и научно-технической литературы</w:t>
      </w:r>
    </w:p>
    <w:p>
      <w:r>
        <w:rPr>
          <w:b w:val="0"/>
          <w:i w:val="0"/>
        </w:rPr>
        <w:t>Российские позиции в скандиевом сегменте существенно сильнее, чем в редкоземельном. Технология извлечения скандия из продуктивных растворов подземного скважинного выщелачивания урана, реализованная на АО «Далур», а также проекты ОК «РУСАЛ» по извлечению из красных шламов создают потенциал производства 15–25 т Sc₂O₃ в год — что соответствует 40–60% текущего мирового рынка.</w:t>
      </w:r>
    </w:p>
    <w:p>
      <w:pPr>
        <w:keepNext/>
        <w:spacing w:before="160" w:after="60"/>
        <w:ind w:firstLine="0"/>
        <w:jc w:val="left"/>
      </w:pPr>
      <w:r>
        <w:rPr>
          <w:b/>
          <w:sz w:val="22"/>
        </w:rPr>
        <w:t>Таблица 138. Мировое производство и потребление оксида скандия, 2018–2030 гг., т</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shd w:val="clear" w:fill="DCE6F1"/>
          </w:tcPr>
          <w:p>
            <w:pPr>
              <w:spacing w:after="0" w:line="240" w:lineRule="auto"/>
              <w:ind w:firstLine="0"/>
              <w:jc w:val="center"/>
            </w:pPr>
            <w:r>
              <w:rPr>
                <w:b/>
                <w:i w:val="0"/>
                <w:sz w:val="20"/>
              </w:rPr>
              <w:t>Показатель</w:t>
            </w:r>
          </w:p>
        </w:tc>
        <w:tc>
          <w:tcPr>
            <w:tcW w:type="dxa" w:w="1425"/>
            <w:shd w:val="clear" w:fill="DCE6F1"/>
          </w:tcPr>
          <w:p>
            <w:pPr>
              <w:spacing w:after="0" w:line="240" w:lineRule="auto"/>
              <w:ind w:firstLine="0"/>
              <w:jc w:val="center"/>
            </w:pPr>
            <w:r>
              <w:rPr>
                <w:b/>
                <w:i w:val="0"/>
                <w:sz w:val="20"/>
              </w:rPr>
              <w:t>2018</w:t>
            </w:r>
          </w:p>
        </w:tc>
        <w:tc>
          <w:tcPr>
            <w:tcW w:type="dxa" w:w="1425"/>
            <w:shd w:val="clear" w:fill="DCE6F1"/>
          </w:tcPr>
          <w:p>
            <w:pPr>
              <w:spacing w:after="0" w:line="240" w:lineRule="auto"/>
              <w:ind w:firstLine="0"/>
              <w:jc w:val="center"/>
            </w:pPr>
            <w:r>
              <w:rPr>
                <w:b/>
                <w:i w:val="0"/>
                <w:sz w:val="20"/>
              </w:rPr>
              <w:t>2021</w:t>
            </w:r>
          </w:p>
        </w:tc>
        <w:tc>
          <w:tcPr>
            <w:tcW w:type="dxa" w:w="1425"/>
            <w:shd w:val="clear" w:fill="DCE6F1"/>
          </w:tcPr>
          <w:p>
            <w:pPr>
              <w:spacing w:after="0" w:line="240" w:lineRule="auto"/>
              <w:ind w:firstLine="0"/>
              <w:jc w:val="center"/>
            </w:pPr>
            <w:r>
              <w:rPr>
                <w:b/>
                <w:i w:val="0"/>
                <w:sz w:val="20"/>
              </w:rPr>
              <w:t>2023</w:t>
            </w:r>
          </w:p>
        </w:tc>
        <w:tc>
          <w:tcPr>
            <w:tcW w:type="dxa" w:w="1425"/>
            <w:shd w:val="clear" w:fill="DCE6F1"/>
          </w:tcPr>
          <w:p>
            <w:pPr>
              <w:spacing w:after="0" w:line="240" w:lineRule="auto"/>
              <w:ind w:firstLine="0"/>
              <w:jc w:val="center"/>
            </w:pPr>
            <w:r>
              <w:rPr>
                <w:b/>
                <w:i w:val="0"/>
                <w:sz w:val="20"/>
              </w:rPr>
              <w:t>2024</w:t>
            </w:r>
          </w:p>
        </w:tc>
        <w:tc>
          <w:tcPr>
            <w:tcW w:type="dxa" w:w="1425"/>
            <w:shd w:val="clear" w:fill="DCE6F1"/>
          </w:tcPr>
          <w:p>
            <w:pPr>
              <w:spacing w:after="0" w:line="240" w:lineRule="auto"/>
              <w:ind w:firstLine="0"/>
              <w:jc w:val="center"/>
            </w:pPr>
            <w:r>
              <w:rPr>
                <w:b/>
                <w:i w:val="0"/>
                <w:sz w:val="20"/>
              </w:rPr>
              <w:t>2027 (пр.)</w:t>
            </w:r>
          </w:p>
        </w:tc>
        <w:tc>
          <w:tcPr>
            <w:tcW w:type="dxa" w:w="1425"/>
            <w:shd w:val="clear" w:fill="DCE6F1"/>
          </w:tcPr>
          <w:p>
            <w:pPr>
              <w:spacing w:after="0" w:line="240" w:lineRule="auto"/>
              <w:ind w:firstLine="0"/>
              <w:jc w:val="center"/>
            </w:pPr>
            <w:r>
              <w:rPr>
                <w:b/>
                <w:i w:val="0"/>
                <w:sz w:val="20"/>
              </w:rPr>
              <w:t>2030 (пр.)</w:t>
            </w:r>
          </w:p>
        </w:tc>
      </w:tr>
      <w:tr>
        <w:tc>
          <w:tcPr>
            <w:tcW w:type="dxa" w:w="1425"/>
          </w:tcPr>
          <w:p>
            <w:pPr>
              <w:spacing w:after="0" w:line="240" w:lineRule="auto"/>
              <w:ind w:firstLine="0"/>
              <w:jc w:val="left"/>
            </w:pPr>
            <w:r>
              <w:rPr>
                <w:b w:val="0"/>
                <w:i w:val="0"/>
                <w:sz w:val="20"/>
              </w:rPr>
              <w:t>Производство, т Sc₂O₃</w:t>
            </w:r>
          </w:p>
        </w:tc>
        <w:tc>
          <w:tcPr>
            <w:tcW w:type="dxa" w:w="1425"/>
          </w:tcPr>
          <w:p>
            <w:pPr>
              <w:spacing w:after="0" w:line="240" w:lineRule="auto"/>
              <w:ind w:firstLine="0"/>
              <w:jc w:val="center"/>
            </w:pPr>
            <w:r>
              <w:rPr>
                <w:b w:val="0"/>
                <w:i w:val="0"/>
                <w:sz w:val="20"/>
              </w:rPr>
              <w:t>22</w:t>
            </w:r>
          </w:p>
        </w:tc>
        <w:tc>
          <w:tcPr>
            <w:tcW w:type="dxa" w:w="1425"/>
          </w:tcPr>
          <w:p>
            <w:pPr>
              <w:spacing w:after="0" w:line="240" w:lineRule="auto"/>
              <w:ind w:firstLine="0"/>
              <w:jc w:val="center"/>
            </w:pPr>
            <w:r>
              <w:rPr>
                <w:b w:val="0"/>
                <w:i w:val="0"/>
                <w:sz w:val="20"/>
              </w:rPr>
              <w:t>28</w:t>
            </w:r>
          </w:p>
        </w:tc>
        <w:tc>
          <w:tcPr>
            <w:tcW w:type="dxa" w:w="1425"/>
          </w:tcPr>
          <w:p>
            <w:pPr>
              <w:spacing w:after="0" w:line="240" w:lineRule="auto"/>
              <w:ind w:firstLine="0"/>
              <w:jc w:val="center"/>
            </w:pPr>
            <w:r>
              <w:rPr>
                <w:b w:val="0"/>
                <w:i w:val="0"/>
                <w:sz w:val="20"/>
              </w:rPr>
              <w:t>33</w:t>
            </w:r>
          </w:p>
        </w:tc>
        <w:tc>
          <w:tcPr>
            <w:tcW w:type="dxa" w:w="1425"/>
          </w:tcPr>
          <w:p>
            <w:pPr>
              <w:spacing w:after="0" w:line="240" w:lineRule="auto"/>
              <w:ind w:firstLine="0"/>
              <w:jc w:val="center"/>
            </w:pPr>
            <w:r>
              <w:rPr>
                <w:b w:val="0"/>
                <w:i w:val="0"/>
                <w:sz w:val="20"/>
              </w:rPr>
              <w:t>36</w:t>
            </w:r>
          </w:p>
        </w:tc>
        <w:tc>
          <w:tcPr>
            <w:tcW w:type="dxa" w:w="1425"/>
          </w:tcPr>
          <w:p>
            <w:pPr>
              <w:spacing w:after="0" w:line="240" w:lineRule="auto"/>
              <w:ind w:firstLine="0"/>
              <w:jc w:val="center"/>
            </w:pPr>
            <w:r>
              <w:rPr>
                <w:b w:val="0"/>
                <w:i w:val="0"/>
                <w:sz w:val="20"/>
              </w:rPr>
              <w:t>55</w:t>
            </w:r>
          </w:p>
        </w:tc>
        <w:tc>
          <w:tcPr>
            <w:tcW w:type="dxa" w:w="1425"/>
          </w:tcPr>
          <w:p>
            <w:pPr>
              <w:spacing w:after="0" w:line="240" w:lineRule="auto"/>
              <w:ind w:firstLine="0"/>
              <w:jc w:val="center"/>
            </w:pPr>
            <w:r>
              <w:rPr>
                <w:b w:val="0"/>
                <w:i w:val="0"/>
                <w:sz w:val="20"/>
              </w:rPr>
              <w:t>90</w:t>
            </w:r>
          </w:p>
        </w:tc>
      </w:tr>
      <w:tr>
        <w:tc>
          <w:tcPr>
            <w:tcW w:type="dxa" w:w="1425"/>
          </w:tcPr>
          <w:p>
            <w:pPr>
              <w:spacing w:after="0" w:line="240" w:lineRule="auto"/>
              <w:ind w:firstLine="0"/>
              <w:jc w:val="left"/>
            </w:pPr>
            <w:r>
              <w:rPr>
                <w:b w:val="0"/>
                <w:i w:val="0"/>
                <w:sz w:val="20"/>
              </w:rPr>
              <w:t>в т. ч. КНР</w:t>
            </w:r>
          </w:p>
        </w:tc>
        <w:tc>
          <w:tcPr>
            <w:tcW w:type="dxa" w:w="1425"/>
          </w:tcPr>
          <w:p>
            <w:pPr>
              <w:spacing w:after="0" w:line="240" w:lineRule="auto"/>
              <w:ind w:firstLine="0"/>
              <w:jc w:val="center"/>
            </w:pPr>
            <w:r>
              <w:rPr>
                <w:b w:val="0"/>
                <w:i w:val="0"/>
                <w:sz w:val="20"/>
              </w:rPr>
              <w:t>14</w:t>
            </w:r>
          </w:p>
        </w:tc>
        <w:tc>
          <w:tcPr>
            <w:tcW w:type="dxa" w:w="1425"/>
          </w:tcPr>
          <w:p>
            <w:pPr>
              <w:spacing w:after="0" w:line="240" w:lineRule="auto"/>
              <w:ind w:firstLine="0"/>
              <w:jc w:val="center"/>
            </w:pPr>
            <w:r>
              <w:rPr>
                <w:b w:val="0"/>
                <w:i w:val="0"/>
                <w:sz w:val="20"/>
              </w:rPr>
              <w:t>18</w:t>
            </w:r>
          </w:p>
        </w:tc>
        <w:tc>
          <w:tcPr>
            <w:tcW w:type="dxa" w:w="1425"/>
          </w:tcPr>
          <w:p>
            <w:pPr>
              <w:spacing w:after="0" w:line="240" w:lineRule="auto"/>
              <w:ind w:firstLine="0"/>
              <w:jc w:val="center"/>
            </w:pPr>
            <w:r>
              <w:rPr>
                <w:b w:val="0"/>
                <w:i w:val="0"/>
                <w:sz w:val="20"/>
              </w:rPr>
              <w:t>21</w:t>
            </w:r>
          </w:p>
        </w:tc>
        <w:tc>
          <w:tcPr>
            <w:tcW w:type="dxa" w:w="1425"/>
          </w:tcPr>
          <w:p>
            <w:pPr>
              <w:spacing w:after="0" w:line="240" w:lineRule="auto"/>
              <w:ind w:firstLine="0"/>
              <w:jc w:val="center"/>
            </w:pPr>
            <w:r>
              <w:rPr>
                <w:b w:val="0"/>
                <w:i w:val="0"/>
                <w:sz w:val="20"/>
              </w:rPr>
              <w:t>23</w:t>
            </w:r>
          </w:p>
        </w:tc>
        <w:tc>
          <w:tcPr>
            <w:tcW w:type="dxa" w:w="1425"/>
          </w:tcPr>
          <w:p>
            <w:pPr>
              <w:spacing w:after="0" w:line="240" w:lineRule="auto"/>
              <w:ind w:firstLine="0"/>
              <w:jc w:val="center"/>
            </w:pPr>
            <w:r>
              <w:rPr>
                <w:b w:val="0"/>
                <w:i w:val="0"/>
                <w:sz w:val="20"/>
              </w:rPr>
              <w:t>30</w:t>
            </w:r>
          </w:p>
        </w:tc>
        <w:tc>
          <w:tcPr>
            <w:tcW w:type="dxa" w:w="1425"/>
          </w:tcPr>
          <w:p>
            <w:pPr>
              <w:spacing w:after="0" w:line="240" w:lineRule="auto"/>
              <w:ind w:firstLine="0"/>
              <w:jc w:val="center"/>
            </w:pPr>
            <w:r>
              <w:rPr>
                <w:b w:val="0"/>
                <w:i w:val="0"/>
                <w:sz w:val="20"/>
              </w:rPr>
              <w:t>42</w:t>
            </w:r>
          </w:p>
        </w:tc>
      </w:tr>
      <w:tr>
        <w:tc>
          <w:tcPr>
            <w:tcW w:type="dxa" w:w="1425"/>
          </w:tcPr>
          <w:p>
            <w:pPr>
              <w:spacing w:after="0" w:line="240" w:lineRule="auto"/>
              <w:ind w:firstLine="0"/>
              <w:jc w:val="left"/>
            </w:pPr>
            <w:r>
              <w:rPr>
                <w:b w:val="0"/>
                <w:i w:val="0"/>
                <w:sz w:val="20"/>
              </w:rPr>
              <w:t>в т. ч. Россия</w:t>
            </w:r>
          </w:p>
        </w:tc>
        <w:tc>
          <w:tcPr>
            <w:tcW w:type="dxa" w:w="1425"/>
          </w:tcPr>
          <w:p>
            <w:pPr>
              <w:spacing w:after="0" w:line="240" w:lineRule="auto"/>
              <w:ind w:firstLine="0"/>
              <w:jc w:val="center"/>
            </w:pPr>
            <w:r>
              <w:rPr>
                <w:b w:val="0"/>
                <w:i w:val="0"/>
                <w:sz w:val="20"/>
              </w:rPr>
              <w:t>3</w:t>
            </w:r>
          </w:p>
        </w:tc>
        <w:tc>
          <w:tcPr>
            <w:tcW w:type="dxa" w:w="1425"/>
          </w:tcPr>
          <w:p>
            <w:pPr>
              <w:spacing w:after="0" w:line="240" w:lineRule="auto"/>
              <w:ind w:firstLine="0"/>
              <w:jc w:val="center"/>
            </w:pPr>
            <w:r>
              <w:rPr>
                <w:b w:val="0"/>
                <w:i w:val="0"/>
                <w:sz w:val="20"/>
              </w:rPr>
              <w:t>5</w:t>
            </w:r>
          </w:p>
        </w:tc>
        <w:tc>
          <w:tcPr>
            <w:tcW w:type="dxa" w:w="1425"/>
          </w:tcPr>
          <w:p>
            <w:pPr>
              <w:spacing w:after="0" w:line="240" w:lineRule="auto"/>
              <w:ind w:firstLine="0"/>
              <w:jc w:val="center"/>
            </w:pPr>
            <w:r>
              <w:rPr>
                <w:b w:val="0"/>
                <w:i w:val="0"/>
                <w:sz w:val="20"/>
              </w:rPr>
              <w:t>6</w:t>
            </w:r>
          </w:p>
        </w:tc>
        <w:tc>
          <w:tcPr>
            <w:tcW w:type="dxa" w:w="1425"/>
          </w:tcPr>
          <w:p>
            <w:pPr>
              <w:spacing w:after="0" w:line="240" w:lineRule="auto"/>
              <w:ind w:firstLine="0"/>
              <w:jc w:val="center"/>
            </w:pPr>
            <w:r>
              <w:rPr>
                <w:b w:val="0"/>
                <w:i w:val="0"/>
                <w:sz w:val="20"/>
              </w:rPr>
              <w:t>7</w:t>
            </w:r>
          </w:p>
        </w:tc>
        <w:tc>
          <w:tcPr>
            <w:tcW w:type="dxa" w:w="1425"/>
          </w:tcPr>
          <w:p>
            <w:pPr>
              <w:spacing w:after="0" w:line="240" w:lineRule="auto"/>
              <w:ind w:firstLine="0"/>
              <w:jc w:val="center"/>
            </w:pPr>
            <w:r>
              <w:rPr>
                <w:b w:val="0"/>
                <w:i w:val="0"/>
                <w:sz w:val="20"/>
              </w:rPr>
              <w:t>14</w:t>
            </w:r>
          </w:p>
        </w:tc>
        <w:tc>
          <w:tcPr>
            <w:tcW w:type="dxa" w:w="1425"/>
          </w:tcPr>
          <w:p>
            <w:pPr>
              <w:spacing w:after="0" w:line="240" w:lineRule="auto"/>
              <w:ind w:firstLine="0"/>
              <w:jc w:val="center"/>
            </w:pPr>
            <w:r>
              <w:rPr>
                <w:b w:val="0"/>
                <w:i w:val="0"/>
                <w:sz w:val="20"/>
              </w:rPr>
              <w:t>22</w:t>
            </w:r>
          </w:p>
        </w:tc>
      </w:tr>
      <w:tr>
        <w:tc>
          <w:tcPr>
            <w:tcW w:type="dxa" w:w="1425"/>
          </w:tcPr>
          <w:p>
            <w:pPr>
              <w:spacing w:after="0" w:line="240" w:lineRule="auto"/>
              <w:ind w:firstLine="0"/>
              <w:jc w:val="left"/>
            </w:pPr>
            <w:r>
              <w:rPr>
                <w:b w:val="0"/>
                <w:i w:val="0"/>
                <w:sz w:val="20"/>
              </w:rPr>
              <w:t>в т. ч. Казахстан</w:t>
            </w:r>
          </w:p>
        </w:tc>
        <w:tc>
          <w:tcPr>
            <w:tcW w:type="dxa" w:w="1425"/>
          </w:tcPr>
          <w:p>
            <w:pPr>
              <w:spacing w:after="0" w:line="240" w:lineRule="auto"/>
              <w:ind w:firstLine="0"/>
              <w:jc w:val="center"/>
            </w:pPr>
            <w:r>
              <w:rPr>
                <w:b w:val="0"/>
                <w:i w:val="0"/>
                <w:sz w:val="20"/>
              </w:rPr>
              <w:t>1</w:t>
            </w:r>
          </w:p>
        </w:tc>
        <w:tc>
          <w:tcPr>
            <w:tcW w:type="dxa" w:w="1425"/>
          </w:tcPr>
          <w:p>
            <w:pPr>
              <w:spacing w:after="0" w:line="240" w:lineRule="auto"/>
              <w:ind w:firstLine="0"/>
              <w:jc w:val="center"/>
            </w:pPr>
            <w:r>
              <w:rPr>
                <w:b w:val="0"/>
                <w:i w:val="0"/>
                <w:sz w:val="20"/>
              </w:rPr>
              <w:t>2</w:t>
            </w:r>
          </w:p>
        </w:tc>
        <w:tc>
          <w:tcPr>
            <w:tcW w:type="dxa" w:w="1425"/>
          </w:tcPr>
          <w:p>
            <w:pPr>
              <w:spacing w:after="0" w:line="240" w:lineRule="auto"/>
              <w:ind w:firstLine="0"/>
              <w:jc w:val="center"/>
            </w:pPr>
            <w:r>
              <w:rPr>
                <w:b w:val="0"/>
                <w:i w:val="0"/>
                <w:sz w:val="20"/>
              </w:rPr>
              <w:t>2</w:t>
            </w:r>
          </w:p>
        </w:tc>
        <w:tc>
          <w:tcPr>
            <w:tcW w:type="dxa" w:w="1425"/>
          </w:tcPr>
          <w:p>
            <w:pPr>
              <w:spacing w:after="0" w:line="240" w:lineRule="auto"/>
              <w:ind w:firstLine="0"/>
              <w:jc w:val="center"/>
            </w:pPr>
            <w:r>
              <w:rPr>
                <w:b w:val="0"/>
                <w:i w:val="0"/>
                <w:sz w:val="20"/>
              </w:rPr>
              <w:t>2</w:t>
            </w:r>
          </w:p>
        </w:tc>
        <w:tc>
          <w:tcPr>
            <w:tcW w:type="dxa" w:w="1425"/>
          </w:tcPr>
          <w:p>
            <w:pPr>
              <w:spacing w:after="0" w:line="240" w:lineRule="auto"/>
              <w:ind w:firstLine="0"/>
              <w:jc w:val="center"/>
            </w:pPr>
            <w:r>
              <w:rPr>
                <w:b w:val="0"/>
                <w:i w:val="0"/>
                <w:sz w:val="20"/>
              </w:rPr>
              <w:t>4</w:t>
            </w:r>
          </w:p>
        </w:tc>
        <w:tc>
          <w:tcPr>
            <w:tcW w:type="dxa" w:w="1425"/>
          </w:tcPr>
          <w:p>
            <w:pPr>
              <w:spacing w:after="0" w:line="240" w:lineRule="auto"/>
              <w:ind w:firstLine="0"/>
              <w:jc w:val="center"/>
            </w:pPr>
            <w:r>
              <w:rPr>
                <w:b w:val="0"/>
                <w:i w:val="0"/>
                <w:sz w:val="20"/>
              </w:rPr>
              <w:t>6</w:t>
            </w:r>
          </w:p>
        </w:tc>
      </w:tr>
      <w:tr>
        <w:tc>
          <w:tcPr>
            <w:tcW w:type="dxa" w:w="1425"/>
          </w:tcPr>
          <w:p>
            <w:pPr>
              <w:spacing w:after="0" w:line="240" w:lineRule="auto"/>
              <w:ind w:firstLine="0"/>
              <w:jc w:val="left"/>
            </w:pPr>
            <w:r>
              <w:rPr>
                <w:b w:val="0"/>
                <w:i w:val="0"/>
                <w:sz w:val="20"/>
              </w:rPr>
              <w:t>в т. ч. прочие</w:t>
            </w:r>
          </w:p>
        </w:tc>
        <w:tc>
          <w:tcPr>
            <w:tcW w:type="dxa" w:w="1425"/>
          </w:tcPr>
          <w:p>
            <w:pPr>
              <w:spacing w:after="0" w:line="240" w:lineRule="auto"/>
              <w:ind w:firstLine="0"/>
              <w:jc w:val="center"/>
            </w:pPr>
            <w:r>
              <w:rPr>
                <w:b w:val="0"/>
                <w:i w:val="0"/>
                <w:sz w:val="20"/>
              </w:rPr>
              <w:t>4</w:t>
            </w:r>
          </w:p>
        </w:tc>
        <w:tc>
          <w:tcPr>
            <w:tcW w:type="dxa" w:w="1425"/>
          </w:tcPr>
          <w:p>
            <w:pPr>
              <w:spacing w:after="0" w:line="240" w:lineRule="auto"/>
              <w:ind w:firstLine="0"/>
              <w:jc w:val="center"/>
            </w:pPr>
            <w:r>
              <w:rPr>
                <w:b w:val="0"/>
                <w:i w:val="0"/>
                <w:sz w:val="20"/>
              </w:rPr>
              <w:t>3</w:t>
            </w:r>
          </w:p>
        </w:tc>
        <w:tc>
          <w:tcPr>
            <w:tcW w:type="dxa" w:w="1425"/>
          </w:tcPr>
          <w:p>
            <w:pPr>
              <w:spacing w:after="0" w:line="240" w:lineRule="auto"/>
              <w:ind w:firstLine="0"/>
              <w:jc w:val="center"/>
            </w:pPr>
            <w:r>
              <w:rPr>
                <w:b w:val="0"/>
                <w:i w:val="0"/>
                <w:sz w:val="20"/>
              </w:rPr>
              <w:t>4</w:t>
            </w:r>
          </w:p>
        </w:tc>
        <w:tc>
          <w:tcPr>
            <w:tcW w:type="dxa" w:w="1425"/>
          </w:tcPr>
          <w:p>
            <w:pPr>
              <w:spacing w:after="0" w:line="240" w:lineRule="auto"/>
              <w:ind w:firstLine="0"/>
              <w:jc w:val="center"/>
            </w:pPr>
            <w:r>
              <w:rPr>
                <w:b w:val="0"/>
                <w:i w:val="0"/>
                <w:sz w:val="20"/>
              </w:rPr>
              <w:t>4</w:t>
            </w:r>
          </w:p>
        </w:tc>
        <w:tc>
          <w:tcPr>
            <w:tcW w:type="dxa" w:w="1425"/>
          </w:tcPr>
          <w:p>
            <w:pPr>
              <w:spacing w:after="0" w:line="240" w:lineRule="auto"/>
              <w:ind w:firstLine="0"/>
              <w:jc w:val="center"/>
            </w:pPr>
            <w:r>
              <w:rPr>
                <w:b w:val="0"/>
                <w:i w:val="0"/>
                <w:sz w:val="20"/>
              </w:rPr>
              <w:t>7</w:t>
            </w:r>
          </w:p>
        </w:tc>
        <w:tc>
          <w:tcPr>
            <w:tcW w:type="dxa" w:w="1425"/>
          </w:tcPr>
          <w:p>
            <w:pPr>
              <w:spacing w:after="0" w:line="240" w:lineRule="auto"/>
              <w:ind w:firstLine="0"/>
              <w:jc w:val="center"/>
            </w:pPr>
            <w:r>
              <w:rPr>
                <w:b w:val="0"/>
                <w:i w:val="0"/>
                <w:sz w:val="20"/>
              </w:rPr>
              <w:t>20</w:t>
            </w:r>
          </w:p>
        </w:tc>
      </w:tr>
      <w:tr>
        <w:tc>
          <w:tcPr>
            <w:tcW w:type="dxa" w:w="1425"/>
          </w:tcPr>
          <w:p>
            <w:pPr>
              <w:spacing w:after="0" w:line="240" w:lineRule="auto"/>
              <w:ind w:firstLine="0"/>
              <w:jc w:val="left"/>
            </w:pPr>
            <w:r>
              <w:rPr>
                <w:b w:val="0"/>
                <w:i w:val="0"/>
                <w:sz w:val="20"/>
              </w:rPr>
              <w:t>Потребление, т Sc₂O₃</w:t>
            </w:r>
          </w:p>
        </w:tc>
        <w:tc>
          <w:tcPr>
            <w:tcW w:type="dxa" w:w="1425"/>
          </w:tcPr>
          <w:p>
            <w:pPr>
              <w:spacing w:after="0" w:line="240" w:lineRule="auto"/>
              <w:ind w:firstLine="0"/>
              <w:jc w:val="center"/>
            </w:pPr>
            <w:r>
              <w:rPr>
                <w:b w:val="0"/>
                <w:i w:val="0"/>
                <w:sz w:val="20"/>
              </w:rPr>
              <w:t>20</w:t>
            </w:r>
          </w:p>
        </w:tc>
        <w:tc>
          <w:tcPr>
            <w:tcW w:type="dxa" w:w="1425"/>
          </w:tcPr>
          <w:p>
            <w:pPr>
              <w:spacing w:after="0" w:line="240" w:lineRule="auto"/>
              <w:ind w:firstLine="0"/>
              <w:jc w:val="center"/>
            </w:pPr>
            <w:r>
              <w:rPr>
                <w:b w:val="0"/>
                <w:i w:val="0"/>
                <w:sz w:val="20"/>
              </w:rPr>
              <w:t>26</w:t>
            </w:r>
          </w:p>
        </w:tc>
        <w:tc>
          <w:tcPr>
            <w:tcW w:type="dxa" w:w="1425"/>
          </w:tcPr>
          <w:p>
            <w:pPr>
              <w:spacing w:after="0" w:line="240" w:lineRule="auto"/>
              <w:ind w:firstLine="0"/>
              <w:jc w:val="center"/>
            </w:pPr>
            <w:r>
              <w:rPr>
                <w:b w:val="0"/>
                <w:i w:val="0"/>
                <w:sz w:val="20"/>
              </w:rPr>
              <w:t>32</w:t>
            </w:r>
          </w:p>
        </w:tc>
        <w:tc>
          <w:tcPr>
            <w:tcW w:type="dxa" w:w="1425"/>
          </w:tcPr>
          <w:p>
            <w:pPr>
              <w:spacing w:after="0" w:line="240" w:lineRule="auto"/>
              <w:ind w:firstLine="0"/>
              <w:jc w:val="center"/>
            </w:pPr>
            <w:r>
              <w:rPr>
                <w:b w:val="0"/>
                <w:i w:val="0"/>
                <w:sz w:val="20"/>
              </w:rPr>
              <w:t>35</w:t>
            </w:r>
          </w:p>
        </w:tc>
        <w:tc>
          <w:tcPr>
            <w:tcW w:type="dxa" w:w="1425"/>
          </w:tcPr>
          <w:p>
            <w:pPr>
              <w:spacing w:after="0" w:line="240" w:lineRule="auto"/>
              <w:ind w:firstLine="0"/>
              <w:jc w:val="center"/>
            </w:pPr>
            <w:r>
              <w:rPr>
                <w:b w:val="0"/>
                <w:i w:val="0"/>
                <w:sz w:val="20"/>
              </w:rPr>
              <w:t>52</w:t>
            </w:r>
          </w:p>
        </w:tc>
        <w:tc>
          <w:tcPr>
            <w:tcW w:type="dxa" w:w="1425"/>
          </w:tcPr>
          <w:p>
            <w:pPr>
              <w:spacing w:after="0" w:line="240" w:lineRule="auto"/>
              <w:ind w:firstLine="0"/>
              <w:jc w:val="center"/>
            </w:pPr>
            <w:r>
              <w:rPr>
                <w:b w:val="0"/>
                <w:i w:val="0"/>
                <w:sz w:val="20"/>
              </w:rPr>
              <w:t>85</w:t>
            </w:r>
          </w:p>
        </w:tc>
      </w:tr>
      <w:tr>
        <w:tc>
          <w:tcPr>
            <w:tcW w:type="dxa" w:w="1425"/>
          </w:tcPr>
          <w:p>
            <w:pPr>
              <w:spacing w:after="0" w:line="240" w:lineRule="auto"/>
              <w:ind w:firstLine="0"/>
              <w:jc w:val="left"/>
            </w:pPr>
            <w:r>
              <w:rPr>
                <w:b w:val="0"/>
                <w:i w:val="0"/>
                <w:sz w:val="20"/>
              </w:rPr>
              <w:t>Цена, $/кг (99,99%)</w:t>
            </w:r>
          </w:p>
        </w:tc>
        <w:tc>
          <w:tcPr>
            <w:tcW w:type="dxa" w:w="1425"/>
          </w:tcPr>
          <w:p>
            <w:pPr>
              <w:spacing w:after="0" w:line="240" w:lineRule="auto"/>
              <w:ind w:firstLine="0"/>
              <w:jc w:val="center"/>
            </w:pPr>
            <w:r>
              <w:rPr>
                <w:b w:val="0"/>
                <w:i w:val="0"/>
                <w:sz w:val="20"/>
              </w:rPr>
              <w:t>1 400</w:t>
            </w:r>
          </w:p>
        </w:tc>
        <w:tc>
          <w:tcPr>
            <w:tcW w:type="dxa" w:w="1425"/>
          </w:tcPr>
          <w:p>
            <w:pPr>
              <w:spacing w:after="0" w:line="240" w:lineRule="auto"/>
              <w:ind w:firstLine="0"/>
              <w:jc w:val="center"/>
            </w:pPr>
            <w:r>
              <w:rPr>
                <w:b w:val="0"/>
                <w:i w:val="0"/>
                <w:sz w:val="20"/>
              </w:rPr>
              <w:t>1 500</w:t>
            </w:r>
          </w:p>
        </w:tc>
        <w:tc>
          <w:tcPr>
            <w:tcW w:type="dxa" w:w="1425"/>
          </w:tcPr>
          <w:p>
            <w:pPr>
              <w:spacing w:after="0" w:line="240" w:lineRule="auto"/>
              <w:ind w:firstLine="0"/>
              <w:jc w:val="center"/>
            </w:pPr>
            <w:r>
              <w:rPr>
                <w:b w:val="0"/>
                <w:i w:val="0"/>
                <w:sz w:val="20"/>
              </w:rPr>
              <w:t>1 250</w:t>
            </w:r>
          </w:p>
        </w:tc>
        <w:tc>
          <w:tcPr>
            <w:tcW w:type="dxa" w:w="1425"/>
          </w:tcPr>
          <w:p>
            <w:pPr>
              <w:spacing w:after="0" w:line="240" w:lineRule="auto"/>
              <w:ind w:firstLine="0"/>
              <w:jc w:val="center"/>
            </w:pPr>
            <w:r>
              <w:rPr>
                <w:b w:val="0"/>
                <w:i w:val="0"/>
                <w:sz w:val="20"/>
              </w:rPr>
              <w:t>1 150</w:t>
            </w:r>
          </w:p>
        </w:tc>
        <w:tc>
          <w:tcPr>
            <w:tcW w:type="dxa" w:w="1425"/>
          </w:tcPr>
          <w:p>
            <w:pPr>
              <w:spacing w:after="0" w:line="240" w:lineRule="auto"/>
              <w:ind w:firstLine="0"/>
              <w:jc w:val="center"/>
            </w:pPr>
            <w:r>
              <w:rPr>
                <w:b w:val="0"/>
                <w:i w:val="0"/>
                <w:sz w:val="20"/>
              </w:rPr>
              <w:t>1 400</w:t>
            </w:r>
          </w:p>
        </w:tc>
        <w:tc>
          <w:tcPr>
            <w:tcW w:type="dxa" w:w="1425"/>
          </w:tcPr>
          <w:p>
            <w:pPr>
              <w:spacing w:after="0" w:line="240" w:lineRule="auto"/>
              <w:ind w:firstLine="0"/>
              <w:jc w:val="center"/>
            </w:pPr>
            <w:r>
              <w:rPr>
                <w:b w:val="0"/>
                <w:i w:val="0"/>
                <w:sz w:val="20"/>
              </w:rPr>
              <w:t>1 200</w:t>
            </w:r>
          </w:p>
        </w:tc>
      </w:tr>
    </w:tbl>
    <w:p>
      <w:pPr>
        <w:spacing w:after="180"/>
        <w:ind w:firstLine="0"/>
      </w:pPr>
      <w:r>
        <w:rPr>
          <w:i/>
          <w:sz w:val="20"/>
        </w:rPr>
        <w:t>Источник: аналитический центр по данным USGS, корпоративных раскрытий; 2027–2030 гг. — прогноз</w:t>
      </w:r>
    </w:p>
    <w:p>
      <w:pPr>
        <w:keepNext/>
        <w:spacing w:before="160" w:after="60"/>
        <w:ind w:firstLine="0"/>
        <w:jc w:val="left"/>
      </w:pPr>
      <w:r>
        <w:rPr>
          <w:b/>
          <w:sz w:val="22"/>
        </w:rPr>
        <w:t>Рисунок 94. Мировое производство оксида скандия и цена, 2018–2030 гг.</w:t>
      </w:r>
    </w:p>
    <w:p>
      <w:pPr>
        <w:ind w:firstLine="0"/>
        <w:jc w:val="center"/>
      </w:pPr>
      <w:r>
        <w:drawing>
          <wp:inline xmlns:a="http://schemas.openxmlformats.org/drawingml/2006/main" xmlns:pic="http://schemas.openxmlformats.org/drawingml/2006/picture">
            <wp:extent cx="5580000" cy="2723234"/>
            <wp:docPr id="94" name="Picture 94"/>
            <wp:cNvGraphicFramePr>
              <a:graphicFrameLocks noChangeAspect="1"/>
            </wp:cNvGraphicFramePr>
            <a:graphic>
              <a:graphicData uri="http://schemas.openxmlformats.org/drawingml/2006/picture">
                <pic:pic>
                  <pic:nvPicPr>
                    <pic:cNvPr id="0" name="fig94.png"/>
                    <pic:cNvPicPr/>
                  </pic:nvPicPr>
                  <pic:blipFill>
                    <a:blip r:embed="rId104"/>
                    <a:stretch>
                      <a:fillRect/>
                    </a:stretch>
                  </pic:blipFill>
                  <pic:spPr>
                    <a:xfrm>
                      <a:off x="0" y="0"/>
                      <a:ext cx="5580000" cy="2723234"/>
                    </a:xfrm>
                    <a:prstGeom prst="rect"/>
                  </pic:spPr>
                </pic:pic>
              </a:graphicData>
            </a:graphic>
          </wp:inline>
        </w:drawing>
      </w:r>
    </w:p>
    <w:p>
      <w:pPr>
        <w:spacing w:after="180"/>
        <w:ind w:firstLine="0"/>
      </w:pPr>
      <w:r>
        <w:rPr>
          <w:i/>
          <w:sz w:val="20"/>
        </w:rPr>
        <w:t>Источник: аналитический центр (табл. 138)</w:t>
      </w:r>
    </w:p>
    <w:p>
      <w:pPr>
        <w:pStyle w:val="Heading2"/>
      </w:pPr>
      <w:r>
        <w:rPr>
          <w:b w:val="0"/>
          <w:i w:val="0"/>
        </w:rPr>
        <w:t>П8.3. Применение скандия</w:t>
      </w:r>
    </w:p>
    <w:p>
      <w:r>
        <w:rPr>
          <w:b/>
          <w:i w:val="0"/>
        </w:rPr>
        <w:t>Алюминиево-скандиевые сплавы.</w:t>
      </w:r>
      <w:r>
        <w:rPr>
          <w:b w:val="0"/>
          <w:i w:val="0"/>
        </w:rPr>
        <w:t xml:space="preserve"> Основное перспективное направление. Добавка 0,1–0,5% скандия к алюминиевым сплавам обеспечивает измельчение зерна, повышение прочности на 30–50%, улучшение свариваемости и коррозионной стойкости. Применение: авиация и космонавтика, спортивный инвентарь, аддитивные технологии (порошки для 3D-печати — Scalmalloy и аналоги), автомобильные компоненты.</w:t>
      </w:r>
    </w:p>
    <w:p>
      <w:r>
        <w:rPr>
          <w:b w:val="0"/>
          <w:i w:val="0"/>
        </w:rPr>
        <w:t>Ограничением является цена: удорожание тонны алюминиевого сплава при введении 0,2% скандия составляет 2 200–3 000 долл. при базовой цене сплава 2 800–3 500 долл./т, то есть удвоение стоимости. Расширение применения напрямую зависит от снижения цены скандия, которое возможно лишь при кратном росте производства — классическая ситуация «замкнутого круга» малых рынков.</w:t>
      </w:r>
    </w:p>
    <w:p>
      <w:r>
        <w:rPr>
          <w:b/>
          <w:i w:val="0"/>
        </w:rPr>
        <w:t>Твердооксидные топливные элементы (ТОТЭ).</w:t>
      </w:r>
      <w:r>
        <w:rPr>
          <w:b w:val="0"/>
          <w:i w:val="0"/>
        </w:rPr>
        <w:t xml:space="preserve"> Электролит на основе диоксида циркония, стабилизированного оксидом скандия (ScSZ), обладает более высокой ионной проводимостью, чем иттрий-стабилизированный, что позволяет снизить рабочую температуру элемента с 900–1 000 до 700–800 °C. Это направление рассматривается как потенциальный драйвер роста спроса.</w:t>
      </w:r>
    </w:p>
    <w:p>
      <w:r>
        <w:rPr>
          <w:b/>
          <w:i w:val="0"/>
        </w:rPr>
        <w:t>Металлогалогенные лампы.</w:t>
      </w:r>
      <w:r>
        <w:rPr>
          <w:b w:val="0"/>
          <w:i w:val="0"/>
        </w:rPr>
        <w:t xml:space="preserve"> Йодид скандия в составе газоразрядных ламп высокой интенсивности — исторически первое массовое применение, сокращающееся по мере перехода на светодиодную технику.</w:t>
      </w:r>
    </w:p>
    <w:p>
      <w:r>
        <w:rPr>
          <w:b/>
          <w:i w:val="0"/>
        </w:rPr>
        <w:t>Лазерная техника, электроника, аналитика.</w:t>
      </w:r>
      <w:r>
        <w:rPr>
          <w:b w:val="0"/>
          <w:i w:val="0"/>
        </w:rPr>
        <w:t xml:space="preserve"> Нишевые применения.</w:t>
      </w:r>
    </w:p>
    <w:p>
      <w:pPr>
        <w:keepNext/>
        <w:spacing w:before="160" w:after="60"/>
        <w:ind w:firstLine="0"/>
        <w:jc w:val="left"/>
      </w:pPr>
      <w:r>
        <w:rPr>
          <w:b/>
          <w:sz w:val="22"/>
        </w:rPr>
        <w:t>Таблица 139. Структура мирового потребления скандия по направлениям, 2024 и 2030 гг.</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Направление</w:t>
            </w:r>
          </w:p>
        </w:tc>
        <w:tc>
          <w:tcPr>
            <w:tcW w:type="dxa" w:w="1995"/>
            <w:shd w:val="clear" w:fill="DCE6F1"/>
          </w:tcPr>
          <w:p>
            <w:pPr>
              <w:spacing w:after="0" w:line="240" w:lineRule="auto"/>
              <w:ind w:firstLine="0"/>
              <w:jc w:val="center"/>
            </w:pPr>
            <w:r>
              <w:rPr>
                <w:b/>
                <w:i w:val="0"/>
                <w:sz w:val="20"/>
              </w:rPr>
              <w:t>2024, т</w:t>
            </w:r>
          </w:p>
        </w:tc>
        <w:tc>
          <w:tcPr>
            <w:tcW w:type="dxa" w:w="1995"/>
            <w:shd w:val="clear" w:fill="DCE6F1"/>
          </w:tcPr>
          <w:p>
            <w:pPr>
              <w:spacing w:after="0" w:line="240" w:lineRule="auto"/>
              <w:ind w:firstLine="0"/>
              <w:jc w:val="center"/>
            </w:pPr>
            <w:r>
              <w:rPr>
                <w:b/>
                <w:i w:val="0"/>
                <w:sz w:val="20"/>
              </w:rPr>
              <w:t>Доля, %</w:t>
            </w:r>
          </w:p>
        </w:tc>
        <w:tc>
          <w:tcPr>
            <w:tcW w:type="dxa" w:w="1995"/>
            <w:shd w:val="clear" w:fill="DCE6F1"/>
          </w:tcPr>
          <w:p>
            <w:pPr>
              <w:spacing w:after="0" w:line="240" w:lineRule="auto"/>
              <w:ind w:firstLine="0"/>
              <w:jc w:val="center"/>
            </w:pPr>
            <w:r>
              <w:rPr>
                <w:b/>
                <w:i w:val="0"/>
                <w:sz w:val="20"/>
              </w:rPr>
              <w:t>2030 (пр.), т</w:t>
            </w:r>
          </w:p>
        </w:tc>
        <w:tc>
          <w:tcPr>
            <w:tcW w:type="dxa" w:w="1995"/>
            <w:shd w:val="clear" w:fill="DCE6F1"/>
          </w:tcPr>
          <w:p>
            <w:pPr>
              <w:spacing w:after="0" w:line="240" w:lineRule="auto"/>
              <w:ind w:firstLine="0"/>
              <w:jc w:val="center"/>
            </w:pPr>
            <w:r>
              <w:rPr>
                <w:b/>
                <w:i w:val="0"/>
                <w:sz w:val="20"/>
              </w:rPr>
              <w:t>Доля, %</w:t>
            </w:r>
          </w:p>
        </w:tc>
      </w:tr>
      <w:tr>
        <w:tc>
          <w:tcPr>
            <w:tcW w:type="dxa" w:w="1995"/>
          </w:tcPr>
          <w:p>
            <w:pPr>
              <w:spacing w:after="0" w:line="240" w:lineRule="auto"/>
              <w:ind w:firstLine="0"/>
              <w:jc w:val="left"/>
            </w:pPr>
            <w:r>
              <w:rPr>
                <w:b w:val="0"/>
                <w:i w:val="0"/>
                <w:sz w:val="20"/>
              </w:rPr>
              <w:t>Алюминиево-скандиевые сплавы</w:t>
            </w:r>
          </w:p>
        </w:tc>
        <w:tc>
          <w:tcPr>
            <w:tcW w:type="dxa" w:w="1995"/>
          </w:tcPr>
          <w:p>
            <w:pPr>
              <w:spacing w:after="0" w:line="240" w:lineRule="auto"/>
              <w:ind w:firstLine="0"/>
              <w:jc w:val="center"/>
            </w:pPr>
            <w:r>
              <w:rPr>
                <w:b w:val="0"/>
                <w:i w:val="0"/>
                <w:sz w:val="20"/>
              </w:rPr>
              <w:t>16,0</w:t>
            </w:r>
          </w:p>
        </w:tc>
        <w:tc>
          <w:tcPr>
            <w:tcW w:type="dxa" w:w="1995"/>
          </w:tcPr>
          <w:p>
            <w:pPr>
              <w:spacing w:after="0" w:line="240" w:lineRule="auto"/>
              <w:ind w:firstLine="0"/>
              <w:jc w:val="center"/>
            </w:pPr>
            <w:r>
              <w:rPr>
                <w:b w:val="0"/>
                <w:i w:val="0"/>
                <w:sz w:val="20"/>
              </w:rPr>
              <w:t>45,7</w:t>
            </w:r>
          </w:p>
        </w:tc>
        <w:tc>
          <w:tcPr>
            <w:tcW w:type="dxa" w:w="1995"/>
          </w:tcPr>
          <w:p>
            <w:pPr>
              <w:spacing w:after="0" w:line="240" w:lineRule="auto"/>
              <w:ind w:firstLine="0"/>
              <w:jc w:val="center"/>
            </w:pPr>
            <w:r>
              <w:rPr>
                <w:b w:val="0"/>
                <w:i w:val="0"/>
                <w:sz w:val="20"/>
              </w:rPr>
              <w:t>47,0</w:t>
            </w:r>
          </w:p>
        </w:tc>
        <w:tc>
          <w:tcPr>
            <w:tcW w:type="dxa" w:w="1995"/>
          </w:tcPr>
          <w:p>
            <w:pPr>
              <w:spacing w:after="0" w:line="240" w:lineRule="auto"/>
              <w:ind w:firstLine="0"/>
              <w:jc w:val="center"/>
            </w:pPr>
            <w:r>
              <w:rPr>
                <w:b w:val="0"/>
                <w:i w:val="0"/>
                <w:sz w:val="20"/>
              </w:rPr>
              <w:t>55,3</w:t>
            </w:r>
          </w:p>
        </w:tc>
      </w:tr>
      <w:tr>
        <w:tc>
          <w:tcPr>
            <w:tcW w:type="dxa" w:w="1995"/>
          </w:tcPr>
          <w:p>
            <w:pPr>
              <w:spacing w:after="0" w:line="240" w:lineRule="auto"/>
              <w:ind w:firstLine="0"/>
              <w:jc w:val="left"/>
            </w:pPr>
            <w:r>
              <w:rPr>
                <w:b w:val="0"/>
                <w:i w:val="0"/>
                <w:sz w:val="20"/>
              </w:rPr>
              <w:t>Твердооксидные топливные элементы</w:t>
            </w:r>
          </w:p>
        </w:tc>
        <w:tc>
          <w:tcPr>
            <w:tcW w:type="dxa" w:w="1995"/>
          </w:tcPr>
          <w:p>
            <w:pPr>
              <w:spacing w:after="0" w:line="240" w:lineRule="auto"/>
              <w:ind w:firstLine="0"/>
              <w:jc w:val="center"/>
            </w:pPr>
            <w:r>
              <w:rPr>
                <w:b w:val="0"/>
                <w:i w:val="0"/>
                <w:sz w:val="20"/>
              </w:rPr>
              <w:t>8,5</w:t>
            </w:r>
          </w:p>
        </w:tc>
        <w:tc>
          <w:tcPr>
            <w:tcW w:type="dxa" w:w="1995"/>
          </w:tcPr>
          <w:p>
            <w:pPr>
              <w:spacing w:after="0" w:line="240" w:lineRule="auto"/>
              <w:ind w:firstLine="0"/>
              <w:jc w:val="center"/>
            </w:pPr>
            <w:r>
              <w:rPr>
                <w:b w:val="0"/>
                <w:i w:val="0"/>
                <w:sz w:val="20"/>
              </w:rPr>
              <w:t>24,3</w:t>
            </w:r>
          </w:p>
        </w:tc>
        <w:tc>
          <w:tcPr>
            <w:tcW w:type="dxa" w:w="1995"/>
          </w:tcPr>
          <w:p>
            <w:pPr>
              <w:spacing w:after="0" w:line="240" w:lineRule="auto"/>
              <w:ind w:firstLine="0"/>
              <w:jc w:val="center"/>
            </w:pPr>
            <w:r>
              <w:rPr>
                <w:b w:val="0"/>
                <w:i w:val="0"/>
                <w:sz w:val="20"/>
              </w:rPr>
              <w:t>24,0</w:t>
            </w:r>
          </w:p>
        </w:tc>
        <w:tc>
          <w:tcPr>
            <w:tcW w:type="dxa" w:w="1995"/>
          </w:tcPr>
          <w:p>
            <w:pPr>
              <w:spacing w:after="0" w:line="240" w:lineRule="auto"/>
              <w:ind w:firstLine="0"/>
              <w:jc w:val="center"/>
            </w:pPr>
            <w:r>
              <w:rPr>
                <w:b w:val="0"/>
                <w:i w:val="0"/>
                <w:sz w:val="20"/>
              </w:rPr>
              <w:t>28,2</w:t>
            </w:r>
          </w:p>
        </w:tc>
      </w:tr>
      <w:tr>
        <w:tc>
          <w:tcPr>
            <w:tcW w:type="dxa" w:w="1995"/>
          </w:tcPr>
          <w:p>
            <w:pPr>
              <w:spacing w:after="0" w:line="240" w:lineRule="auto"/>
              <w:ind w:firstLine="0"/>
              <w:jc w:val="left"/>
            </w:pPr>
            <w:r>
              <w:rPr>
                <w:b w:val="0"/>
                <w:i w:val="0"/>
                <w:sz w:val="20"/>
              </w:rPr>
              <w:t>Металлогалогенные лампы</w:t>
            </w:r>
          </w:p>
        </w:tc>
        <w:tc>
          <w:tcPr>
            <w:tcW w:type="dxa" w:w="1995"/>
          </w:tcPr>
          <w:p>
            <w:pPr>
              <w:spacing w:after="0" w:line="240" w:lineRule="auto"/>
              <w:ind w:firstLine="0"/>
              <w:jc w:val="center"/>
            </w:pPr>
            <w:r>
              <w:rPr>
                <w:b w:val="0"/>
                <w:i w:val="0"/>
                <w:sz w:val="20"/>
              </w:rPr>
              <w:t>5,0</w:t>
            </w:r>
          </w:p>
        </w:tc>
        <w:tc>
          <w:tcPr>
            <w:tcW w:type="dxa" w:w="1995"/>
          </w:tcPr>
          <w:p>
            <w:pPr>
              <w:spacing w:after="0" w:line="240" w:lineRule="auto"/>
              <w:ind w:firstLine="0"/>
              <w:jc w:val="center"/>
            </w:pPr>
            <w:r>
              <w:rPr>
                <w:b w:val="0"/>
                <w:i w:val="0"/>
                <w:sz w:val="20"/>
              </w:rPr>
              <w:t>14,3</w:t>
            </w:r>
          </w:p>
        </w:tc>
        <w:tc>
          <w:tcPr>
            <w:tcW w:type="dxa" w:w="1995"/>
          </w:tcPr>
          <w:p>
            <w:pPr>
              <w:spacing w:after="0" w:line="240" w:lineRule="auto"/>
              <w:ind w:firstLine="0"/>
              <w:jc w:val="center"/>
            </w:pPr>
            <w:r>
              <w:rPr>
                <w:b w:val="0"/>
                <w:i w:val="0"/>
                <w:sz w:val="20"/>
              </w:rPr>
              <w:t>3,0</w:t>
            </w:r>
          </w:p>
        </w:tc>
        <w:tc>
          <w:tcPr>
            <w:tcW w:type="dxa" w:w="1995"/>
          </w:tcPr>
          <w:p>
            <w:pPr>
              <w:spacing w:after="0" w:line="240" w:lineRule="auto"/>
              <w:ind w:firstLine="0"/>
              <w:jc w:val="center"/>
            </w:pPr>
            <w:r>
              <w:rPr>
                <w:b w:val="0"/>
                <w:i w:val="0"/>
                <w:sz w:val="20"/>
              </w:rPr>
              <w:t>3,5</w:t>
            </w:r>
          </w:p>
        </w:tc>
      </w:tr>
      <w:tr>
        <w:tc>
          <w:tcPr>
            <w:tcW w:type="dxa" w:w="1995"/>
          </w:tcPr>
          <w:p>
            <w:pPr>
              <w:spacing w:after="0" w:line="240" w:lineRule="auto"/>
              <w:ind w:firstLine="0"/>
              <w:jc w:val="left"/>
            </w:pPr>
            <w:r>
              <w:rPr>
                <w:b w:val="0"/>
                <w:i w:val="0"/>
                <w:sz w:val="20"/>
              </w:rPr>
              <w:t>Керамика и покрытия</w:t>
            </w:r>
          </w:p>
        </w:tc>
        <w:tc>
          <w:tcPr>
            <w:tcW w:type="dxa" w:w="1995"/>
          </w:tcPr>
          <w:p>
            <w:pPr>
              <w:spacing w:after="0" w:line="240" w:lineRule="auto"/>
              <w:ind w:firstLine="0"/>
              <w:jc w:val="center"/>
            </w:pPr>
            <w:r>
              <w:rPr>
                <w:b w:val="0"/>
                <w:i w:val="0"/>
                <w:sz w:val="20"/>
              </w:rPr>
              <w:t>2,8</w:t>
            </w:r>
          </w:p>
        </w:tc>
        <w:tc>
          <w:tcPr>
            <w:tcW w:type="dxa" w:w="1995"/>
          </w:tcPr>
          <w:p>
            <w:pPr>
              <w:spacing w:after="0" w:line="240" w:lineRule="auto"/>
              <w:ind w:firstLine="0"/>
              <w:jc w:val="center"/>
            </w:pPr>
            <w:r>
              <w:rPr>
                <w:b w:val="0"/>
                <w:i w:val="0"/>
                <w:sz w:val="20"/>
              </w:rPr>
              <w:t>8,0</w:t>
            </w:r>
          </w:p>
        </w:tc>
        <w:tc>
          <w:tcPr>
            <w:tcW w:type="dxa" w:w="1995"/>
          </w:tcPr>
          <w:p>
            <w:pPr>
              <w:spacing w:after="0" w:line="240" w:lineRule="auto"/>
              <w:ind w:firstLine="0"/>
              <w:jc w:val="center"/>
            </w:pPr>
            <w:r>
              <w:rPr>
                <w:b w:val="0"/>
                <w:i w:val="0"/>
                <w:sz w:val="20"/>
              </w:rPr>
              <w:t>6,0</w:t>
            </w:r>
          </w:p>
        </w:tc>
        <w:tc>
          <w:tcPr>
            <w:tcW w:type="dxa" w:w="1995"/>
          </w:tcPr>
          <w:p>
            <w:pPr>
              <w:spacing w:after="0" w:line="240" w:lineRule="auto"/>
              <w:ind w:firstLine="0"/>
              <w:jc w:val="center"/>
            </w:pPr>
            <w:r>
              <w:rPr>
                <w:b w:val="0"/>
                <w:i w:val="0"/>
                <w:sz w:val="20"/>
              </w:rPr>
              <w:t>7,1</w:t>
            </w:r>
          </w:p>
        </w:tc>
      </w:tr>
      <w:tr>
        <w:tc>
          <w:tcPr>
            <w:tcW w:type="dxa" w:w="1995"/>
          </w:tcPr>
          <w:p>
            <w:pPr>
              <w:spacing w:after="0" w:line="240" w:lineRule="auto"/>
              <w:ind w:firstLine="0"/>
              <w:jc w:val="left"/>
            </w:pPr>
            <w:r>
              <w:rPr>
                <w:b w:val="0"/>
                <w:i w:val="0"/>
                <w:sz w:val="20"/>
              </w:rPr>
              <w:t>Лазерные и оптические материалы</w:t>
            </w:r>
          </w:p>
        </w:tc>
        <w:tc>
          <w:tcPr>
            <w:tcW w:type="dxa" w:w="1995"/>
          </w:tcPr>
          <w:p>
            <w:pPr>
              <w:spacing w:after="0" w:line="240" w:lineRule="auto"/>
              <w:ind w:firstLine="0"/>
              <w:jc w:val="center"/>
            </w:pPr>
            <w:r>
              <w:rPr>
                <w:b w:val="0"/>
                <w:i w:val="0"/>
                <w:sz w:val="20"/>
              </w:rPr>
              <w:t>1,5</w:t>
            </w:r>
          </w:p>
        </w:tc>
        <w:tc>
          <w:tcPr>
            <w:tcW w:type="dxa" w:w="1995"/>
          </w:tcPr>
          <w:p>
            <w:pPr>
              <w:spacing w:after="0" w:line="240" w:lineRule="auto"/>
              <w:ind w:firstLine="0"/>
              <w:jc w:val="center"/>
            </w:pPr>
            <w:r>
              <w:rPr>
                <w:b w:val="0"/>
                <w:i w:val="0"/>
                <w:sz w:val="20"/>
              </w:rPr>
              <w:t>4,3</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2,9</w:t>
            </w:r>
          </w:p>
        </w:tc>
      </w:tr>
      <w:tr>
        <w:tc>
          <w:tcPr>
            <w:tcW w:type="dxa" w:w="1995"/>
          </w:tcPr>
          <w:p>
            <w:pPr>
              <w:spacing w:after="0" w:line="240" w:lineRule="auto"/>
              <w:ind w:firstLine="0"/>
              <w:jc w:val="left"/>
            </w:pPr>
            <w:r>
              <w:rPr>
                <w:b w:val="0"/>
                <w:i w:val="0"/>
                <w:sz w:val="20"/>
              </w:rPr>
              <w:t>Аналитика и прочее</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3,4</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2,9</w:t>
            </w:r>
          </w:p>
        </w:tc>
      </w:tr>
      <w:tr>
        <w:tc>
          <w:tcPr>
            <w:tcW w:type="dxa" w:w="1995"/>
          </w:tcPr>
          <w:p>
            <w:pPr>
              <w:spacing w:after="0" w:line="240" w:lineRule="auto"/>
              <w:ind w:firstLine="0"/>
              <w:jc w:val="left"/>
            </w:pPr>
            <w:r>
              <w:rPr>
                <w:b/>
                <w:i w:val="0"/>
                <w:sz w:val="20"/>
              </w:rPr>
              <w:t>Всего</w:t>
            </w:r>
          </w:p>
        </w:tc>
        <w:tc>
          <w:tcPr>
            <w:tcW w:type="dxa" w:w="1995"/>
          </w:tcPr>
          <w:p>
            <w:pPr>
              <w:spacing w:after="0" w:line="240" w:lineRule="auto"/>
              <w:ind w:firstLine="0"/>
              <w:jc w:val="center"/>
            </w:pPr>
            <w:r>
              <w:rPr>
                <w:b/>
                <w:i w:val="0"/>
                <w:sz w:val="20"/>
              </w:rPr>
              <w:t>35,0</w:t>
            </w:r>
          </w:p>
        </w:tc>
        <w:tc>
          <w:tcPr>
            <w:tcW w:type="dxa" w:w="1995"/>
          </w:tcPr>
          <w:p>
            <w:pPr>
              <w:spacing w:after="0" w:line="240" w:lineRule="auto"/>
              <w:ind w:firstLine="0"/>
              <w:jc w:val="center"/>
            </w:pPr>
            <w:r>
              <w:rPr>
                <w:b/>
                <w:i w:val="0"/>
                <w:sz w:val="20"/>
              </w:rPr>
              <w:t>100,0</w:t>
            </w:r>
          </w:p>
        </w:tc>
        <w:tc>
          <w:tcPr>
            <w:tcW w:type="dxa" w:w="1995"/>
          </w:tcPr>
          <w:p>
            <w:pPr>
              <w:spacing w:after="0" w:line="240" w:lineRule="auto"/>
              <w:ind w:firstLine="0"/>
              <w:jc w:val="center"/>
            </w:pPr>
            <w:r>
              <w:rPr>
                <w:b/>
                <w:i w:val="0"/>
                <w:sz w:val="20"/>
              </w:rPr>
              <w:t>85,0</w:t>
            </w:r>
          </w:p>
        </w:tc>
        <w:tc>
          <w:tcPr>
            <w:tcW w:type="dxa" w:w="1995"/>
          </w:tcPr>
          <w:p>
            <w:pPr>
              <w:spacing w:after="0" w:line="240" w:lineRule="auto"/>
              <w:ind w:firstLine="0"/>
              <w:jc w:val="center"/>
            </w:pPr>
            <w:r>
              <w:rPr>
                <w:b/>
                <w:i w:val="0"/>
                <w:sz w:val="20"/>
              </w:rPr>
              <w:t>100,0</w:t>
            </w:r>
          </w:p>
        </w:tc>
      </w:tr>
    </w:tbl>
    <w:p>
      <w:pPr>
        <w:spacing w:after="180"/>
        <w:ind w:firstLine="0"/>
      </w:pPr>
      <w:r>
        <w:rPr>
          <w:i/>
          <w:sz w:val="20"/>
        </w:rPr>
        <w:t>Источник: аналитический центр</w:t>
      </w:r>
    </w:p>
    <w:p>
      <w:pPr>
        <w:keepNext/>
        <w:spacing w:before="160" w:after="60"/>
        <w:ind w:firstLine="0"/>
        <w:jc w:val="left"/>
      </w:pPr>
      <w:r>
        <w:rPr>
          <w:b/>
          <w:sz w:val="22"/>
        </w:rPr>
        <w:t>Рисунок 95. Структура мирового потребления скандия по направлениям, 2024 и 2030 гг., т Sc₂O₃</w:t>
      </w:r>
    </w:p>
    <w:p>
      <w:pPr>
        <w:ind w:firstLine="0"/>
        <w:jc w:val="center"/>
      </w:pPr>
      <w:r>
        <w:drawing>
          <wp:inline xmlns:a="http://schemas.openxmlformats.org/drawingml/2006/main" xmlns:pic="http://schemas.openxmlformats.org/drawingml/2006/picture">
            <wp:extent cx="5580000" cy="2519087"/>
            <wp:docPr id="95" name="Picture 95"/>
            <wp:cNvGraphicFramePr>
              <a:graphicFrameLocks noChangeAspect="1"/>
            </wp:cNvGraphicFramePr>
            <a:graphic>
              <a:graphicData uri="http://schemas.openxmlformats.org/drawingml/2006/picture">
                <pic:pic>
                  <pic:nvPicPr>
                    <pic:cNvPr id="0" name="fig95.png"/>
                    <pic:cNvPicPr/>
                  </pic:nvPicPr>
                  <pic:blipFill>
                    <a:blip r:embed="rId105"/>
                    <a:stretch>
                      <a:fillRect/>
                    </a:stretch>
                  </pic:blipFill>
                  <pic:spPr>
                    <a:xfrm>
                      <a:off x="0" y="0"/>
                      <a:ext cx="5580000" cy="2519087"/>
                    </a:xfrm>
                    <a:prstGeom prst="rect"/>
                  </pic:spPr>
                </pic:pic>
              </a:graphicData>
            </a:graphic>
          </wp:inline>
        </w:drawing>
      </w:r>
    </w:p>
    <w:p>
      <w:pPr>
        <w:spacing w:after="180"/>
        <w:ind w:firstLine="0"/>
      </w:pPr>
      <w:r>
        <w:rPr>
          <w:i/>
          <w:sz w:val="20"/>
        </w:rPr>
        <w:t>Источник: аналитический центр (табл. 139)</w:t>
      </w:r>
    </w:p>
    <w:p>
      <w:pPr>
        <w:pStyle w:val="Heading2"/>
      </w:pPr>
      <w:r>
        <w:rPr>
          <w:b w:val="0"/>
          <w:i w:val="0"/>
        </w:rPr>
        <w:t>П8.4. Позиции России на скандиевом рынке</w:t>
      </w:r>
    </w:p>
    <w:p>
      <w:r>
        <w:rPr>
          <w:b w:val="0"/>
          <w:i w:val="0"/>
        </w:rPr>
        <w:t>Скандиевое направление представляет для Российской Федерации особый интерес по совокупности причин:</w:t>
      </w:r>
    </w:p>
    <w:p>
      <w:pPr>
        <w:pStyle w:val="ListBullet"/>
        <w:spacing w:after="20"/>
        <w:ind w:firstLine="0"/>
      </w:pPr>
      <w:r>
        <w:rPr>
          <w:b/>
          <w:i w:val="0"/>
        </w:rPr>
        <w:t>благоприятная ресурсная позиция:</w:t>
      </w:r>
      <w:r>
        <w:rPr>
          <w:b w:val="0"/>
          <w:i w:val="0"/>
        </w:rPr>
        <w:t xml:space="preserve"> крупнейшие в мире накопленные объёмы красных шламов (свыше 600 млн т на площадках глинозёмных производств) и действующие уранодобывающие предприятия с попутным извлечением;</w:t>
      </w:r>
    </w:p>
    <w:p>
      <w:pPr>
        <w:pStyle w:val="ListBullet"/>
        <w:spacing w:after="20"/>
        <w:ind w:firstLine="0"/>
      </w:pPr>
      <w:r>
        <w:rPr>
          <w:b/>
          <w:i w:val="0"/>
        </w:rPr>
        <w:t>наличие технологий:</w:t>
      </w:r>
      <w:r>
        <w:rPr>
          <w:b w:val="0"/>
          <w:i w:val="0"/>
        </w:rPr>
        <w:t xml:space="preserve"> отечественные сорбционные схемы извлечения скандия из продуктивных растворов доведены до промышленного уровня;</w:t>
      </w:r>
    </w:p>
    <w:p>
      <w:pPr>
        <w:pStyle w:val="ListBullet"/>
        <w:spacing w:after="20"/>
        <w:ind w:firstLine="0"/>
      </w:pPr>
      <w:r>
        <w:rPr>
          <w:b/>
          <w:i w:val="0"/>
        </w:rPr>
        <w:t>малый масштаб инвестиций:</w:t>
      </w:r>
      <w:r>
        <w:rPr>
          <w:b w:val="0"/>
          <w:i w:val="0"/>
        </w:rPr>
        <w:t xml:space="preserve"> производство 10 т Sc₂O₃ в год требует капитальных затрат порядка 1,5–3 млрд руб. — на два порядка меньше, чем редкоземельные проекты;</w:t>
      </w:r>
    </w:p>
    <w:p>
      <w:pPr>
        <w:pStyle w:val="ListBullet"/>
        <w:spacing w:after="20"/>
        <w:ind w:firstLine="0"/>
      </w:pPr>
      <w:r>
        <w:rPr>
          <w:b/>
          <w:i w:val="0"/>
        </w:rPr>
        <w:t>наличие внутреннего потребителя:</w:t>
      </w:r>
      <w:r>
        <w:rPr>
          <w:b w:val="0"/>
          <w:i w:val="0"/>
        </w:rPr>
        <w:t xml:space="preserve"> ОК «РУСАЛ» является одновременно источником сырья и потребителем алюминиево-скандиевых сплавов, что обеспечивает замкнутость цепочки;</w:t>
      </w:r>
    </w:p>
    <w:p>
      <w:pPr>
        <w:pStyle w:val="ListBullet"/>
        <w:spacing w:after="20"/>
        <w:ind w:firstLine="0"/>
      </w:pPr>
      <w:r>
        <w:rPr>
          <w:b/>
          <w:i w:val="0"/>
        </w:rPr>
        <w:t>отсутствие проблемы корзины:</w:t>
      </w:r>
      <w:r>
        <w:rPr>
          <w:b w:val="0"/>
          <w:i w:val="0"/>
        </w:rPr>
        <w:t xml:space="preserve"> скандий извлекается индивидуально, вопрос сбыта сопутствующих элементов не возникает.</w:t>
      </w:r>
    </w:p>
    <w:p>
      <w:r>
        <w:rPr>
          <w:b w:val="0"/>
          <w:i w:val="0"/>
        </w:rPr>
        <w:t>Ограничением является узость мирового рынка: выход России на производство 20–25 т Sc₂O₃ означает контроль над половиной мирового предложения, что при существующем уровне спроса приведёт к падению цен. Развитие направления, таким образом, требует параллельного формирования спроса — прежде всего через расширение применения алюминиево-скандиевых сплавов в отечественном авиастроении, судостроении и аддитивных технологиях.</w:t>
      </w:r>
    </w:p>
    <w:p>
      <w:pPr>
        <w:keepNext/>
        <w:spacing w:before="160" w:after="60"/>
        <w:ind w:firstLine="0"/>
        <w:jc w:val="left"/>
      </w:pPr>
      <w:r>
        <w:rPr>
          <w:b/>
          <w:sz w:val="22"/>
        </w:rPr>
        <w:t>Таблица 140. Оценка потенциала российского скандиевого направления</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Источник / проект</w:t>
            </w:r>
          </w:p>
        </w:tc>
        <w:tc>
          <w:tcPr>
            <w:tcW w:type="dxa" w:w="2493"/>
            <w:shd w:val="clear" w:fill="DCE6F1"/>
          </w:tcPr>
          <w:p>
            <w:pPr>
              <w:spacing w:after="0" w:line="240" w:lineRule="auto"/>
              <w:ind w:firstLine="0"/>
              <w:jc w:val="center"/>
            </w:pPr>
            <w:r>
              <w:rPr>
                <w:b/>
                <w:i w:val="0"/>
                <w:sz w:val="20"/>
              </w:rPr>
              <w:t>Потенциал, т Sc₂O₃/год</w:t>
            </w:r>
          </w:p>
        </w:tc>
        <w:tc>
          <w:tcPr>
            <w:tcW w:type="dxa" w:w="2493"/>
            <w:shd w:val="clear" w:fill="DCE6F1"/>
          </w:tcPr>
          <w:p>
            <w:pPr>
              <w:spacing w:after="0" w:line="240" w:lineRule="auto"/>
              <w:ind w:firstLine="0"/>
              <w:jc w:val="center"/>
            </w:pPr>
            <w:r>
              <w:rPr>
                <w:b/>
                <w:i w:val="0"/>
                <w:sz w:val="20"/>
              </w:rPr>
              <w:t>Срок</w:t>
            </w:r>
          </w:p>
        </w:tc>
        <w:tc>
          <w:tcPr>
            <w:tcW w:type="dxa" w:w="2493"/>
            <w:shd w:val="clear" w:fill="DCE6F1"/>
          </w:tcPr>
          <w:p>
            <w:pPr>
              <w:spacing w:after="0" w:line="240" w:lineRule="auto"/>
              <w:ind w:firstLine="0"/>
              <w:jc w:val="center"/>
            </w:pPr>
            <w:r>
              <w:rPr>
                <w:b/>
                <w:i w:val="0"/>
                <w:sz w:val="20"/>
              </w:rPr>
              <w:t>Состояние</w:t>
            </w:r>
          </w:p>
        </w:tc>
      </w:tr>
      <w:tr>
        <w:tc>
          <w:tcPr>
            <w:tcW w:type="dxa" w:w="2493"/>
          </w:tcPr>
          <w:p>
            <w:pPr>
              <w:spacing w:after="0" w:line="240" w:lineRule="auto"/>
              <w:ind w:firstLine="0"/>
              <w:jc w:val="left"/>
            </w:pPr>
            <w:r>
              <w:rPr>
                <w:b w:val="0"/>
                <w:i w:val="0"/>
                <w:sz w:val="20"/>
              </w:rPr>
              <w:t>АО «Далур» (растворы ПСВ)</w:t>
            </w:r>
          </w:p>
        </w:tc>
        <w:tc>
          <w:tcPr>
            <w:tcW w:type="dxa" w:w="2493"/>
          </w:tcPr>
          <w:p>
            <w:pPr>
              <w:spacing w:after="0" w:line="240" w:lineRule="auto"/>
              <w:ind w:firstLine="0"/>
              <w:jc w:val="center"/>
            </w:pPr>
            <w:r>
              <w:rPr>
                <w:b w:val="0"/>
                <w:i w:val="0"/>
                <w:sz w:val="20"/>
              </w:rPr>
              <w:t>5–10</w:t>
            </w:r>
          </w:p>
        </w:tc>
        <w:tc>
          <w:tcPr>
            <w:tcW w:type="dxa" w:w="2493"/>
          </w:tcPr>
          <w:p>
            <w:pPr>
              <w:spacing w:after="0" w:line="240" w:lineRule="auto"/>
              <w:ind w:firstLine="0"/>
              <w:jc w:val="center"/>
            </w:pPr>
            <w:r>
              <w:rPr>
                <w:b w:val="0"/>
                <w:i w:val="0"/>
                <w:sz w:val="20"/>
              </w:rPr>
              <w:t>действует/расширение</w:t>
            </w:r>
          </w:p>
        </w:tc>
        <w:tc>
          <w:tcPr>
            <w:tcW w:type="dxa" w:w="2493"/>
          </w:tcPr>
          <w:p>
            <w:pPr>
              <w:spacing w:after="0" w:line="240" w:lineRule="auto"/>
              <w:ind w:firstLine="0"/>
              <w:jc w:val="center"/>
            </w:pPr>
            <w:r>
              <w:rPr>
                <w:b w:val="0"/>
                <w:i w:val="0"/>
                <w:sz w:val="20"/>
              </w:rPr>
              <w:t>опытно-промышленное</w:t>
            </w:r>
          </w:p>
        </w:tc>
      </w:tr>
      <w:tr>
        <w:tc>
          <w:tcPr>
            <w:tcW w:type="dxa" w:w="2493"/>
          </w:tcPr>
          <w:p>
            <w:pPr>
              <w:spacing w:after="0" w:line="240" w:lineRule="auto"/>
              <w:ind w:firstLine="0"/>
              <w:jc w:val="left"/>
            </w:pPr>
            <w:r>
              <w:rPr>
                <w:b w:val="0"/>
                <w:i w:val="0"/>
                <w:sz w:val="20"/>
              </w:rPr>
              <w:t>АО «Хиагда» (растворы ПСВ)</w:t>
            </w:r>
          </w:p>
        </w:tc>
        <w:tc>
          <w:tcPr>
            <w:tcW w:type="dxa" w:w="2493"/>
          </w:tcPr>
          <w:p>
            <w:pPr>
              <w:spacing w:after="0" w:line="240" w:lineRule="auto"/>
              <w:ind w:firstLine="0"/>
              <w:jc w:val="center"/>
            </w:pPr>
            <w:r>
              <w:rPr>
                <w:b w:val="0"/>
                <w:i w:val="0"/>
                <w:sz w:val="20"/>
              </w:rPr>
              <w:t>2–4</w:t>
            </w:r>
          </w:p>
        </w:tc>
        <w:tc>
          <w:tcPr>
            <w:tcW w:type="dxa" w:w="2493"/>
          </w:tcPr>
          <w:p>
            <w:pPr>
              <w:spacing w:after="0" w:line="240" w:lineRule="auto"/>
              <w:ind w:firstLine="0"/>
              <w:jc w:val="center"/>
            </w:pPr>
            <w:r>
              <w:rPr>
                <w:b w:val="0"/>
                <w:i w:val="0"/>
                <w:sz w:val="20"/>
              </w:rPr>
              <w:t>2027–2029</w:t>
            </w:r>
          </w:p>
        </w:tc>
        <w:tc>
          <w:tcPr>
            <w:tcW w:type="dxa" w:w="2493"/>
          </w:tcPr>
          <w:p>
            <w:pPr>
              <w:spacing w:after="0" w:line="240" w:lineRule="auto"/>
              <w:ind w:firstLine="0"/>
              <w:jc w:val="center"/>
            </w:pPr>
            <w:r>
              <w:rPr>
                <w:b w:val="0"/>
                <w:i w:val="0"/>
                <w:sz w:val="20"/>
              </w:rPr>
              <w:t>опытное</w:t>
            </w:r>
          </w:p>
        </w:tc>
      </w:tr>
      <w:tr>
        <w:tc>
          <w:tcPr>
            <w:tcW w:type="dxa" w:w="2493"/>
          </w:tcPr>
          <w:p>
            <w:pPr>
              <w:spacing w:after="0" w:line="240" w:lineRule="auto"/>
              <w:ind w:firstLine="0"/>
              <w:jc w:val="left"/>
            </w:pPr>
            <w:r>
              <w:rPr>
                <w:b w:val="0"/>
                <w:i w:val="0"/>
                <w:sz w:val="20"/>
              </w:rPr>
              <w:t>ОК «РУСАЛ» (красные шламы)</w:t>
            </w:r>
          </w:p>
        </w:tc>
        <w:tc>
          <w:tcPr>
            <w:tcW w:type="dxa" w:w="2493"/>
          </w:tcPr>
          <w:p>
            <w:pPr>
              <w:spacing w:after="0" w:line="240" w:lineRule="auto"/>
              <w:ind w:firstLine="0"/>
              <w:jc w:val="center"/>
            </w:pPr>
            <w:r>
              <w:rPr>
                <w:b w:val="0"/>
                <w:i w:val="0"/>
                <w:sz w:val="20"/>
              </w:rPr>
              <w:t>8–12</w:t>
            </w:r>
          </w:p>
        </w:tc>
        <w:tc>
          <w:tcPr>
            <w:tcW w:type="dxa" w:w="2493"/>
          </w:tcPr>
          <w:p>
            <w:pPr>
              <w:spacing w:after="0" w:line="240" w:lineRule="auto"/>
              <w:ind w:firstLine="0"/>
              <w:jc w:val="center"/>
            </w:pPr>
            <w:r>
              <w:rPr>
                <w:b w:val="0"/>
                <w:i w:val="0"/>
                <w:sz w:val="20"/>
              </w:rPr>
              <w:t>2026–2029</w:t>
            </w:r>
          </w:p>
        </w:tc>
        <w:tc>
          <w:tcPr>
            <w:tcW w:type="dxa" w:w="2493"/>
          </w:tcPr>
          <w:p>
            <w:pPr>
              <w:spacing w:after="0" w:line="240" w:lineRule="auto"/>
              <w:ind w:firstLine="0"/>
              <w:jc w:val="center"/>
            </w:pPr>
            <w:r>
              <w:rPr>
                <w:b w:val="0"/>
                <w:i w:val="0"/>
                <w:sz w:val="20"/>
              </w:rPr>
              <w:t>опытно-промышленное</w:t>
            </w:r>
          </w:p>
        </w:tc>
      </w:tr>
      <w:tr>
        <w:tc>
          <w:tcPr>
            <w:tcW w:type="dxa" w:w="2493"/>
          </w:tcPr>
          <w:p>
            <w:pPr>
              <w:spacing w:after="0" w:line="240" w:lineRule="auto"/>
              <w:ind w:firstLine="0"/>
              <w:jc w:val="left"/>
            </w:pPr>
            <w:r>
              <w:rPr>
                <w:b w:val="0"/>
                <w:i w:val="0"/>
                <w:sz w:val="20"/>
              </w:rPr>
              <w:t>Хвосты апатитового производства</w:t>
            </w:r>
          </w:p>
        </w:tc>
        <w:tc>
          <w:tcPr>
            <w:tcW w:type="dxa" w:w="2493"/>
          </w:tcPr>
          <w:p>
            <w:pPr>
              <w:spacing w:after="0" w:line="240" w:lineRule="auto"/>
              <w:ind w:firstLine="0"/>
              <w:jc w:val="center"/>
            </w:pPr>
            <w:r>
              <w:rPr>
                <w:b w:val="0"/>
                <w:i w:val="0"/>
                <w:sz w:val="20"/>
              </w:rPr>
              <w:t>2–5</w:t>
            </w:r>
          </w:p>
        </w:tc>
        <w:tc>
          <w:tcPr>
            <w:tcW w:type="dxa" w:w="2493"/>
          </w:tcPr>
          <w:p>
            <w:pPr>
              <w:spacing w:after="0" w:line="240" w:lineRule="auto"/>
              <w:ind w:firstLine="0"/>
              <w:jc w:val="center"/>
            </w:pPr>
            <w:r>
              <w:rPr>
                <w:b w:val="0"/>
                <w:i w:val="0"/>
                <w:sz w:val="20"/>
              </w:rPr>
              <w:t>после 2030</w:t>
            </w:r>
          </w:p>
        </w:tc>
        <w:tc>
          <w:tcPr>
            <w:tcW w:type="dxa" w:w="2493"/>
          </w:tcPr>
          <w:p>
            <w:pPr>
              <w:spacing w:after="0" w:line="240" w:lineRule="auto"/>
              <w:ind w:firstLine="0"/>
              <w:jc w:val="center"/>
            </w:pPr>
            <w:r>
              <w:rPr>
                <w:b w:val="0"/>
                <w:i w:val="0"/>
                <w:sz w:val="20"/>
              </w:rPr>
              <w:t>НИОКР</w:t>
            </w:r>
          </w:p>
        </w:tc>
      </w:tr>
      <w:tr>
        <w:tc>
          <w:tcPr>
            <w:tcW w:type="dxa" w:w="2493"/>
          </w:tcPr>
          <w:p>
            <w:pPr>
              <w:spacing w:after="0" w:line="240" w:lineRule="auto"/>
              <w:ind w:firstLine="0"/>
              <w:jc w:val="left"/>
            </w:pPr>
            <w:r>
              <w:rPr>
                <w:b w:val="0"/>
                <w:i w:val="0"/>
                <w:sz w:val="20"/>
              </w:rPr>
              <w:t>Отходы титанового производства</w:t>
            </w:r>
          </w:p>
        </w:tc>
        <w:tc>
          <w:tcPr>
            <w:tcW w:type="dxa" w:w="2493"/>
          </w:tcPr>
          <w:p>
            <w:pPr>
              <w:spacing w:after="0" w:line="240" w:lineRule="auto"/>
              <w:ind w:firstLine="0"/>
              <w:jc w:val="center"/>
            </w:pPr>
            <w:r>
              <w:rPr>
                <w:b w:val="0"/>
                <w:i w:val="0"/>
                <w:sz w:val="20"/>
              </w:rPr>
              <w:t>1–3</w:t>
            </w:r>
          </w:p>
        </w:tc>
        <w:tc>
          <w:tcPr>
            <w:tcW w:type="dxa" w:w="2493"/>
          </w:tcPr>
          <w:p>
            <w:pPr>
              <w:spacing w:after="0" w:line="240" w:lineRule="auto"/>
              <w:ind w:firstLine="0"/>
              <w:jc w:val="center"/>
            </w:pPr>
            <w:r>
              <w:rPr>
                <w:b w:val="0"/>
                <w:i w:val="0"/>
                <w:sz w:val="20"/>
              </w:rPr>
              <w:t>после 2030</w:t>
            </w:r>
          </w:p>
        </w:tc>
        <w:tc>
          <w:tcPr>
            <w:tcW w:type="dxa" w:w="2493"/>
          </w:tcPr>
          <w:p>
            <w:pPr>
              <w:spacing w:after="0" w:line="240" w:lineRule="auto"/>
              <w:ind w:firstLine="0"/>
              <w:jc w:val="center"/>
            </w:pPr>
            <w:r>
              <w:rPr>
                <w:b w:val="0"/>
                <w:i w:val="0"/>
                <w:sz w:val="20"/>
              </w:rPr>
              <w:t>НИОКР</w:t>
            </w:r>
          </w:p>
        </w:tc>
      </w:tr>
      <w:tr>
        <w:tc>
          <w:tcPr>
            <w:tcW w:type="dxa" w:w="2493"/>
          </w:tcPr>
          <w:p>
            <w:pPr>
              <w:spacing w:after="0" w:line="240" w:lineRule="auto"/>
              <w:ind w:firstLine="0"/>
              <w:jc w:val="left"/>
            </w:pPr>
            <w:r>
              <w:rPr>
                <w:b/>
                <w:i w:val="0"/>
                <w:sz w:val="20"/>
              </w:rPr>
              <w:t>Всего потенциал</w:t>
            </w:r>
          </w:p>
        </w:tc>
        <w:tc>
          <w:tcPr>
            <w:tcW w:type="dxa" w:w="2493"/>
          </w:tcPr>
          <w:p>
            <w:pPr>
              <w:spacing w:after="0" w:line="240" w:lineRule="auto"/>
              <w:ind w:firstLine="0"/>
              <w:jc w:val="center"/>
            </w:pPr>
            <w:r>
              <w:rPr>
                <w:b/>
                <w:i w:val="0"/>
                <w:sz w:val="20"/>
              </w:rPr>
              <w:t>18–34</w:t>
            </w:r>
          </w:p>
        </w:tc>
        <w:tc>
          <w:tcPr>
            <w:tcW w:type="dxa" w:w="2493"/>
          </w:tcPr>
          <w:p>
            <w:pPr>
              <w:spacing w:after="0" w:line="240" w:lineRule="auto"/>
              <w:ind w:firstLine="0"/>
              <w:jc w:val="center"/>
            </w:pPr>
          </w:p>
        </w:tc>
        <w:tc>
          <w:tcPr>
            <w:tcW w:type="dxa" w:w="2493"/>
          </w:tcPr>
          <w:p>
            <w:pPr>
              <w:spacing w:after="0" w:line="240" w:lineRule="auto"/>
              <w:ind w:firstLine="0"/>
              <w:jc w:val="center"/>
            </w:pPr>
          </w:p>
        </w:tc>
      </w:tr>
    </w:tbl>
    <w:p>
      <w:pPr>
        <w:spacing w:after="180"/>
        <w:ind w:firstLine="0"/>
      </w:pPr>
      <w:r>
        <w:rPr>
          <w:i/>
          <w:sz w:val="20"/>
        </w:rPr>
        <w:t>Источник: оценка аналитического центра</w:t>
      </w:r>
    </w:p>
    <w:p>
      <w:r>
        <w:br w:type="page"/>
      </w:r>
    </w:p>
    <w:p>
      <w:pPr>
        <w:pStyle w:val="Heading1"/>
      </w:pPr>
      <w:r>
        <w:rPr>
          <w:b w:val="0"/>
          <w:i w:val="0"/>
        </w:rPr>
        <w:t>Приложение 9. Методика прогнозирования и расчётные модели</w:t>
      </w:r>
    </w:p>
    <w:p>
      <w:pPr>
        <w:pStyle w:val="Heading2"/>
      </w:pPr>
      <w:r>
        <w:rPr>
          <w:b w:val="0"/>
          <w:i w:val="0"/>
        </w:rPr>
        <w:t>П9.1. Модель прогнозирования спроса на постоянные магниты</w:t>
      </w:r>
    </w:p>
    <w:p>
      <w:r>
        <w:rPr>
          <w:b w:val="0"/>
          <w:i w:val="0"/>
        </w:rPr>
        <w:t>Прогноз спроса на редкоземельные магниты, определяющий свыше 80% стоимостной динамики рынка, построен методом «снизу вверх» по формуле:</w:t>
      </w:r>
    </w:p>
    <w:p>
      <w:r>
        <w:rPr>
          <w:b w:val="0"/>
          <w:i w:val="0"/>
        </w:rPr>
        <w:t>Спрос на NdPr в сегменте = Объём выпуска изделий × Удельная масса магнитов на изделие × Массовая доля NdPr в магните × (1 − коэффициент снижения удельного расхода)</w:t>
      </w:r>
    </w:p>
    <w:p>
      <w:r>
        <w:rPr>
          <w:b w:val="0"/>
          <w:i w:val="0"/>
        </w:rPr>
        <w:t>Массовая доля NdPr в спечённом магните принята равной 0,31 (31%) для магнитов классов N и M, 0,295 — для классов H и SH, 0,285 — для UH и EH. Коэффициент снижения удельного расхода отражает совершенствование конструкций электрических машин (оптимизация геометрии магнита, применение схем с концентрацией потока, снижение массы магнита при сохранении характеристик) и принят на уровне 1,2–2,0% в год.</w:t>
      </w:r>
    </w:p>
    <w:p>
      <w:r>
        <w:rPr>
          <w:b w:val="0"/>
          <w:i w:val="0"/>
        </w:rPr>
        <w:t>Для диспрозия и тербия применена отдельная модель, учитывающая распределение выпуска магнитов по температурным классам и траекторию снижения удельного расхода за счёт технологии зернограничной диффузии (рисунок 30).</w:t>
      </w:r>
    </w:p>
    <w:p>
      <w:pPr>
        <w:keepNext/>
        <w:spacing w:before="160" w:after="60"/>
        <w:ind w:firstLine="0"/>
        <w:jc w:val="left"/>
      </w:pPr>
      <w:r>
        <w:rPr>
          <w:b/>
          <w:sz w:val="22"/>
        </w:rPr>
        <w:t>Таблица 141. Параметры модели прогнозирования спроса на редкоземельные магниты</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Параметр</w:t>
            </w:r>
          </w:p>
        </w:tc>
        <w:tc>
          <w:tcPr>
            <w:tcW w:type="dxa" w:w="2493"/>
            <w:shd w:val="clear" w:fill="DCE6F1"/>
          </w:tcPr>
          <w:p>
            <w:pPr>
              <w:spacing w:after="0" w:line="240" w:lineRule="auto"/>
              <w:ind w:firstLine="0"/>
              <w:jc w:val="center"/>
            </w:pPr>
            <w:r>
              <w:rPr>
                <w:b/>
                <w:i w:val="0"/>
                <w:sz w:val="20"/>
              </w:rPr>
              <w:t>Значение 2024</w:t>
            </w:r>
          </w:p>
        </w:tc>
        <w:tc>
          <w:tcPr>
            <w:tcW w:type="dxa" w:w="2493"/>
            <w:shd w:val="clear" w:fill="DCE6F1"/>
          </w:tcPr>
          <w:p>
            <w:pPr>
              <w:spacing w:after="0" w:line="240" w:lineRule="auto"/>
              <w:ind w:firstLine="0"/>
              <w:jc w:val="center"/>
            </w:pPr>
            <w:r>
              <w:rPr>
                <w:b/>
                <w:i w:val="0"/>
                <w:sz w:val="20"/>
              </w:rPr>
              <w:t>Значение 2030 (пр.)</w:t>
            </w:r>
          </w:p>
        </w:tc>
        <w:tc>
          <w:tcPr>
            <w:tcW w:type="dxa" w:w="2493"/>
            <w:shd w:val="clear" w:fill="DCE6F1"/>
          </w:tcPr>
          <w:p>
            <w:pPr>
              <w:spacing w:after="0" w:line="240" w:lineRule="auto"/>
              <w:ind w:firstLine="0"/>
              <w:jc w:val="center"/>
            </w:pPr>
            <w:r>
              <w:rPr>
                <w:b/>
                <w:i w:val="0"/>
                <w:sz w:val="20"/>
              </w:rPr>
              <w:t>Источник допущения</w:t>
            </w:r>
          </w:p>
        </w:tc>
      </w:tr>
      <w:tr>
        <w:tc>
          <w:tcPr>
            <w:tcW w:type="dxa" w:w="2493"/>
          </w:tcPr>
          <w:p>
            <w:pPr>
              <w:spacing w:after="0" w:line="240" w:lineRule="auto"/>
              <w:ind w:firstLine="0"/>
              <w:jc w:val="left"/>
            </w:pPr>
            <w:r>
              <w:rPr>
                <w:b w:val="0"/>
                <w:i w:val="0"/>
                <w:sz w:val="20"/>
              </w:rPr>
              <w:t>Массовая доля NdPr в магните, %</w:t>
            </w:r>
          </w:p>
        </w:tc>
        <w:tc>
          <w:tcPr>
            <w:tcW w:type="dxa" w:w="2493"/>
          </w:tcPr>
          <w:p>
            <w:pPr>
              <w:spacing w:after="0" w:line="240" w:lineRule="auto"/>
              <w:ind w:firstLine="0"/>
              <w:jc w:val="center"/>
            </w:pPr>
            <w:r>
              <w:rPr>
                <w:b w:val="0"/>
                <w:i w:val="0"/>
                <w:sz w:val="20"/>
              </w:rPr>
              <w:t>30,0</w:t>
            </w:r>
          </w:p>
        </w:tc>
        <w:tc>
          <w:tcPr>
            <w:tcW w:type="dxa" w:w="2493"/>
          </w:tcPr>
          <w:p>
            <w:pPr>
              <w:spacing w:after="0" w:line="240" w:lineRule="auto"/>
              <w:ind w:firstLine="0"/>
              <w:jc w:val="center"/>
            </w:pPr>
            <w:r>
              <w:rPr>
                <w:b w:val="0"/>
                <w:i w:val="0"/>
                <w:sz w:val="20"/>
              </w:rPr>
              <w:t>29,5</w:t>
            </w:r>
          </w:p>
        </w:tc>
        <w:tc>
          <w:tcPr>
            <w:tcW w:type="dxa" w:w="2493"/>
          </w:tcPr>
          <w:p>
            <w:pPr>
              <w:spacing w:after="0" w:line="240" w:lineRule="auto"/>
              <w:ind w:firstLine="0"/>
              <w:jc w:val="center"/>
            </w:pPr>
            <w:r>
              <w:rPr>
                <w:b w:val="0"/>
                <w:i w:val="0"/>
                <w:sz w:val="20"/>
              </w:rPr>
              <w:t>состав сплава</w:t>
            </w:r>
          </w:p>
        </w:tc>
      </w:tr>
      <w:tr>
        <w:tc>
          <w:tcPr>
            <w:tcW w:type="dxa" w:w="2493"/>
          </w:tcPr>
          <w:p>
            <w:pPr>
              <w:spacing w:after="0" w:line="240" w:lineRule="auto"/>
              <w:ind w:firstLine="0"/>
              <w:jc w:val="left"/>
            </w:pPr>
            <w:r>
              <w:rPr>
                <w:b w:val="0"/>
                <w:i w:val="0"/>
                <w:sz w:val="20"/>
              </w:rPr>
              <w:t>Средний расход Dy+Tb, г/кг магнита</w:t>
            </w:r>
          </w:p>
        </w:tc>
        <w:tc>
          <w:tcPr>
            <w:tcW w:type="dxa" w:w="2493"/>
          </w:tcPr>
          <w:p>
            <w:pPr>
              <w:spacing w:after="0" w:line="240" w:lineRule="auto"/>
              <w:ind w:firstLine="0"/>
              <w:jc w:val="center"/>
            </w:pPr>
            <w:r>
              <w:rPr>
                <w:b w:val="0"/>
                <w:i w:val="0"/>
                <w:sz w:val="20"/>
              </w:rPr>
              <w:t>21</w:t>
            </w:r>
          </w:p>
        </w:tc>
        <w:tc>
          <w:tcPr>
            <w:tcW w:type="dxa" w:w="2493"/>
          </w:tcPr>
          <w:p>
            <w:pPr>
              <w:spacing w:after="0" w:line="240" w:lineRule="auto"/>
              <w:ind w:firstLine="0"/>
              <w:jc w:val="center"/>
            </w:pPr>
            <w:r>
              <w:rPr>
                <w:b w:val="0"/>
                <w:i w:val="0"/>
                <w:sz w:val="20"/>
              </w:rPr>
              <w:t>16</w:t>
            </w:r>
          </w:p>
        </w:tc>
        <w:tc>
          <w:tcPr>
            <w:tcW w:type="dxa" w:w="2493"/>
          </w:tcPr>
          <w:p>
            <w:pPr>
              <w:spacing w:after="0" w:line="240" w:lineRule="auto"/>
              <w:ind w:firstLine="0"/>
              <w:jc w:val="center"/>
            </w:pPr>
            <w:r>
              <w:rPr>
                <w:b w:val="0"/>
                <w:i w:val="0"/>
                <w:sz w:val="20"/>
              </w:rPr>
              <w:t>траектория GBD</w:t>
            </w:r>
          </w:p>
        </w:tc>
      </w:tr>
      <w:tr>
        <w:tc>
          <w:tcPr>
            <w:tcW w:type="dxa" w:w="2493"/>
          </w:tcPr>
          <w:p>
            <w:pPr>
              <w:spacing w:after="0" w:line="240" w:lineRule="auto"/>
              <w:ind w:firstLine="0"/>
              <w:jc w:val="left"/>
            </w:pPr>
            <w:r>
              <w:rPr>
                <w:b w:val="0"/>
                <w:i w:val="0"/>
                <w:sz w:val="20"/>
              </w:rPr>
              <w:t>Доля классов SH и выше в выпуске, %</w:t>
            </w:r>
          </w:p>
        </w:tc>
        <w:tc>
          <w:tcPr>
            <w:tcW w:type="dxa" w:w="2493"/>
          </w:tcPr>
          <w:p>
            <w:pPr>
              <w:spacing w:after="0" w:line="240" w:lineRule="auto"/>
              <w:ind w:firstLine="0"/>
              <w:jc w:val="center"/>
            </w:pPr>
            <w:r>
              <w:rPr>
                <w:b w:val="0"/>
                <w:i w:val="0"/>
                <w:sz w:val="20"/>
              </w:rPr>
              <w:t>34</w:t>
            </w:r>
          </w:p>
        </w:tc>
        <w:tc>
          <w:tcPr>
            <w:tcW w:type="dxa" w:w="2493"/>
          </w:tcPr>
          <w:p>
            <w:pPr>
              <w:spacing w:after="0" w:line="240" w:lineRule="auto"/>
              <w:ind w:firstLine="0"/>
              <w:jc w:val="center"/>
            </w:pPr>
            <w:r>
              <w:rPr>
                <w:b w:val="0"/>
                <w:i w:val="0"/>
                <w:sz w:val="20"/>
              </w:rPr>
              <w:t>41</w:t>
            </w:r>
          </w:p>
        </w:tc>
        <w:tc>
          <w:tcPr>
            <w:tcW w:type="dxa" w:w="2493"/>
          </w:tcPr>
          <w:p>
            <w:pPr>
              <w:spacing w:after="0" w:line="240" w:lineRule="auto"/>
              <w:ind w:firstLine="0"/>
              <w:jc w:val="center"/>
            </w:pPr>
            <w:r>
              <w:rPr>
                <w:b w:val="0"/>
                <w:i w:val="0"/>
                <w:sz w:val="20"/>
              </w:rPr>
              <w:t>рост доли EV</w:t>
            </w:r>
          </w:p>
        </w:tc>
      </w:tr>
      <w:tr>
        <w:tc>
          <w:tcPr>
            <w:tcW w:type="dxa" w:w="2493"/>
          </w:tcPr>
          <w:p>
            <w:pPr>
              <w:spacing w:after="0" w:line="240" w:lineRule="auto"/>
              <w:ind w:firstLine="0"/>
              <w:jc w:val="left"/>
            </w:pPr>
            <w:r>
              <w:rPr>
                <w:b w:val="0"/>
                <w:i w:val="0"/>
                <w:sz w:val="20"/>
              </w:rPr>
              <w:t>Снижение удельного расхода магнитов, %/год</w:t>
            </w:r>
          </w:p>
        </w:tc>
        <w:tc>
          <w:tcPr>
            <w:tcW w:type="dxa" w:w="2493"/>
          </w:tcPr>
          <w:p>
            <w:pPr>
              <w:spacing w:after="0" w:line="240" w:lineRule="auto"/>
              <w:ind w:firstLine="0"/>
              <w:jc w:val="center"/>
            </w:pPr>
            <w:r>
              <w:rPr>
                <w:b w:val="0"/>
                <w:i w:val="0"/>
                <w:sz w:val="20"/>
              </w:rPr>
              <w:t>1,5</w:t>
            </w:r>
          </w:p>
        </w:tc>
        <w:tc>
          <w:tcPr>
            <w:tcW w:type="dxa" w:w="2493"/>
          </w:tcPr>
          <w:p>
            <w:pPr>
              <w:spacing w:after="0" w:line="240" w:lineRule="auto"/>
              <w:ind w:firstLine="0"/>
              <w:jc w:val="center"/>
            </w:pPr>
            <w:r>
              <w:rPr>
                <w:b w:val="0"/>
                <w:i w:val="0"/>
                <w:sz w:val="20"/>
              </w:rPr>
              <w:t>1,5</w:t>
            </w:r>
          </w:p>
        </w:tc>
        <w:tc>
          <w:tcPr>
            <w:tcW w:type="dxa" w:w="2493"/>
          </w:tcPr>
          <w:p>
            <w:pPr>
              <w:spacing w:after="0" w:line="240" w:lineRule="auto"/>
              <w:ind w:firstLine="0"/>
              <w:jc w:val="center"/>
            </w:pPr>
            <w:r>
              <w:rPr>
                <w:b w:val="0"/>
                <w:i w:val="0"/>
                <w:sz w:val="20"/>
              </w:rPr>
              <w:t>конструктивная оптимизация</w:t>
            </w:r>
          </w:p>
        </w:tc>
      </w:tr>
      <w:tr>
        <w:tc>
          <w:tcPr>
            <w:tcW w:type="dxa" w:w="2493"/>
          </w:tcPr>
          <w:p>
            <w:pPr>
              <w:spacing w:after="0" w:line="240" w:lineRule="auto"/>
              <w:ind w:firstLine="0"/>
              <w:jc w:val="left"/>
            </w:pPr>
            <w:r>
              <w:rPr>
                <w:b w:val="0"/>
                <w:i w:val="0"/>
                <w:sz w:val="20"/>
              </w:rPr>
              <w:t>Коэффициент технологических потерь, %</w:t>
            </w:r>
          </w:p>
        </w:tc>
        <w:tc>
          <w:tcPr>
            <w:tcW w:type="dxa" w:w="2493"/>
          </w:tcPr>
          <w:p>
            <w:pPr>
              <w:spacing w:after="0" w:line="240" w:lineRule="auto"/>
              <w:ind w:firstLine="0"/>
              <w:jc w:val="center"/>
            </w:pPr>
            <w:r>
              <w:rPr>
                <w:b w:val="0"/>
                <w:i w:val="0"/>
                <w:sz w:val="20"/>
              </w:rPr>
              <w:t>26</w:t>
            </w:r>
          </w:p>
        </w:tc>
        <w:tc>
          <w:tcPr>
            <w:tcW w:type="dxa" w:w="2493"/>
          </w:tcPr>
          <w:p>
            <w:pPr>
              <w:spacing w:after="0" w:line="240" w:lineRule="auto"/>
              <w:ind w:firstLine="0"/>
              <w:jc w:val="center"/>
            </w:pPr>
            <w:r>
              <w:rPr>
                <w:b w:val="0"/>
                <w:i w:val="0"/>
                <w:sz w:val="20"/>
              </w:rPr>
              <w:t>22</w:t>
            </w:r>
          </w:p>
        </w:tc>
        <w:tc>
          <w:tcPr>
            <w:tcW w:type="dxa" w:w="2493"/>
          </w:tcPr>
          <w:p>
            <w:pPr>
              <w:spacing w:after="0" w:line="240" w:lineRule="auto"/>
              <w:ind w:firstLine="0"/>
              <w:jc w:val="center"/>
            </w:pPr>
            <w:r>
              <w:rPr>
                <w:b w:val="0"/>
                <w:i w:val="0"/>
                <w:sz w:val="20"/>
              </w:rPr>
              <w:t>выход годного при обработке</w:t>
            </w:r>
          </w:p>
        </w:tc>
      </w:tr>
      <w:tr>
        <w:tc>
          <w:tcPr>
            <w:tcW w:type="dxa" w:w="2493"/>
          </w:tcPr>
          <w:p>
            <w:pPr>
              <w:spacing w:after="0" w:line="240" w:lineRule="auto"/>
              <w:ind w:firstLine="0"/>
              <w:jc w:val="left"/>
            </w:pPr>
            <w:r>
              <w:rPr>
                <w:b w:val="0"/>
                <w:i w:val="0"/>
                <w:sz w:val="20"/>
              </w:rPr>
              <w:t>Доля рециклированного сырья, %</w:t>
            </w:r>
          </w:p>
        </w:tc>
        <w:tc>
          <w:tcPr>
            <w:tcW w:type="dxa" w:w="2493"/>
          </w:tcPr>
          <w:p>
            <w:pPr>
              <w:spacing w:after="0" w:line="240" w:lineRule="auto"/>
              <w:ind w:firstLine="0"/>
              <w:jc w:val="center"/>
            </w:pPr>
            <w:r>
              <w:rPr>
                <w:b w:val="0"/>
                <w:i w:val="0"/>
                <w:sz w:val="20"/>
              </w:rPr>
              <w:t>2</w:t>
            </w:r>
          </w:p>
        </w:tc>
        <w:tc>
          <w:tcPr>
            <w:tcW w:type="dxa" w:w="2493"/>
          </w:tcPr>
          <w:p>
            <w:pPr>
              <w:spacing w:after="0" w:line="240" w:lineRule="auto"/>
              <w:ind w:firstLine="0"/>
              <w:jc w:val="center"/>
            </w:pPr>
            <w:r>
              <w:rPr>
                <w:b w:val="0"/>
                <w:i w:val="0"/>
                <w:sz w:val="20"/>
              </w:rPr>
              <w:t>5</w:t>
            </w:r>
          </w:p>
        </w:tc>
        <w:tc>
          <w:tcPr>
            <w:tcW w:type="dxa" w:w="2493"/>
          </w:tcPr>
          <w:p>
            <w:pPr>
              <w:spacing w:after="0" w:line="240" w:lineRule="auto"/>
              <w:ind w:firstLine="0"/>
              <w:jc w:val="center"/>
            </w:pPr>
            <w:r>
              <w:rPr>
                <w:b w:val="0"/>
                <w:i w:val="0"/>
                <w:sz w:val="20"/>
              </w:rPr>
              <w:t>развитие рециклинга</w:t>
            </w:r>
          </w:p>
        </w:tc>
      </w:tr>
    </w:tbl>
    <w:p>
      <w:pPr>
        <w:spacing w:after="180"/>
        <w:ind w:firstLine="0"/>
      </w:pPr>
      <w:r>
        <w:rPr>
          <w:i/>
          <w:sz w:val="20"/>
        </w:rPr>
        <w:t>Источник: аналитический центр</w:t>
      </w:r>
    </w:p>
    <w:p>
      <w:r>
        <w:rPr>
          <w:b w:val="0"/>
          <w:i w:val="0"/>
        </w:rPr>
        <w:t>Существенным элементом модели является коэффициент технологических потерь. При производстве спечённых магнитов до 25–30% массы сплава теряется в виде шлама механической обработки. Этот материал в КНР перерабатывается (внутрипроизводственный рециклинг), в прочих юрисдикциях частично теряется. Различие в коэффициенте потерь между китайскими и не-китайскими производителями составляет 4–7 процентных пунктов, что эквивалентно соответствующему различию в удельном расходе сырья.</w:t>
      </w:r>
    </w:p>
    <w:p>
      <w:pPr>
        <w:pStyle w:val="Heading2"/>
      </w:pPr>
      <w:r>
        <w:rPr>
          <w:b w:val="0"/>
          <w:i w:val="0"/>
        </w:rPr>
        <w:t>П9.2. Модель прогнозирования предложения</w:t>
      </w:r>
    </w:p>
    <w:p>
      <w:r>
        <w:rPr>
          <w:b w:val="0"/>
          <w:i w:val="0"/>
        </w:rPr>
        <w:t>Прогноз предложения построен как сумма вкладов отдельных проектов, взвешенных по вероятности реализации:</w:t>
      </w:r>
    </w:p>
    <w:p>
      <w:r>
        <w:rPr>
          <w:b w:val="0"/>
          <w:i w:val="0"/>
        </w:rPr>
        <w:t>Предложение = Σ (Проектная мощность_i × Вероятность реализации_i × Коэффициент выхода на мощность_i(t))</w:t>
      </w:r>
    </w:p>
    <w:p>
      <w:pPr>
        <w:keepNext/>
        <w:spacing w:before="160" w:after="60"/>
        <w:ind w:firstLine="0"/>
        <w:jc w:val="left"/>
      </w:pPr>
      <w:r>
        <w:rPr>
          <w:b/>
          <w:sz w:val="22"/>
        </w:rPr>
        <w:t>Таблица 142. Коэффициенты вероятности реализации проектов по стадиям</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val="clear" w:fill="DCE6F1"/>
          </w:tcPr>
          <w:p>
            <w:pPr>
              <w:spacing w:after="0" w:line="240" w:lineRule="auto"/>
              <w:ind w:firstLine="0"/>
              <w:jc w:val="center"/>
            </w:pPr>
            <w:r>
              <w:rPr>
                <w:b/>
                <w:i w:val="0"/>
                <w:sz w:val="20"/>
              </w:rPr>
              <w:t>Стадия проекта</w:t>
            </w:r>
          </w:p>
        </w:tc>
        <w:tc>
          <w:tcPr>
            <w:tcW w:type="dxa" w:w="2493"/>
            <w:shd w:val="clear" w:fill="DCE6F1"/>
          </w:tcPr>
          <w:p>
            <w:pPr>
              <w:spacing w:after="0" w:line="240" w:lineRule="auto"/>
              <w:ind w:firstLine="0"/>
              <w:jc w:val="center"/>
            </w:pPr>
            <w:r>
              <w:rPr>
                <w:b/>
                <w:i w:val="0"/>
                <w:sz w:val="20"/>
              </w:rPr>
              <w:t>Вероятность</w:t>
            </w:r>
          </w:p>
        </w:tc>
        <w:tc>
          <w:tcPr>
            <w:tcW w:type="dxa" w:w="2493"/>
            <w:shd w:val="clear" w:fill="DCE6F1"/>
          </w:tcPr>
          <w:p>
            <w:pPr>
              <w:spacing w:after="0" w:line="240" w:lineRule="auto"/>
              <w:ind w:firstLine="0"/>
              <w:jc w:val="center"/>
            </w:pPr>
            <w:r>
              <w:rPr>
                <w:b/>
                <w:i w:val="0"/>
                <w:sz w:val="20"/>
              </w:rPr>
              <w:t>Ср. отклонение срока</w:t>
            </w:r>
          </w:p>
        </w:tc>
        <w:tc>
          <w:tcPr>
            <w:tcW w:type="dxa" w:w="2493"/>
            <w:shd w:val="clear" w:fill="DCE6F1"/>
          </w:tcPr>
          <w:p>
            <w:pPr>
              <w:spacing w:after="0" w:line="240" w:lineRule="auto"/>
              <w:ind w:firstLine="0"/>
              <w:jc w:val="center"/>
            </w:pPr>
            <w:r>
              <w:rPr>
                <w:b/>
                <w:i w:val="0"/>
                <w:sz w:val="20"/>
              </w:rPr>
              <w:t>Ср. превышение CAPEX</w:t>
            </w:r>
          </w:p>
        </w:tc>
      </w:tr>
      <w:tr>
        <w:tc>
          <w:tcPr>
            <w:tcW w:type="dxa" w:w="2493"/>
          </w:tcPr>
          <w:p>
            <w:pPr>
              <w:spacing w:after="0" w:line="240" w:lineRule="auto"/>
              <w:ind w:firstLine="0"/>
              <w:jc w:val="left"/>
            </w:pPr>
            <w:r>
              <w:rPr>
                <w:b w:val="0"/>
                <w:i w:val="0"/>
                <w:sz w:val="20"/>
              </w:rPr>
              <w:t>Действующее производство (расширение)</w:t>
            </w:r>
          </w:p>
        </w:tc>
        <w:tc>
          <w:tcPr>
            <w:tcW w:type="dxa" w:w="2493"/>
          </w:tcPr>
          <w:p>
            <w:pPr>
              <w:spacing w:after="0" w:line="240" w:lineRule="auto"/>
              <w:ind w:firstLine="0"/>
              <w:jc w:val="center"/>
            </w:pPr>
            <w:r>
              <w:rPr>
                <w:b w:val="0"/>
                <w:i w:val="0"/>
                <w:sz w:val="20"/>
              </w:rPr>
              <w:t>0,85</w:t>
            </w:r>
          </w:p>
        </w:tc>
        <w:tc>
          <w:tcPr>
            <w:tcW w:type="dxa" w:w="2493"/>
          </w:tcPr>
          <w:p>
            <w:pPr>
              <w:spacing w:after="0" w:line="240" w:lineRule="auto"/>
              <w:ind w:firstLine="0"/>
              <w:jc w:val="center"/>
            </w:pPr>
            <w:r>
              <w:rPr>
                <w:b w:val="0"/>
                <w:i w:val="0"/>
                <w:sz w:val="20"/>
              </w:rPr>
              <w:t>+0,8 года</w:t>
            </w:r>
          </w:p>
        </w:tc>
        <w:tc>
          <w:tcPr>
            <w:tcW w:type="dxa" w:w="2493"/>
          </w:tcPr>
          <w:p>
            <w:pPr>
              <w:spacing w:after="0" w:line="240" w:lineRule="auto"/>
              <w:ind w:firstLine="0"/>
              <w:jc w:val="center"/>
            </w:pPr>
            <w:r>
              <w:rPr>
                <w:b w:val="0"/>
                <w:i w:val="0"/>
                <w:sz w:val="20"/>
              </w:rPr>
              <w:t>+18%</w:t>
            </w:r>
          </w:p>
        </w:tc>
      </w:tr>
      <w:tr>
        <w:tc>
          <w:tcPr>
            <w:tcW w:type="dxa" w:w="2493"/>
          </w:tcPr>
          <w:p>
            <w:pPr>
              <w:spacing w:after="0" w:line="240" w:lineRule="auto"/>
              <w:ind w:firstLine="0"/>
              <w:jc w:val="left"/>
            </w:pPr>
            <w:r>
              <w:rPr>
                <w:b w:val="0"/>
                <w:i w:val="0"/>
                <w:sz w:val="20"/>
              </w:rPr>
              <w:t>Строительство</w:t>
            </w:r>
          </w:p>
        </w:tc>
        <w:tc>
          <w:tcPr>
            <w:tcW w:type="dxa" w:w="2493"/>
          </w:tcPr>
          <w:p>
            <w:pPr>
              <w:spacing w:after="0" w:line="240" w:lineRule="auto"/>
              <w:ind w:firstLine="0"/>
              <w:jc w:val="center"/>
            </w:pPr>
            <w:r>
              <w:rPr>
                <w:b w:val="0"/>
                <w:i w:val="0"/>
                <w:sz w:val="20"/>
              </w:rPr>
              <w:t>0,70</w:t>
            </w:r>
          </w:p>
        </w:tc>
        <w:tc>
          <w:tcPr>
            <w:tcW w:type="dxa" w:w="2493"/>
          </w:tcPr>
          <w:p>
            <w:pPr>
              <w:spacing w:after="0" w:line="240" w:lineRule="auto"/>
              <w:ind w:firstLine="0"/>
              <w:jc w:val="center"/>
            </w:pPr>
            <w:r>
              <w:rPr>
                <w:b w:val="0"/>
                <w:i w:val="0"/>
                <w:sz w:val="20"/>
              </w:rPr>
              <w:t>+1,4 года</w:t>
            </w:r>
          </w:p>
        </w:tc>
        <w:tc>
          <w:tcPr>
            <w:tcW w:type="dxa" w:w="2493"/>
          </w:tcPr>
          <w:p>
            <w:pPr>
              <w:spacing w:after="0" w:line="240" w:lineRule="auto"/>
              <w:ind w:firstLine="0"/>
              <w:jc w:val="center"/>
            </w:pPr>
            <w:r>
              <w:rPr>
                <w:b w:val="0"/>
                <w:i w:val="0"/>
                <w:sz w:val="20"/>
              </w:rPr>
              <w:t>+32%</w:t>
            </w:r>
          </w:p>
        </w:tc>
      </w:tr>
      <w:tr>
        <w:tc>
          <w:tcPr>
            <w:tcW w:type="dxa" w:w="2493"/>
          </w:tcPr>
          <w:p>
            <w:pPr>
              <w:spacing w:after="0" w:line="240" w:lineRule="auto"/>
              <w:ind w:firstLine="0"/>
              <w:jc w:val="left"/>
            </w:pPr>
            <w:r>
              <w:rPr>
                <w:b w:val="0"/>
                <w:i w:val="0"/>
                <w:sz w:val="20"/>
              </w:rPr>
              <w:t>Принято инвестиционное решение</w:t>
            </w:r>
          </w:p>
        </w:tc>
        <w:tc>
          <w:tcPr>
            <w:tcW w:type="dxa" w:w="2493"/>
          </w:tcPr>
          <w:p>
            <w:pPr>
              <w:spacing w:after="0" w:line="240" w:lineRule="auto"/>
              <w:ind w:firstLine="0"/>
              <w:jc w:val="center"/>
            </w:pPr>
            <w:r>
              <w:rPr>
                <w:b w:val="0"/>
                <w:i w:val="0"/>
                <w:sz w:val="20"/>
              </w:rPr>
              <w:t>0,45</w:t>
            </w:r>
          </w:p>
        </w:tc>
        <w:tc>
          <w:tcPr>
            <w:tcW w:type="dxa" w:w="2493"/>
          </w:tcPr>
          <w:p>
            <w:pPr>
              <w:spacing w:after="0" w:line="240" w:lineRule="auto"/>
              <w:ind w:firstLine="0"/>
              <w:jc w:val="center"/>
            </w:pPr>
            <w:r>
              <w:rPr>
                <w:b w:val="0"/>
                <w:i w:val="0"/>
                <w:sz w:val="20"/>
              </w:rPr>
              <w:t>+2,2 года</w:t>
            </w:r>
          </w:p>
        </w:tc>
        <w:tc>
          <w:tcPr>
            <w:tcW w:type="dxa" w:w="2493"/>
          </w:tcPr>
          <w:p>
            <w:pPr>
              <w:spacing w:after="0" w:line="240" w:lineRule="auto"/>
              <w:ind w:firstLine="0"/>
              <w:jc w:val="center"/>
            </w:pPr>
            <w:r>
              <w:rPr>
                <w:b w:val="0"/>
                <w:i w:val="0"/>
                <w:sz w:val="20"/>
              </w:rPr>
              <w:t>+45%</w:t>
            </w:r>
          </w:p>
        </w:tc>
      </w:tr>
      <w:tr>
        <w:tc>
          <w:tcPr>
            <w:tcW w:type="dxa" w:w="2493"/>
          </w:tcPr>
          <w:p>
            <w:pPr>
              <w:spacing w:after="0" w:line="240" w:lineRule="auto"/>
              <w:ind w:firstLine="0"/>
              <w:jc w:val="left"/>
            </w:pPr>
            <w:r>
              <w:rPr>
                <w:b w:val="0"/>
                <w:i w:val="0"/>
                <w:sz w:val="20"/>
              </w:rPr>
              <w:t>Банковское ТЭО завершено</w:t>
            </w:r>
          </w:p>
        </w:tc>
        <w:tc>
          <w:tcPr>
            <w:tcW w:type="dxa" w:w="2493"/>
          </w:tcPr>
          <w:p>
            <w:pPr>
              <w:spacing w:after="0" w:line="240" w:lineRule="auto"/>
              <w:ind w:firstLine="0"/>
              <w:jc w:val="center"/>
            </w:pPr>
            <w:r>
              <w:rPr>
                <w:b w:val="0"/>
                <w:i w:val="0"/>
                <w:sz w:val="20"/>
              </w:rPr>
              <w:t>0,25</w:t>
            </w:r>
          </w:p>
        </w:tc>
        <w:tc>
          <w:tcPr>
            <w:tcW w:type="dxa" w:w="2493"/>
          </w:tcPr>
          <w:p>
            <w:pPr>
              <w:spacing w:after="0" w:line="240" w:lineRule="auto"/>
              <w:ind w:firstLine="0"/>
              <w:jc w:val="center"/>
            </w:pPr>
            <w:r>
              <w:rPr>
                <w:b w:val="0"/>
                <w:i w:val="0"/>
                <w:sz w:val="20"/>
              </w:rPr>
              <w:t>+3,1 года</w:t>
            </w:r>
          </w:p>
        </w:tc>
        <w:tc>
          <w:tcPr>
            <w:tcW w:type="dxa" w:w="2493"/>
          </w:tcPr>
          <w:p>
            <w:pPr>
              <w:spacing w:after="0" w:line="240" w:lineRule="auto"/>
              <w:ind w:firstLine="0"/>
              <w:jc w:val="center"/>
            </w:pPr>
            <w:r>
              <w:rPr>
                <w:b w:val="0"/>
                <w:i w:val="0"/>
                <w:sz w:val="20"/>
              </w:rPr>
              <w:t>+60%</w:t>
            </w:r>
          </w:p>
        </w:tc>
      </w:tr>
      <w:tr>
        <w:tc>
          <w:tcPr>
            <w:tcW w:type="dxa" w:w="2493"/>
          </w:tcPr>
          <w:p>
            <w:pPr>
              <w:spacing w:after="0" w:line="240" w:lineRule="auto"/>
              <w:ind w:firstLine="0"/>
              <w:jc w:val="left"/>
            </w:pPr>
            <w:r>
              <w:rPr>
                <w:b w:val="0"/>
                <w:i w:val="0"/>
                <w:sz w:val="20"/>
              </w:rPr>
              <w:t>Предварительное ТЭО</w:t>
            </w:r>
          </w:p>
        </w:tc>
        <w:tc>
          <w:tcPr>
            <w:tcW w:type="dxa" w:w="2493"/>
          </w:tcPr>
          <w:p>
            <w:pPr>
              <w:spacing w:after="0" w:line="240" w:lineRule="auto"/>
              <w:ind w:firstLine="0"/>
              <w:jc w:val="center"/>
            </w:pPr>
            <w:r>
              <w:rPr>
                <w:b w:val="0"/>
                <w:i w:val="0"/>
                <w:sz w:val="20"/>
              </w:rPr>
              <w:t>0,15</w:t>
            </w:r>
          </w:p>
        </w:tc>
        <w:tc>
          <w:tcPr>
            <w:tcW w:type="dxa" w:w="2493"/>
          </w:tcPr>
          <w:p>
            <w:pPr>
              <w:spacing w:after="0" w:line="240" w:lineRule="auto"/>
              <w:ind w:firstLine="0"/>
              <w:jc w:val="center"/>
            </w:pPr>
            <w:r>
              <w:rPr>
                <w:b w:val="0"/>
                <w:i w:val="0"/>
                <w:sz w:val="20"/>
              </w:rPr>
              <w:t>+4,5 года</w:t>
            </w:r>
          </w:p>
        </w:tc>
        <w:tc>
          <w:tcPr>
            <w:tcW w:type="dxa" w:w="2493"/>
          </w:tcPr>
          <w:p>
            <w:pPr>
              <w:spacing w:after="0" w:line="240" w:lineRule="auto"/>
              <w:ind w:firstLine="0"/>
              <w:jc w:val="center"/>
            </w:pPr>
            <w:r>
              <w:rPr>
                <w:b w:val="0"/>
                <w:i w:val="0"/>
                <w:sz w:val="20"/>
              </w:rPr>
              <w:t>н/д</w:t>
            </w:r>
          </w:p>
        </w:tc>
      </w:tr>
      <w:tr>
        <w:tc>
          <w:tcPr>
            <w:tcW w:type="dxa" w:w="2493"/>
          </w:tcPr>
          <w:p>
            <w:pPr>
              <w:spacing w:after="0" w:line="240" w:lineRule="auto"/>
              <w:ind w:firstLine="0"/>
              <w:jc w:val="left"/>
            </w:pPr>
            <w:r>
              <w:rPr>
                <w:b w:val="0"/>
                <w:i w:val="0"/>
                <w:sz w:val="20"/>
              </w:rPr>
              <w:t>Геологоразведка</w:t>
            </w:r>
          </w:p>
        </w:tc>
        <w:tc>
          <w:tcPr>
            <w:tcW w:type="dxa" w:w="2493"/>
          </w:tcPr>
          <w:p>
            <w:pPr>
              <w:spacing w:after="0" w:line="240" w:lineRule="auto"/>
              <w:ind w:firstLine="0"/>
              <w:jc w:val="center"/>
            </w:pPr>
            <w:r>
              <w:rPr>
                <w:b w:val="0"/>
                <w:i w:val="0"/>
                <w:sz w:val="20"/>
              </w:rPr>
              <w:t>0,05</w:t>
            </w:r>
          </w:p>
        </w:tc>
        <w:tc>
          <w:tcPr>
            <w:tcW w:type="dxa" w:w="2493"/>
          </w:tcPr>
          <w:p>
            <w:pPr>
              <w:spacing w:after="0" w:line="240" w:lineRule="auto"/>
              <w:ind w:firstLine="0"/>
              <w:jc w:val="center"/>
            </w:pPr>
            <w:r>
              <w:rPr>
                <w:b w:val="0"/>
                <w:i w:val="0"/>
                <w:sz w:val="20"/>
              </w:rPr>
              <w:t>н/д</w:t>
            </w:r>
          </w:p>
        </w:tc>
        <w:tc>
          <w:tcPr>
            <w:tcW w:type="dxa" w:w="2493"/>
          </w:tcPr>
          <w:p>
            <w:pPr>
              <w:spacing w:after="0" w:line="240" w:lineRule="auto"/>
              <w:ind w:firstLine="0"/>
              <w:jc w:val="center"/>
            </w:pPr>
            <w:r>
              <w:rPr>
                <w:b w:val="0"/>
                <w:i w:val="0"/>
                <w:sz w:val="20"/>
              </w:rPr>
              <w:t>н/д</w:t>
            </w:r>
          </w:p>
        </w:tc>
      </w:tr>
    </w:tbl>
    <w:p>
      <w:pPr>
        <w:spacing w:after="180"/>
        <w:ind w:firstLine="0"/>
      </w:pPr>
      <w:r>
        <w:rPr>
          <w:i/>
          <w:sz w:val="20"/>
        </w:rPr>
        <w:t>Источник: аналитический центр на основе ретроспективного анализа реализации редкоземельных проектов 2011–2025 гг.</w:t>
      </w:r>
    </w:p>
    <w:p>
      <w:r>
        <w:rPr>
          <w:b w:val="0"/>
          <w:i w:val="0"/>
        </w:rPr>
        <w:t>Коэффициент выхода на мощность отражает наблюдаемую в отрасли закономерность: редкоземельные производства, особенно разделительные, выходят на проектные показатели существенно медленнее, чем предприятия других отраслей. Типовая траектория: первый год — 20–35% проектной мощности, второй — 45–65%, третий — 70–85%, четвёртый — 90–100%. Причина — необходимость длительной настройки экстракционных каскадов и накопления органической фазы.</w:t>
      </w:r>
    </w:p>
    <w:p>
      <w:pPr>
        <w:keepNext/>
        <w:spacing w:before="160" w:after="60"/>
        <w:ind w:firstLine="0"/>
        <w:jc w:val="left"/>
      </w:pPr>
      <w:r>
        <w:rPr>
          <w:b/>
          <w:sz w:val="22"/>
        </w:rPr>
        <w:t>Таблица 143. Типовая траектория выхода редкоземельных производств на проектную мощность, % от проектной</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Тип производства</w:t>
            </w:r>
          </w:p>
        </w:tc>
        <w:tc>
          <w:tcPr>
            <w:tcW w:type="dxa" w:w="1662"/>
            <w:shd w:val="clear" w:fill="DCE6F1"/>
          </w:tcPr>
          <w:p>
            <w:pPr>
              <w:spacing w:after="0" w:line="240" w:lineRule="auto"/>
              <w:ind w:firstLine="0"/>
              <w:jc w:val="center"/>
            </w:pPr>
            <w:r>
              <w:rPr>
                <w:b/>
                <w:i w:val="0"/>
                <w:sz w:val="20"/>
              </w:rPr>
              <w:t>1-й год</w:t>
            </w:r>
          </w:p>
        </w:tc>
        <w:tc>
          <w:tcPr>
            <w:tcW w:type="dxa" w:w="1662"/>
            <w:shd w:val="clear" w:fill="DCE6F1"/>
          </w:tcPr>
          <w:p>
            <w:pPr>
              <w:spacing w:after="0" w:line="240" w:lineRule="auto"/>
              <w:ind w:firstLine="0"/>
              <w:jc w:val="center"/>
            </w:pPr>
            <w:r>
              <w:rPr>
                <w:b/>
                <w:i w:val="0"/>
                <w:sz w:val="20"/>
              </w:rPr>
              <w:t>2-й год</w:t>
            </w:r>
          </w:p>
        </w:tc>
        <w:tc>
          <w:tcPr>
            <w:tcW w:type="dxa" w:w="1662"/>
            <w:shd w:val="clear" w:fill="DCE6F1"/>
          </w:tcPr>
          <w:p>
            <w:pPr>
              <w:spacing w:after="0" w:line="240" w:lineRule="auto"/>
              <w:ind w:firstLine="0"/>
              <w:jc w:val="center"/>
            </w:pPr>
            <w:r>
              <w:rPr>
                <w:b/>
                <w:i w:val="0"/>
                <w:sz w:val="20"/>
              </w:rPr>
              <w:t>3-й год</w:t>
            </w:r>
          </w:p>
        </w:tc>
        <w:tc>
          <w:tcPr>
            <w:tcW w:type="dxa" w:w="1662"/>
            <w:shd w:val="clear" w:fill="DCE6F1"/>
          </w:tcPr>
          <w:p>
            <w:pPr>
              <w:spacing w:after="0" w:line="240" w:lineRule="auto"/>
              <w:ind w:firstLine="0"/>
              <w:jc w:val="center"/>
            </w:pPr>
            <w:r>
              <w:rPr>
                <w:b/>
                <w:i w:val="0"/>
                <w:sz w:val="20"/>
              </w:rPr>
              <w:t>4-й год</w:t>
            </w:r>
          </w:p>
        </w:tc>
        <w:tc>
          <w:tcPr>
            <w:tcW w:type="dxa" w:w="1662"/>
            <w:shd w:val="clear" w:fill="DCE6F1"/>
          </w:tcPr>
          <w:p>
            <w:pPr>
              <w:spacing w:after="0" w:line="240" w:lineRule="auto"/>
              <w:ind w:firstLine="0"/>
              <w:jc w:val="center"/>
            </w:pPr>
            <w:r>
              <w:rPr>
                <w:b/>
                <w:i w:val="0"/>
                <w:sz w:val="20"/>
              </w:rPr>
              <w:t>5-й год</w:t>
            </w:r>
          </w:p>
        </w:tc>
      </w:tr>
      <w:tr>
        <w:tc>
          <w:tcPr>
            <w:tcW w:type="dxa" w:w="1662"/>
          </w:tcPr>
          <w:p>
            <w:pPr>
              <w:spacing w:after="0" w:line="240" w:lineRule="auto"/>
              <w:ind w:firstLine="0"/>
              <w:jc w:val="left"/>
            </w:pPr>
            <w:r>
              <w:rPr>
                <w:b w:val="0"/>
                <w:i w:val="0"/>
                <w:sz w:val="20"/>
              </w:rPr>
              <w:t>Добыча и обогащение</w:t>
            </w:r>
          </w:p>
        </w:tc>
        <w:tc>
          <w:tcPr>
            <w:tcW w:type="dxa" w:w="1662"/>
          </w:tcPr>
          <w:p>
            <w:pPr>
              <w:spacing w:after="0" w:line="240" w:lineRule="auto"/>
              <w:ind w:firstLine="0"/>
              <w:jc w:val="center"/>
            </w:pPr>
            <w:r>
              <w:rPr>
                <w:b w:val="0"/>
                <w:i w:val="0"/>
                <w:sz w:val="20"/>
              </w:rPr>
              <w:t>45</w:t>
            </w:r>
          </w:p>
        </w:tc>
        <w:tc>
          <w:tcPr>
            <w:tcW w:type="dxa" w:w="1662"/>
          </w:tcPr>
          <w:p>
            <w:pPr>
              <w:spacing w:after="0" w:line="240" w:lineRule="auto"/>
              <w:ind w:firstLine="0"/>
              <w:jc w:val="center"/>
            </w:pPr>
            <w:r>
              <w:rPr>
                <w:b w:val="0"/>
                <w:i w:val="0"/>
                <w:sz w:val="20"/>
              </w:rPr>
              <w:t>75</w:t>
            </w:r>
          </w:p>
        </w:tc>
        <w:tc>
          <w:tcPr>
            <w:tcW w:type="dxa" w:w="1662"/>
          </w:tcPr>
          <w:p>
            <w:pPr>
              <w:spacing w:after="0" w:line="240" w:lineRule="auto"/>
              <w:ind w:firstLine="0"/>
              <w:jc w:val="center"/>
            </w:pPr>
            <w:r>
              <w:rPr>
                <w:b w:val="0"/>
                <w:i w:val="0"/>
                <w:sz w:val="20"/>
              </w:rPr>
              <w:t>90</w:t>
            </w:r>
          </w:p>
        </w:tc>
        <w:tc>
          <w:tcPr>
            <w:tcW w:type="dxa" w:w="1662"/>
          </w:tcPr>
          <w:p>
            <w:pPr>
              <w:spacing w:after="0" w:line="240" w:lineRule="auto"/>
              <w:ind w:firstLine="0"/>
              <w:jc w:val="center"/>
            </w:pPr>
            <w:r>
              <w:rPr>
                <w:b w:val="0"/>
                <w:i w:val="0"/>
                <w:sz w:val="20"/>
              </w:rPr>
              <w:t>100</w:t>
            </w:r>
          </w:p>
        </w:tc>
        <w:tc>
          <w:tcPr>
            <w:tcW w:type="dxa" w:w="1662"/>
          </w:tcPr>
          <w:p>
            <w:pPr>
              <w:spacing w:after="0" w:line="240" w:lineRule="auto"/>
              <w:ind w:firstLine="0"/>
              <w:jc w:val="center"/>
            </w:pPr>
            <w:r>
              <w:rPr>
                <w:b w:val="0"/>
                <w:i w:val="0"/>
                <w:sz w:val="20"/>
              </w:rPr>
              <w:t>100</w:t>
            </w:r>
          </w:p>
        </w:tc>
      </w:tr>
      <w:tr>
        <w:tc>
          <w:tcPr>
            <w:tcW w:type="dxa" w:w="1662"/>
          </w:tcPr>
          <w:p>
            <w:pPr>
              <w:spacing w:after="0" w:line="240" w:lineRule="auto"/>
              <w:ind w:firstLine="0"/>
              <w:jc w:val="left"/>
            </w:pPr>
            <w:r>
              <w:rPr>
                <w:b w:val="0"/>
                <w:i w:val="0"/>
                <w:sz w:val="20"/>
              </w:rPr>
              <w:t>Вскрытие концентратов</w:t>
            </w:r>
          </w:p>
        </w:tc>
        <w:tc>
          <w:tcPr>
            <w:tcW w:type="dxa" w:w="1662"/>
          </w:tcPr>
          <w:p>
            <w:pPr>
              <w:spacing w:after="0" w:line="240" w:lineRule="auto"/>
              <w:ind w:firstLine="0"/>
              <w:jc w:val="center"/>
            </w:pPr>
            <w:r>
              <w:rPr>
                <w:b w:val="0"/>
                <w:i w:val="0"/>
                <w:sz w:val="20"/>
              </w:rPr>
              <w:t>35</w:t>
            </w:r>
          </w:p>
        </w:tc>
        <w:tc>
          <w:tcPr>
            <w:tcW w:type="dxa" w:w="1662"/>
          </w:tcPr>
          <w:p>
            <w:pPr>
              <w:spacing w:after="0" w:line="240" w:lineRule="auto"/>
              <w:ind w:firstLine="0"/>
              <w:jc w:val="center"/>
            </w:pPr>
            <w:r>
              <w:rPr>
                <w:b w:val="0"/>
                <w:i w:val="0"/>
                <w:sz w:val="20"/>
              </w:rPr>
              <w:t>65</w:t>
            </w:r>
          </w:p>
        </w:tc>
        <w:tc>
          <w:tcPr>
            <w:tcW w:type="dxa" w:w="1662"/>
          </w:tcPr>
          <w:p>
            <w:pPr>
              <w:spacing w:after="0" w:line="240" w:lineRule="auto"/>
              <w:ind w:firstLine="0"/>
              <w:jc w:val="center"/>
            </w:pPr>
            <w:r>
              <w:rPr>
                <w:b w:val="0"/>
                <w:i w:val="0"/>
                <w:sz w:val="20"/>
              </w:rPr>
              <w:t>85</w:t>
            </w:r>
          </w:p>
        </w:tc>
        <w:tc>
          <w:tcPr>
            <w:tcW w:type="dxa" w:w="1662"/>
          </w:tcPr>
          <w:p>
            <w:pPr>
              <w:spacing w:after="0" w:line="240" w:lineRule="auto"/>
              <w:ind w:firstLine="0"/>
              <w:jc w:val="center"/>
            </w:pPr>
            <w:r>
              <w:rPr>
                <w:b w:val="0"/>
                <w:i w:val="0"/>
                <w:sz w:val="20"/>
              </w:rPr>
              <w:t>95</w:t>
            </w:r>
          </w:p>
        </w:tc>
        <w:tc>
          <w:tcPr>
            <w:tcW w:type="dxa" w:w="1662"/>
          </w:tcPr>
          <w:p>
            <w:pPr>
              <w:spacing w:after="0" w:line="240" w:lineRule="auto"/>
              <w:ind w:firstLine="0"/>
              <w:jc w:val="center"/>
            </w:pPr>
            <w:r>
              <w:rPr>
                <w:b w:val="0"/>
                <w:i w:val="0"/>
                <w:sz w:val="20"/>
              </w:rPr>
              <w:t>100</w:t>
            </w:r>
          </w:p>
        </w:tc>
      </w:tr>
      <w:tr>
        <w:tc>
          <w:tcPr>
            <w:tcW w:type="dxa" w:w="1662"/>
          </w:tcPr>
          <w:p>
            <w:pPr>
              <w:spacing w:after="0" w:line="240" w:lineRule="auto"/>
              <w:ind w:firstLine="0"/>
              <w:jc w:val="left"/>
            </w:pPr>
            <w:r>
              <w:rPr>
                <w:b w:val="0"/>
                <w:i w:val="0"/>
                <w:sz w:val="20"/>
              </w:rPr>
              <w:t>Разделение (лёгкая группа)</w:t>
            </w:r>
          </w:p>
        </w:tc>
        <w:tc>
          <w:tcPr>
            <w:tcW w:type="dxa" w:w="1662"/>
          </w:tcPr>
          <w:p>
            <w:pPr>
              <w:spacing w:after="0" w:line="240" w:lineRule="auto"/>
              <w:ind w:firstLine="0"/>
              <w:jc w:val="center"/>
            </w:pPr>
            <w:r>
              <w:rPr>
                <w:b w:val="0"/>
                <w:i w:val="0"/>
                <w:sz w:val="20"/>
              </w:rPr>
              <w:t>25</w:t>
            </w:r>
          </w:p>
        </w:tc>
        <w:tc>
          <w:tcPr>
            <w:tcW w:type="dxa" w:w="1662"/>
          </w:tcPr>
          <w:p>
            <w:pPr>
              <w:spacing w:after="0" w:line="240" w:lineRule="auto"/>
              <w:ind w:firstLine="0"/>
              <w:jc w:val="center"/>
            </w:pPr>
            <w:r>
              <w:rPr>
                <w:b w:val="0"/>
                <w:i w:val="0"/>
                <w:sz w:val="20"/>
              </w:rPr>
              <w:t>55</w:t>
            </w:r>
          </w:p>
        </w:tc>
        <w:tc>
          <w:tcPr>
            <w:tcW w:type="dxa" w:w="1662"/>
          </w:tcPr>
          <w:p>
            <w:pPr>
              <w:spacing w:after="0" w:line="240" w:lineRule="auto"/>
              <w:ind w:firstLine="0"/>
              <w:jc w:val="center"/>
            </w:pPr>
            <w:r>
              <w:rPr>
                <w:b w:val="0"/>
                <w:i w:val="0"/>
                <w:sz w:val="20"/>
              </w:rPr>
              <w:t>78</w:t>
            </w:r>
          </w:p>
        </w:tc>
        <w:tc>
          <w:tcPr>
            <w:tcW w:type="dxa" w:w="1662"/>
          </w:tcPr>
          <w:p>
            <w:pPr>
              <w:spacing w:after="0" w:line="240" w:lineRule="auto"/>
              <w:ind w:firstLine="0"/>
              <w:jc w:val="center"/>
            </w:pPr>
            <w:r>
              <w:rPr>
                <w:b w:val="0"/>
                <w:i w:val="0"/>
                <w:sz w:val="20"/>
              </w:rPr>
              <w:t>92</w:t>
            </w:r>
          </w:p>
        </w:tc>
        <w:tc>
          <w:tcPr>
            <w:tcW w:type="dxa" w:w="1662"/>
          </w:tcPr>
          <w:p>
            <w:pPr>
              <w:spacing w:after="0" w:line="240" w:lineRule="auto"/>
              <w:ind w:firstLine="0"/>
              <w:jc w:val="center"/>
            </w:pPr>
            <w:r>
              <w:rPr>
                <w:b w:val="0"/>
                <w:i w:val="0"/>
                <w:sz w:val="20"/>
              </w:rPr>
              <w:t>100</w:t>
            </w:r>
          </w:p>
        </w:tc>
      </w:tr>
      <w:tr>
        <w:tc>
          <w:tcPr>
            <w:tcW w:type="dxa" w:w="1662"/>
          </w:tcPr>
          <w:p>
            <w:pPr>
              <w:spacing w:after="0" w:line="240" w:lineRule="auto"/>
              <w:ind w:firstLine="0"/>
              <w:jc w:val="left"/>
            </w:pPr>
            <w:r>
              <w:rPr>
                <w:b w:val="0"/>
                <w:i w:val="0"/>
                <w:sz w:val="20"/>
              </w:rPr>
              <w:t>Разделение (тяжёлая группа)</w:t>
            </w:r>
          </w:p>
        </w:tc>
        <w:tc>
          <w:tcPr>
            <w:tcW w:type="dxa" w:w="1662"/>
          </w:tcPr>
          <w:p>
            <w:pPr>
              <w:spacing w:after="0" w:line="240" w:lineRule="auto"/>
              <w:ind w:firstLine="0"/>
              <w:jc w:val="center"/>
            </w:pPr>
            <w:r>
              <w:rPr>
                <w:b w:val="0"/>
                <w:i w:val="0"/>
                <w:sz w:val="20"/>
              </w:rPr>
              <w:t>15</w:t>
            </w:r>
          </w:p>
        </w:tc>
        <w:tc>
          <w:tcPr>
            <w:tcW w:type="dxa" w:w="1662"/>
          </w:tcPr>
          <w:p>
            <w:pPr>
              <w:spacing w:after="0" w:line="240" w:lineRule="auto"/>
              <w:ind w:firstLine="0"/>
              <w:jc w:val="center"/>
            </w:pPr>
            <w:r>
              <w:rPr>
                <w:b w:val="0"/>
                <w:i w:val="0"/>
                <w:sz w:val="20"/>
              </w:rPr>
              <w:t>40</w:t>
            </w:r>
          </w:p>
        </w:tc>
        <w:tc>
          <w:tcPr>
            <w:tcW w:type="dxa" w:w="1662"/>
          </w:tcPr>
          <w:p>
            <w:pPr>
              <w:spacing w:after="0" w:line="240" w:lineRule="auto"/>
              <w:ind w:firstLine="0"/>
              <w:jc w:val="center"/>
            </w:pPr>
            <w:r>
              <w:rPr>
                <w:b w:val="0"/>
                <w:i w:val="0"/>
                <w:sz w:val="20"/>
              </w:rPr>
              <w:t>65</w:t>
            </w:r>
          </w:p>
        </w:tc>
        <w:tc>
          <w:tcPr>
            <w:tcW w:type="dxa" w:w="1662"/>
          </w:tcPr>
          <w:p>
            <w:pPr>
              <w:spacing w:after="0" w:line="240" w:lineRule="auto"/>
              <w:ind w:firstLine="0"/>
              <w:jc w:val="center"/>
            </w:pPr>
            <w:r>
              <w:rPr>
                <w:b w:val="0"/>
                <w:i w:val="0"/>
                <w:sz w:val="20"/>
              </w:rPr>
              <w:t>85</w:t>
            </w:r>
          </w:p>
        </w:tc>
        <w:tc>
          <w:tcPr>
            <w:tcW w:type="dxa" w:w="1662"/>
          </w:tcPr>
          <w:p>
            <w:pPr>
              <w:spacing w:after="0" w:line="240" w:lineRule="auto"/>
              <w:ind w:firstLine="0"/>
              <w:jc w:val="center"/>
            </w:pPr>
            <w:r>
              <w:rPr>
                <w:b w:val="0"/>
                <w:i w:val="0"/>
                <w:sz w:val="20"/>
              </w:rPr>
              <w:t>95</w:t>
            </w:r>
          </w:p>
        </w:tc>
      </w:tr>
      <w:tr>
        <w:tc>
          <w:tcPr>
            <w:tcW w:type="dxa" w:w="1662"/>
          </w:tcPr>
          <w:p>
            <w:pPr>
              <w:spacing w:after="0" w:line="240" w:lineRule="auto"/>
              <w:ind w:firstLine="0"/>
              <w:jc w:val="left"/>
            </w:pPr>
            <w:r>
              <w:rPr>
                <w:b w:val="0"/>
                <w:i w:val="0"/>
                <w:sz w:val="20"/>
              </w:rPr>
              <w:t>Металлургический передел</w:t>
            </w:r>
          </w:p>
        </w:tc>
        <w:tc>
          <w:tcPr>
            <w:tcW w:type="dxa" w:w="1662"/>
          </w:tcPr>
          <w:p>
            <w:pPr>
              <w:spacing w:after="0" w:line="240" w:lineRule="auto"/>
              <w:ind w:firstLine="0"/>
              <w:jc w:val="center"/>
            </w:pPr>
            <w:r>
              <w:rPr>
                <w:b w:val="0"/>
                <w:i w:val="0"/>
                <w:sz w:val="20"/>
              </w:rPr>
              <w:t>30</w:t>
            </w:r>
          </w:p>
        </w:tc>
        <w:tc>
          <w:tcPr>
            <w:tcW w:type="dxa" w:w="1662"/>
          </w:tcPr>
          <w:p>
            <w:pPr>
              <w:spacing w:after="0" w:line="240" w:lineRule="auto"/>
              <w:ind w:firstLine="0"/>
              <w:jc w:val="center"/>
            </w:pPr>
            <w:r>
              <w:rPr>
                <w:b w:val="0"/>
                <w:i w:val="0"/>
                <w:sz w:val="20"/>
              </w:rPr>
              <w:t>60</w:t>
            </w:r>
          </w:p>
        </w:tc>
        <w:tc>
          <w:tcPr>
            <w:tcW w:type="dxa" w:w="1662"/>
          </w:tcPr>
          <w:p>
            <w:pPr>
              <w:spacing w:after="0" w:line="240" w:lineRule="auto"/>
              <w:ind w:firstLine="0"/>
              <w:jc w:val="center"/>
            </w:pPr>
            <w:r>
              <w:rPr>
                <w:b w:val="0"/>
                <w:i w:val="0"/>
                <w:sz w:val="20"/>
              </w:rPr>
              <w:t>82</w:t>
            </w:r>
          </w:p>
        </w:tc>
        <w:tc>
          <w:tcPr>
            <w:tcW w:type="dxa" w:w="1662"/>
          </w:tcPr>
          <w:p>
            <w:pPr>
              <w:spacing w:after="0" w:line="240" w:lineRule="auto"/>
              <w:ind w:firstLine="0"/>
              <w:jc w:val="center"/>
            </w:pPr>
            <w:r>
              <w:rPr>
                <w:b w:val="0"/>
                <w:i w:val="0"/>
                <w:sz w:val="20"/>
              </w:rPr>
              <w:t>95</w:t>
            </w:r>
          </w:p>
        </w:tc>
        <w:tc>
          <w:tcPr>
            <w:tcW w:type="dxa" w:w="1662"/>
          </w:tcPr>
          <w:p>
            <w:pPr>
              <w:spacing w:after="0" w:line="240" w:lineRule="auto"/>
              <w:ind w:firstLine="0"/>
              <w:jc w:val="center"/>
            </w:pPr>
            <w:r>
              <w:rPr>
                <w:b w:val="0"/>
                <w:i w:val="0"/>
                <w:sz w:val="20"/>
              </w:rPr>
              <w:t>100</w:t>
            </w:r>
          </w:p>
        </w:tc>
      </w:tr>
      <w:tr>
        <w:tc>
          <w:tcPr>
            <w:tcW w:type="dxa" w:w="1662"/>
          </w:tcPr>
          <w:p>
            <w:pPr>
              <w:spacing w:after="0" w:line="240" w:lineRule="auto"/>
              <w:ind w:firstLine="0"/>
              <w:jc w:val="left"/>
            </w:pPr>
            <w:r>
              <w:rPr>
                <w:b w:val="0"/>
                <w:i w:val="0"/>
                <w:sz w:val="20"/>
              </w:rPr>
              <w:t>Производство магнитов</w:t>
            </w:r>
          </w:p>
        </w:tc>
        <w:tc>
          <w:tcPr>
            <w:tcW w:type="dxa" w:w="1662"/>
          </w:tcPr>
          <w:p>
            <w:pPr>
              <w:spacing w:after="0" w:line="240" w:lineRule="auto"/>
              <w:ind w:firstLine="0"/>
              <w:jc w:val="center"/>
            </w:pPr>
            <w:r>
              <w:rPr>
                <w:b w:val="0"/>
                <w:i w:val="0"/>
                <w:sz w:val="20"/>
              </w:rPr>
              <w:t>20</w:t>
            </w:r>
          </w:p>
        </w:tc>
        <w:tc>
          <w:tcPr>
            <w:tcW w:type="dxa" w:w="1662"/>
          </w:tcPr>
          <w:p>
            <w:pPr>
              <w:spacing w:after="0" w:line="240" w:lineRule="auto"/>
              <w:ind w:firstLine="0"/>
              <w:jc w:val="center"/>
            </w:pPr>
            <w:r>
              <w:rPr>
                <w:b w:val="0"/>
                <w:i w:val="0"/>
                <w:sz w:val="20"/>
              </w:rPr>
              <w:t>50</w:t>
            </w:r>
          </w:p>
        </w:tc>
        <w:tc>
          <w:tcPr>
            <w:tcW w:type="dxa" w:w="1662"/>
          </w:tcPr>
          <w:p>
            <w:pPr>
              <w:spacing w:after="0" w:line="240" w:lineRule="auto"/>
              <w:ind w:firstLine="0"/>
              <w:jc w:val="center"/>
            </w:pPr>
            <w:r>
              <w:rPr>
                <w:b w:val="0"/>
                <w:i w:val="0"/>
                <w:sz w:val="20"/>
              </w:rPr>
              <w:t>75</w:t>
            </w:r>
          </w:p>
        </w:tc>
        <w:tc>
          <w:tcPr>
            <w:tcW w:type="dxa" w:w="1662"/>
          </w:tcPr>
          <w:p>
            <w:pPr>
              <w:spacing w:after="0" w:line="240" w:lineRule="auto"/>
              <w:ind w:firstLine="0"/>
              <w:jc w:val="center"/>
            </w:pPr>
            <w:r>
              <w:rPr>
                <w:b w:val="0"/>
                <w:i w:val="0"/>
                <w:sz w:val="20"/>
              </w:rPr>
              <w:t>90</w:t>
            </w:r>
          </w:p>
        </w:tc>
        <w:tc>
          <w:tcPr>
            <w:tcW w:type="dxa" w:w="1662"/>
          </w:tcPr>
          <w:p>
            <w:pPr>
              <w:spacing w:after="0" w:line="240" w:lineRule="auto"/>
              <w:ind w:firstLine="0"/>
              <w:jc w:val="center"/>
            </w:pPr>
            <w:r>
              <w:rPr>
                <w:b w:val="0"/>
                <w:i w:val="0"/>
                <w:sz w:val="20"/>
              </w:rPr>
              <w:t>100</w:t>
            </w:r>
          </w:p>
        </w:tc>
      </w:tr>
    </w:tbl>
    <w:p>
      <w:pPr>
        <w:spacing w:after="180"/>
        <w:ind w:firstLine="0"/>
      </w:pPr>
      <w:r>
        <w:rPr>
          <w:i/>
          <w:sz w:val="20"/>
        </w:rPr>
        <w:t>Источник: аналитический центр по фактическим данным Lynas, MP Materials, Serra Verde, Neo</w:t>
      </w:r>
    </w:p>
    <w:p>
      <w:pPr>
        <w:keepNext/>
        <w:spacing w:before="160" w:after="60"/>
        <w:ind w:firstLine="0"/>
        <w:jc w:val="left"/>
      </w:pPr>
      <w:r>
        <w:rPr>
          <w:b/>
          <w:sz w:val="22"/>
        </w:rPr>
        <w:t>Рисунок 96. Типовая траектория выхода редкоземельных производств на проектную мощность, %</w:t>
      </w:r>
    </w:p>
    <w:p>
      <w:pPr>
        <w:ind w:firstLine="0"/>
        <w:jc w:val="center"/>
      </w:pPr>
      <w:r>
        <w:drawing>
          <wp:inline xmlns:a="http://schemas.openxmlformats.org/drawingml/2006/main" xmlns:pic="http://schemas.openxmlformats.org/drawingml/2006/picture">
            <wp:extent cx="5580000" cy="2729348"/>
            <wp:docPr id="96" name="Picture 96"/>
            <wp:cNvGraphicFramePr>
              <a:graphicFrameLocks noChangeAspect="1"/>
            </wp:cNvGraphicFramePr>
            <a:graphic>
              <a:graphicData uri="http://schemas.openxmlformats.org/drawingml/2006/picture">
                <pic:pic>
                  <pic:nvPicPr>
                    <pic:cNvPr id="0" name="fig96.png"/>
                    <pic:cNvPicPr/>
                  </pic:nvPicPr>
                  <pic:blipFill>
                    <a:blip r:embed="rId106"/>
                    <a:stretch>
                      <a:fillRect/>
                    </a:stretch>
                  </pic:blipFill>
                  <pic:spPr>
                    <a:xfrm>
                      <a:off x="0" y="0"/>
                      <a:ext cx="5580000" cy="2729348"/>
                    </a:xfrm>
                    <a:prstGeom prst="rect"/>
                  </pic:spPr>
                </pic:pic>
              </a:graphicData>
            </a:graphic>
          </wp:inline>
        </w:drawing>
      </w:r>
    </w:p>
    <w:p>
      <w:pPr>
        <w:spacing w:after="180"/>
        <w:ind w:firstLine="0"/>
      </w:pPr>
      <w:r>
        <w:rPr>
          <w:i/>
          <w:sz w:val="20"/>
        </w:rPr>
        <w:t>Источник: аналитический центр (табл. 143)</w:t>
      </w:r>
    </w:p>
    <w:p>
      <w:pPr>
        <w:pStyle w:val="Heading2"/>
      </w:pPr>
      <w:r>
        <w:rPr>
          <w:b w:val="0"/>
          <w:i w:val="0"/>
        </w:rPr>
        <w:t>П9.3. Модель ценового прогноза</w:t>
      </w:r>
    </w:p>
    <w:p>
      <w:r>
        <w:rPr>
          <w:b w:val="0"/>
          <w:i w:val="0"/>
        </w:rPr>
        <w:t>Ценовой прогноз построен на основе кривой предельных издержек (cost curve) с учётом институциональных факторов. Базовое допущение: равновесная цена определяется себестоимостью замыкающего производителя, необходимого для покрытия спроса, с надбавкой за требуемую доходность.</w:t>
      </w:r>
    </w:p>
    <w:p>
      <w:r>
        <w:rPr>
          <w:b w:val="0"/>
          <w:i w:val="0"/>
        </w:rPr>
        <w:t>Модификации базовой модели, введённые для редкоземельного рынка:</w:t>
      </w:r>
    </w:p>
    <w:p>
      <w:pPr>
        <w:pStyle w:val="ListNumber"/>
        <w:spacing w:after="20"/>
        <w:ind w:firstLine="0"/>
      </w:pPr>
      <w:r>
        <w:rPr>
          <w:b/>
          <w:i w:val="0"/>
        </w:rPr>
        <w:t>Ценовой пол.</w:t>
      </w:r>
      <w:r>
        <w:rPr>
          <w:b w:val="0"/>
          <w:i w:val="0"/>
        </w:rPr>
        <w:t xml:space="preserve"> Наличие гарантированных цен (США) означает, что часть предложения формируется вне рыночного механизма. Это повышает нижнюю границу равновесной цены.</w:t>
      </w:r>
    </w:p>
    <w:p>
      <w:pPr>
        <w:pStyle w:val="ListNumber"/>
        <w:spacing w:after="20"/>
        <w:ind w:firstLine="0"/>
      </w:pPr>
      <w:r>
        <w:rPr>
          <w:b/>
          <w:i w:val="0"/>
        </w:rPr>
        <w:t>Двухконтурность.</w:t>
      </w:r>
      <w:r>
        <w:rPr>
          <w:b w:val="0"/>
          <w:i w:val="0"/>
        </w:rPr>
        <w:t xml:space="preserve"> Для элементов под экспортным контролем рассчитываются две цены — внутрикитайская (по кривой издержек) и внешняя (с премией за доступность, определяемой эластичностью спроса и наличием альтернатив).</w:t>
      </w:r>
    </w:p>
    <w:p>
      <w:pPr>
        <w:pStyle w:val="ListNumber"/>
        <w:spacing w:after="20"/>
        <w:ind w:firstLine="0"/>
      </w:pPr>
      <w:r>
        <w:rPr>
          <w:b/>
          <w:i w:val="0"/>
        </w:rPr>
        <w:t>Управляемое предложение.</w:t>
      </w:r>
      <w:r>
        <w:rPr>
          <w:b w:val="0"/>
          <w:i w:val="0"/>
        </w:rPr>
        <w:t xml:space="preserve"> Квотная политика КНР моделируется как ограничение сверху на объём китайского предложения, устанавливаемое с целью удержания цены в коридоре, обеспечивающем рентабельность китайских производителей при нерентабельности конкурентов.</w:t>
      </w:r>
    </w:p>
    <w:p>
      <w:pPr>
        <w:keepNext/>
        <w:spacing w:before="160" w:after="60"/>
        <w:ind w:firstLine="0"/>
        <w:jc w:val="left"/>
      </w:pPr>
      <w:r>
        <w:rPr>
          <w:b/>
          <w:sz w:val="22"/>
        </w:rPr>
        <w:t>Таблица 144. Параметры ценовой модели по ключевым элементам</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Элемент</w:t>
            </w:r>
          </w:p>
        </w:tc>
        <w:tc>
          <w:tcPr>
            <w:tcW w:type="dxa" w:w="1995"/>
            <w:shd w:val="clear" w:fill="DCE6F1"/>
          </w:tcPr>
          <w:p>
            <w:pPr>
              <w:spacing w:after="0" w:line="240" w:lineRule="auto"/>
              <w:ind w:firstLine="0"/>
              <w:jc w:val="center"/>
            </w:pPr>
            <w:r>
              <w:rPr>
                <w:b/>
                <w:i w:val="0"/>
                <w:sz w:val="20"/>
              </w:rPr>
              <w:t>Себестоим. замыкающего производителя, $/кг</w:t>
            </w:r>
          </w:p>
        </w:tc>
        <w:tc>
          <w:tcPr>
            <w:tcW w:type="dxa" w:w="1995"/>
            <w:shd w:val="clear" w:fill="DCE6F1"/>
          </w:tcPr>
          <w:p>
            <w:pPr>
              <w:spacing w:after="0" w:line="240" w:lineRule="auto"/>
              <w:ind w:firstLine="0"/>
              <w:jc w:val="center"/>
            </w:pPr>
            <w:r>
              <w:rPr>
                <w:b/>
                <w:i w:val="0"/>
                <w:sz w:val="20"/>
              </w:rPr>
              <w:t>Требуемая доходность, %</w:t>
            </w:r>
          </w:p>
        </w:tc>
        <w:tc>
          <w:tcPr>
            <w:tcW w:type="dxa" w:w="1995"/>
            <w:shd w:val="clear" w:fill="DCE6F1"/>
          </w:tcPr>
          <w:p>
            <w:pPr>
              <w:spacing w:after="0" w:line="240" w:lineRule="auto"/>
              <w:ind w:firstLine="0"/>
              <w:jc w:val="center"/>
            </w:pPr>
            <w:r>
              <w:rPr>
                <w:b/>
                <w:i w:val="0"/>
                <w:sz w:val="20"/>
              </w:rPr>
              <w:t>Премия за доступность, %</w:t>
            </w:r>
          </w:p>
        </w:tc>
        <w:tc>
          <w:tcPr>
            <w:tcW w:type="dxa" w:w="1995"/>
            <w:shd w:val="clear" w:fill="DCE6F1"/>
          </w:tcPr>
          <w:p>
            <w:pPr>
              <w:spacing w:after="0" w:line="240" w:lineRule="auto"/>
              <w:ind w:firstLine="0"/>
              <w:jc w:val="center"/>
            </w:pPr>
            <w:r>
              <w:rPr>
                <w:b/>
                <w:i w:val="0"/>
                <w:sz w:val="20"/>
              </w:rPr>
              <w:t>Расчётная равновесная цена 2030, $/кг</w:t>
            </w:r>
          </w:p>
        </w:tc>
      </w:tr>
      <w:tr>
        <w:tc>
          <w:tcPr>
            <w:tcW w:type="dxa" w:w="1995"/>
          </w:tcPr>
          <w:p>
            <w:pPr>
              <w:spacing w:after="0" w:line="240" w:lineRule="auto"/>
              <w:ind w:firstLine="0"/>
              <w:jc w:val="left"/>
            </w:pPr>
            <w:r>
              <w:rPr>
                <w:b w:val="0"/>
                <w:i w:val="0"/>
                <w:sz w:val="20"/>
              </w:rPr>
              <w:t>NdPr</w:t>
            </w:r>
          </w:p>
        </w:tc>
        <w:tc>
          <w:tcPr>
            <w:tcW w:type="dxa" w:w="1995"/>
          </w:tcPr>
          <w:p>
            <w:pPr>
              <w:spacing w:after="0" w:line="240" w:lineRule="auto"/>
              <w:ind w:firstLine="0"/>
              <w:jc w:val="center"/>
            </w:pPr>
            <w:r>
              <w:rPr>
                <w:b w:val="0"/>
                <w:i w:val="0"/>
                <w:sz w:val="20"/>
              </w:rPr>
              <w:t>55</w:t>
            </w:r>
          </w:p>
        </w:tc>
        <w:tc>
          <w:tcPr>
            <w:tcW w:type="dxa" w:w="1995"/>
          </w:tcPr>
          <w:p>
            <w:pPr>
              <w:spacing w:after="0" w:line="240" w:lineRule="auto"/>
              <w:ind w:firstLine="0"/>
              <w:jc w:val="center"/>
            </w:pPr>
            <w:r>
              <w:rPr>
                <w:b w:val="0"/>
                <w:i w:val="0"/>
                <w:sz w:val="20"/>
              </w:rPr>
              <w:t>22</w:t>
            </w:r>
          </w:p>
        </w:tc>
        <w:tc>
          <w:tcPr>
            <w:tcW w:type="dxa" w:w="1995"/>
          </w:tcPr>
          <w:p>
            <w:pPr>
              <w:spacing w:after="0" w:line="240" w:lineRule="auto"/>
              <w:ind w:firstLine="0"/>
              <w:jc w:val="center"/>
            </w:pPr>
            <w:r>
              <w:rPr>
                <w:b w:val="0"/>
                <w:i w:val="0"/>
                <w:sz w:val="20"/>
              </w:rPr>
              <w:t>30</w:t>
            </w:r>
          </w:p>
        </w:tc>
        <w:tc>
          <w:tcPr>
            <w:tcW w:type="dxa" w:w="1995"/>
          </w:tcPr>
          <w:p>
            <w:pPr>
              <w:spacing w:after="0" w:line="240" w:lineRule="auto"/>
              <w:ind w:firstLine="0"/>
              <w:jc w:val="center"/>
            </w:pPr>
            <w:r>
              <w:rPr>
                <w:b w:val="0"/>
                <w:i w:val="0"/>
                <w:sz w:val="20"/>
              </w:rPr>
              <w:t>88</w:t>
            </w:r>
          </w:p>
        </w:tc>
      </w:tr>
      <w:tr>
        <w:tc>
          <w:tcPr>
            <w:tcW w:type="dxa" w:w="1995"/>
          </w:tcPr>
          <w:p>
            <w:pPr>
              <w:spacing w:after="0" w:line="240" w:lineRule="auto"/>
              <w:ind w:firstLine="0"/>
              <w:jc w:val="left"/>
            </w:pPr>
            <w:r>
              <w:rPr>
                <w:b w:val="0"/>
                <w:i w:val="0"/>
                <w:sz w:val="20"/>
              </w:rPr>
              <w:t>Dy₂O₃</w:t>
            </w:r>
          </w:p>
        </w:tc>
        <w:tc>
          <w:tcPr>
            <w:tcW w:type="dxa" w:w="1995"/>
          </w:tcPr>
          <w:p>
            <w:pPr>
              <w:spacing w:after="0" w:line="240" w:lineRule="auto"/>
              <w:ind w:firstLine="0"/>
              <w:jc w:val="center"/>
            </w:pPr>
            <w:r>
              <w:rPr>
                <w:b w:val="0"/>
                <w:i w:val="0"/>
                <w:sz w:val="20"/>
              </w:rPr>
              <w:t>195</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340</w:t>
            </w:r>
          </w:p>
        </w:tc>
      </w:tr>
      <w:tr>
        <w:tc>
          <w:tcPr>
            <w:tcW w:type="dxa" w:w="1995"/>
          </w:tcPr>
          <w:p>
            <w:pPr>
              <w:spacing w:after="0" w:line="240" w:lineRule="auto"/>
              <w:ind w:firstLine="0"/>
              <w:jc w:val="left"/>
            </w:pPr>
            <w:r>
              <w:rPr>
                <w:b w:val="0"/>
                <w:i w:val="0"/>
                <w:sz w:val="20"/>
              </w:rPr>
              <w:t>Tb₄O₇</w:t>
            </w:r>
          </w:p>
        </w:tc>
        <w:tc>
          <w:tcPr>
            <w:tcW w:type="dxa" w:w="1995"/>
          </w:tcPr>
          <w:p>
            <w:pPr>
              <w:spacing w:after="0" w:line="240" w:lineRule="auto"/>
              <w:ind w:firstLine="0"/>
              <w:jc w:val="center"/>
            </w:pPr>
            <w:r>
              <w:rPr>
                <w:b w:val="0"/>
                <w:i w:val="0"/>
                <w:sz w:val="20"/>
              </w:rPr>
              <w:t>680</w:t>
            </w:r>
          </w:p>
        </w:tc>
        <w:tc>
          <w:tcPr>
            <w:tcW w:type="dxa" w:w="1995"/>
          </w:tcPr>
          <w:p>
            <w:pPr>
              <w:spacing w:after="0" w:line="240" w:lineRule="auto"/>
              <w:ind w:firstLine="0"/>
              <w:jc w:val="center"/>
            </w:pPr>
            <w:r>
              <w:rPr>
                <w:b w:val="0"/>
                <w:i w:val="0"/>
                <w:sz w:val="20"/>
              </w:rPr>
              <w:t>25</w:t>
            </w:r>
          </w:p>
        </w:tc>
        <w:tc>
          <w:tcPr>
            <w:tcW w:type="dxa" w:w="1995"/>
          </w:tcPr>
          <w:p>
            <w:pPr>
              <w:spacing w:after="0" w:line="240" w:lineRule="auto"/>
              <w:ind w:firstLine="0"/>
              <w:jc w:val="center"/>
            </w:pPr>
            <w:r>
              <w:rPr>
                <w:b w:val="0"/>
                <w:i w:val="0"/>
                <w:sz w:val="20"/>
              </w:rPr>
              <w:t>45</w:t>
            </w:r>
          </w:p>
        </w:tc>
        <w:tc>
          <w:tcPr>
            <w:tcW w:type="dxa" w:w="1995"/>
          </w:tcPr>
          <w:p>
            <w:pPr>
              <w:spacing w:after="0" w:line="240" w:lineRule="auto"/>
              <w:ind w:firstLine="0"/>
              <w:jc w:val="center"/>
            </w:pPr>
            <w:r>
              <w:rPr>
                <w:b w:val="0"/>
                <w:i w:val="0"/>
                <w:sz w:val="20"/>
              </w:rPr>
              <w:t>1 220</w:t>
            </w:r>
          </w:p>
        </w:tc>
      </w:tr>
      <w:tr>
        <w:tc>
          <w:tcPr>
            <w:tcW w:type="dxa" w:w="1995"/>
          </w:tcPr>
          <w:p>
            <w:pPr>
              <w:spacing w:after="0" w:line="240" w:lineRule="auto"/>
              <w:ind w:firstLine="0"/>
              <w:jc w:val="left"/>
            </w:pPr>
            <w:r>
              <w:rPr>
                <w:b w:val="0"/>
                <w:i w:val="0"/>
                <w:sz w:val="20"/>
              </w:rPr>
              <w:t>Y₂O₃</w:t>
            </w:r>
          </w:p>
        </w:tc>
        <w:tc>
          <w:tcPr>
            <w:tcW w:type="dxa" w:w="1995"/>
          </w:tcPr>
          <w:p>
            <w:pPr>
              <w:spacing w:after="0" w:line="240" w:lineRule="auto"/>
              <w:ind w:firstLine="0"/>
              <w:jc w:val="center"/>
            </w:pPr>
            <w:r>
              <w:rPr>
                <w:b w:val="0"/>
                <w:i w:val="0"/>
                <w:sz w:val="20"/>
              </w:rPr>
              <w:t>5,5</w:t>
            </w:r>
          </w:p>
        </w:tc>
        <w:tc>
          <w:tcPr>
            <w:tcW w:type="dxa" w:w="1995"/>
          </w:tcPr>
          <w:p>
            <w:pPr>
              <w:spacing w:after="0" w:line="240" w:lineRule="auto"/>
              <w:ind w:firstLine="0"/>
              <w:jc w:val="center"/>
            </w:pPr>
            <w:r>
              <w:rPr>
                <w:b w:val="0"/>
                <w:i w:val="0"/>
                <w:sz w:val="20"/>
              </w:rPr>
              <w:t>20</w:t>
            </w:r>
          </w:p>
        </w:tc>
        <w:tc>
          <w:tcPr>
            <w:tcW w:type="dxa" w:w="1995"/>
          </w:tcPr>
          <w:p>
            <w:pPr>
              <w:spacing w:after="0" w:line="240" w:lineRule="auto"/>
              <w:ind w:firstLine="0"/>
              <w:jc w:val="center"/>
            </w:pPr>
            <w:r>
              <w:rPr>
                <w:b w:val="0"/>
                <w:i w:val="0"/>
                <w:sz w:val="20"/>
              </w:rPr>
              <w:t>35</w:t>
            </w:r>
          </w:p>
        </w:tc>
        <w:tc>
          <w:tcPr>
            <w:tcW w:type="dxa" w:w="1995"/>
          </w:tcPr>
          <w:p>
            <w:pPr>
              <w:spacing w:after="0" w:line="240" w:lineRule="auto"/>
              <w:ind w:firstLine="0"/>
              <w:jc w:val="center"/>
            </w:pPr>
            <w:r>
              <w:rPr>
                <w:b w:val="0"/>
                <w:i w:val="0"/>
                <w:sz w:val="20"/>
              </w:rPr>
              <w:t>9</w:t>
            </w:r>
          </w:p>
        </w:tc>
      </w:tr>
      <w:tr>
        <w:tc>
          <w:tcPr>
            <w:tcW w:type="dxa" w:w="1995"/>
          </w:tcPr>
          <w:p>
            <w:pPr>
              <w:spacing w:after="0" w:line="240" w:lineRule="auto"/>
              <w:ind w:firstLine="0"/>
              <w:jc w:val="left"/>
            </w:pPr>
            <w:r>
              <w:rPr>
                <w:b w:val="0"/>
                <w:i w:val="0"/>
                <w:sz w:val="20"/>
              </w:rPr>
              <w:t>Gd₂O₃</w:t>
            </w:r>
          </w:p>
        </w:tc>
        <w:tc>
          <w:tcPr>
            <w:tcW w:type="dxa" w:w="1995"/>
          </w:tcPr>
          <w:p>
            <w:pPr>
              <w:spacing w:after="0" w:line="240" w:lineRule="auto"/>
              <w:ind w:firstLine="0"/>
              <w:jc w:val="center"/>
            </w:pPr>
            <w:r>
              <w:rPr>
                <w:b w:val="0"/>
                <w:i w:val="0"/>
                <w:sz w:val="20"/>
              </w:rPr>
              <w:t>26</w:t>
            </w:r>
          </w:p>
        </w:tc>
        <w:tc>
          <w:tcPr>
            <w:tcW w:type="dxa" w:w="1995"/>
          </w:tcPr>
          <w:p>
            <w:pPr>
              <w:spacing w:after="0" w:line="240" w:lineRule="auto"/>
              <w:ind w:firstLine="0"/>
              <w:jc w:val="center"/>
            </w:pPr>
            <w:r>
              <w:rPr>
                <w:b w:val="0"/>
                <w:i w:val="0"/>
                <w:sz w:val="20"/>
              </w:rPr>
              <w:t>22</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45</w:t>
            </w:r>
          </w:p>
        </w:tc>
      </w:tr>
      <w:tr>
        <w:tc>
          <w:tcPr>
            <w:tcW w:type="dxa" w:w="1995"/>
          </w:tcPr>
          <w:p>
            <w:pPr>
              <w:spacing w:after="0" w:line="240" w:lineRule="auto"/>
              <w:ind w:firstLine="0"/>
              <w:jc w:val="left"/>
            </w:pPr>
            <w:r>
              <w:rPr>
                <w:b w:val="0"/>
                <w:i w:val="0"/>
                <w:sz w:val="20"/>
              </w:rPr>
              <w:t>La₂O₃</w:t>
            </w:r>
          </w:p>
        </w:tc>
        <w:tc>
          <w:tcPr>
            <w:tcW w:type="dxa" w:w="1995"/>
          </w:tcPr>
          <w:p>
            <w:pPr>
              <w:spacing w:after="0" w:line="240" w:lineRule="auto"/>
              <w:ind w:firstLine="0"/>
              <w:jc w:val="center"/>
            </w:pPr>
            <w:r>
              <w:rPr>
                <w:b w:val="0"/>
                <w:i w:val="0"/>
                <w:sz w:val="20"/>
              </w:rPr>
              <w:t>1,8</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0,8</w:t>
            </w:r>
          </w:p>
        </w:tc>
      </w:tr>
      <w:tr>
        <w:tc>
          <w:tcPr>
            <w:tcW w:type="dxa" w:w="1995"/>
          </w:tcPr>
          <w:p>
            <w:pPr>
              <w:spacing w:after="0" w:line="240" w:lineRule="auto"/>
              <w:ind w:firstLine="0"/>
              <w:jc w:val="left"/>
            </w:pPr>
            <w:r>
              <w:rPr>
                <w:b w:val="0"/>
                <w:i w:val="0"/>
                <w:sz w:val="20"/>
              </w:rPr>
              <w:t>CeO₂</w:t>
            </w:r>
          </w:p>
        </w:tc>
        <w:tc>
          <w:tcPr>
            <w:tcW w:type="dxa" w:w="1995"/>
          </w:tcPr>
          <w:p>
            <w:pPr>
              <w:spacing w:after="0" w:line="240" w:lineRule="auto"/>
              <w:ind w:firstLine="0"/>
              <w:jc w:val="center"/>
            </w:pPr>
            <w:r>
              <w:rPr>
                <w:b w:val="0"/>
                <w:i w:val="0"/>
                <w:sz w:val="20"/>
              </w:rPr>
              <w:t>1,6</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0,9</w:t>
            </w:r>
          </w:p>
        </w:tc>
      </w:tr>
      <w:tr>
        <w:tc>
          <w:tcPr>
            <w:tcW w:type="dxa" w:w="1995"/>
          </w:tcPr>
          <w:p>
            <w:pPr>
              <w:spacing w:after="0" w:line="240" w:lineRule="auto"/>
              <w:ind w:firstLine="0"/>
              <w:jc w:val="left"/>
            </w:pPr>
            <w:r>
              <w:rPr>
                <w:b w:val="0"/>
                <w:i w:val="0"/>
                <w:sz w:val="20"/>
              </w:rPr>
              <w:t>Sc₂O₃</w:t>
            </w:r>
          </w:p>
        </w:tc>
        <w:tc>
          <w:tcPr>
            <w:tcW w:type="dxa" w:w="1995"/>
          </w:tcPr>
          <w:p>
            <w:pPr>
              <w:spacing w:after="0" w:line="240" w:lineRule="auto"/>
              <w:ind w:firstLine="0"/>
              <w:jc w:val="center"/>
            </w:pPr>
            <w:r>
              <w:rPr>
                <w:b w:val="0"/>
                <w:i w:val="0"/>
                <w:sz w:val="20"/>
              </w:rPr>
              <w:t>780</w:t>
            </w:r>
          </w:p>
        </w:tc>
        <w:tc>
          <w:tcPr>
            <w:tcW w:type="dxa" w:w="1995"/>
          </w:tcPr>
          <w:p>
            <w:pPr>
              <w:spacing w:after="0" w:line="240" w:lineRule="auto"/>
              <w:ind w:firstLine="0"/>
              <w:jc w:val="center"/>
            </w:pPr>
            <w:r>
              <w:rPr>
                <w:b w:val="0"/>
                <w:i w:val="0"/>
                <w:sz w:val="20"/>
              </w:rPr>
              <w:t>30</w:t>
            </w:r>
          </w:p>
        </w:tc>
        <w:tc>
          <w:tcPr>
            <w:tcW w:type="dxa" w:w="1995"/>
          </w:tcPr>
          <w:p>
            <w:pPr>
              <w:spacing w:after="0" w:line="240" w:lineRule="auto"/>
              <w:ind w:firstLine="0"/>
              <w:jc w:val="center"/>
            </w:pPr>
            <w:r>
              <w:rPr>
                <w:b w:val="0"/>
                <w:i w:val="0"/>
                <w:sz w:val="20"/>
              </w:rPr>
              <w:t>15</w:t>
            </w:r>
          </w:p>
        </w:tc>
        <w:tc>
          <w:tcPr>
            <w:tcW w:type="dxa" w:w="1995"/>
          </w:tcPr>
          <w:p>
            <w:pPr>
              <w:spacing w:after="0" w:line="240" w:lineRule="auto"/>
              <w:ind w:firstLine="0"/>
              <w:jc w:val="center"/>
            </w:pPr>
            <w:r>
              <w:rPr>
                <w:b w:val="0"/>
                <w:i w:val="0"/>
                <w:sz w:val="20"/>
              </w:rPr>
              <w:t>1 200</w:t>
            </w:r>
          </w:p>
        </w:tc>
      </w:tr>
    </w:tbl>
    <w:p>
      <w:pPr>
        <w:spacing w:after="180"/>
        <w:ind w:firstLine="0"/>
      </w:pPr>
      <w:r>
        <w:rPr>
          <w:i/>
          <w:sz w:val="20"/>
        </w:rPr>
        <w:t>Источник: аналитический центр</w:t>
      </w:r>
    </w:p>
    <w:p>
      <w:r>
        <w:rPr>
          <w:b w:val="0"/>
          <w:i w:val="0"/>
        </w:rPr>
        <w:t>Для лантана и церия модель даёт цену ниже себестоимости, что отражает их фактический статус побочных продуктов: их производство не мотивировано спросом, а издержки полностью отнесены на дефицитные элементы. Формально это означает отрицательную маржинальную стоимость лёгких элементов — состояние, устойчивое до тех пор, пока не будет найдено применение, способное поглотить избыточные объёмы.</w:t>
      </w:r>
    </w:p>
    <w:p>
      <w:r>
        <w:br w:type="page"/>
      </w:r>
    </w:p>
    <w:p>
      <w:pPr>
        <w:pStyle w:val="Heading1"/>
      </w:pPr>
      <w:r>
        <w:rPr>
          <w:b w:val="0"/>
          <w:i w:val="0"/>
        </w:rPr>
        <w:t>Приложение 10. Сопоставительный анализ рынков критического сырья</w:t>
      </w:r>
    </w:p>
    <w:p>
      <w:pPr>
        <w:pStyle w:val="Heading2"/>
      </w:pPr>
      <w:r>
        <w:rPr>
          <w:b w:val="0"/>
          <w:i w:val="0"/>
        </w:rPr>
        <w:t>П10.1. Место редкоземельных металлов среди критического сырья</w:t>
      </w:r>
    </w:p>
    <w:p>
      <w:pPr>
        <w:keepNext/>
        <w:spacing w:before="160" w:after="60"/>
        <w:ind w:firstLine="0"/>
        <w:jc w:val="left"/>
      </w:pPr>
      <w:r>
        <w:rPr>
          <w:b/>
          <w:sz w:val="22"/>
        </w:rPr>
        <w:t>Таблица 145. Сопоставительная характеристика рынков критического сырья, 2024 г.</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Сырьё</w:t>
            </w:r>
          </w:p>
        </w:tc>
        <w:tc>
          <w:tcPr>
            <w:tcW w:type="dxa" w:w="1662"/>
            <w:shd w:val="clear" w:fill="DCE6F1"/>
          </w:tcPr>
          <w:p>
            <w:pPr>
              <w:spacing w:after="0" w:line="240" w:lineRule="auto"/>
              <w:ind w:firstLine="0"/>
              <w:jc w:val="center"/>
            </w:pPr>
            <w:r>
              <w:rPr>
                <w:b/>
                <w:i w:val="0"/>
                <w:sz w:val="20"/>
              </w:rPr>
              <w:t>Произв., тыс. т</w:t>
            </w:r>
          </w:p>
        </w:tc>
        <w:tc>
          <w:tcPr>
            <w:tcW w:type="dxa" w:w="1662"/>
            <w:shd w:val="clear" w:fill="DCE6F1"/>
          </w:tcPr>
          <w:p>
            <w:pPr>
              <w:spacing w:after="0" w:line="240" w:lineRule="auto"/>
              <w:ind w:firstLine="0"/>
              <w:jc w:val="center"/>
            </w:pPr>
            <w:r>
              <w:rPr>
                <w:b/>
                <w:i w:val="0"/>
                <w:sz w:val="20"/>
              </w:rPr>
              <w:t>Ёмкость рынка, млрд $</w:t>
            </w:r>
          </w:p>
        </w:tc>
        <w:tc>
          <w:tcPr>
            <w:tcW w:type="dxa" w:w="1662"/>
            <w:shd w:val="clear" w:fill="DCE6F1"/>
          </w:tcPr>
          <w:p>
            <w:pPr>
              <w:spacing w:after="0" w:line="240" w:lineRule="auto"/>
              <w:ind w:firstLine="0"/>
              <w:jc w:val="center"/>
            </w:pPr>
            <w:r>
              <w:rPr>
                <w:b/>
                <w:i w:val="0"/>
                <w:sz w:val="20"/>
              </w:rPr>
              <w:t>Доля лидера в добыче, %</w:t>
            </w:r>
          </w:p>
        </w:tc>
        <w:tc>
          <w:tcPr>
            <w:tcW w:type="dxa" w:w="1662"/>
            <w:shd w:val="clear" w:fill="DCE6F1"/>
          </w:tcPr>
          <w:p>
            <w:pPr>
              <w:spacing w:after="0" w:line="240" w:lineRule="auto"/>
              <w:ind w:firstLine="0"/>
              <w:jc w:val="center"/>
            </w:pPr>
            <w:r>
              <w:rPr>
                <w:b/>
                <w:i w:val="0"/>
                <w:sz w:val="20"/>
              </w:rPr>
              <w:t>Доля лидера в переделе, %</w:t>
            </w:r>
          </w:p>
        </w:tc>
        <w:tc>
          <w:tcPr>
            <w:tcW w:type="dxa" w:w="1662"/>
            <w:shd w:val="clear" w:fill="DCE6F1"/>
          </w:tcPr>
          <w:p>
            <w:pPr>
              <w:spacing w:after="0" w:line="240" w:lineRule="auto"/>
              <w:ind w:firstLine="0"/>
              <w:jc w:val="center"/>
            </w:pPr>
            <w:r>
              <w:rPr>
                <w:b/>
                <w:i w:val="0"/>
                <w:sz w:val="20"/>
              </w:rPr>
              <w:t>Индекс концентрации</w:t>
            </w:r>
          </w:p>
        </w:tc>
      </w:tr>
      <w:tr>
        <w:tc>
          <w:tcPr>
            <w:tcW w:type="dxa" w:w="1662"/>
          </w:tcPr>
          <w:p>
            <w:pPr>
              <w:spacing w:after="0" w:line="240" w:lineRule="auto"/>
              <w:ind w:firstLine="0"/>
              <w:jc w:val="left"/>
            </w:pPr>
            <w:r>
              <w:rPr>
                <w:b w:val="0"/>
                <w:i w:val="0"/>
                <w:sz w:val="20"/>
              </w:rPr>
              <w:t>Редкие земли (TREO)</w:t>
            </w:r>
          </w:p>
        </w:tc>
        <w:tc>
          <w:tcPr>
            <w:tcW w:type="dxa" w:w="1662"/>
          </w:tcPr>
          <w:p>
            <w:pPr>
              <w:spacing w:after="0" w:line="240" w:lineRule="auto"/>
              <w:ind w:firstLine="0"/>
              <w:jc w:val="center"/>
            </w:pPr>
            <w:r>
              <w:rPr>
                <w:b w:val="0"/>
                <w:i w:val="0"/>
                <w:sz w:val="20"/>
              </w:rPr>
              <w:t>390</w:t>
            </w:r>
          </w:p>
        </w:tc>
        <w:tc>
          <w:tcPr>
            <w:tcW w:type="dxa" w:w="1662"/>
          </w:tcPr>
          <w:p>
            <w:pPr>
              <w:spacing w:after="0" w:line="240" w:lineRule="auto"/>
              <w:ind w:firstLine="0"/>
              <w:jc w:val="center"/>
            </w:pPr>
            <w:r>
              <w:rPr>
                <w:b w:val="0"/>
                <w:i w:val="0"/>
                <w:sz w:val="20"/>
              </w:rPr>
              <w:t>8</w:t>
            </w:r>
          </w:p>
        </w:tc>
        <w:tc>
          <w:tcPr>
            <w:tcW w:type="dxa" w:w="1662"/>
          </w:tcPr>
          <w:p>
            <w:pPr>
              <w:spacing w:after="0" w:line="240" w:lineRule="auto"/>
              <w:ind w:firstLine="0"/>
              <w:jc w:val="center"/>
            </w:pPr>
            <w:r>
              <w:rPr>
                <w:b w:val="0"/>
                <w:i w:val="0"/>
                <w:sz w:val="20"/>
              </w:rPr>
              <w:t>69 (КНР)</w:t>
            </w:r>
          </w:p>
        </w:tc>
        <w:tc>
          <w:tcPr>
            <w:tcW w:type="dxa" w:w="1662"/>
          </w:tcPr>
          <w:p>
            <w:pPr>
              <w:spacing w:after="0" w:line="240" w:lineRule="auto"/>
              <w:ind w:firstLine="0"/>
              <w:jc w:val="center"/>
            </w:pPr>
            <w:r>
              <w:rPr>
                <w:b w:val="0"/>
                <w:i w:val="0"/>
                <w:sz w:val="20"/>
              </w:rPr>
              <w:t>88 (КНР)</w:t>
            </w:r>
          </w:p>
        </w:tc>
        <w:tc>
          <w:tcPr>
            <w:tcW w:type="dxa" w:w="1662"/>
          </w:tcPr>
          <w:p>
            <w:pPr>
              <w:spacing w:after="0" w:line="240" w:lineRule="auto"/>
              <w:ind w:firstLine="0"/>
              <w:jc w:val="center"/>
            </w:pPr>
            <w:r>
              <w:rPr>
                <w:b w:val="0"/>
                <w:i w:val="0"/>
                <w:sz w:val="20"/>
              </w:rPr>
              <w:t>очень высокий</w:t>
            </w:r>
          </w:p>
        </w:tc>
      </w:tr>
      <w:tr>
        <w:tc>
          <w:tcPr>
            <w:tcW w:type="dxa" w:w="1662"/>
          </w:tcPr>
          <w:p>
            <w:pPr>
              <w:spacing w:after="0" w:line="240" w:lineRule="auto"/>
              <w:ind w:firstLine="0"/>
              <w:jc w:val="left"/>
            </w:pPr>
            <w:r>
              <w:rPr>
                <w:b w:val="0"/>
                <w:i w:val="0"/>
                <w:sz w:val="20"/>
              </w:rPr>
              <w:t>Литий (LCE)</w:t>
            </w:r>
          </w:p>
        </w:tc>
        <w:tc>
          <w:tcPr>
            <w:tcW w:type="dxa" w:w="1662"/>
          </w:tcPr>
          <w:p>
            <w:pPr>
              <w:spacing w:after="0" w:line="240" w:lineRule="auto"/>
              <w:ind w:firstLine="0"/>
              <w:jc w:val="center"/>
            </w:pPr>
            <w:r>
              <w:rPr>
                <w:b w:val="0"/>
                <w:i w:val="0"/>
                <w:sz w:val="20"/>
              </w:rPr>
              <w:t>1 300</w:t>
            </w:r>
          </w:p>
        </w:tc>
        <w:tc>
          <w:tcPr>
            <w:tcW w:type="dxa" w:w="1662"/>
          </w:tcPr>
          <w:p>
            <w:pPr>
              <w:spacing w:after="0" w:line="240" w:lineRule="auto"/>
              <w:ind w:firstLine="0"/>
              <w:jc w:val="center"/>
            </w:pPr>
            <w:r>
              <w:rPr>
                <w:b w:val="0"/>
                <w:i w:val="0"/>
                <w:sz w:val="20"/>
              </w:rPr>
              <w:t>24</w:t>
            </w:r>
          </w:p>
        </w:tc>
        <w:tc>
          <w:tcPr>
            <w:tcW w:type="dxa" w:w="1662"/>
          </w:tcPr>
          <w:p>
            <w:pPr>
              <w:spacing w:after="0" w:line="240" w:lineRule="auto"/>
              <w:ind w:firstLine="0"/>
              <w:jc w:val="center"/>
            </w:pPr>
            <w:r>
              <w:rPr>
                <w:b w:val="0"/>
                <w:i w:val="0"/>
                <w:sz w:val="20"/>
              </w:rPr>
              <w:t>47 (Австралия)</w:t>
            </w:r>
          </w:p>
        </w:tc>
        <w:tc>
          <w:tcPr>
            <w:tcW w:type="dxa" w:w="1662"/>
          </w:tcPr>
          <w:p>
            <w:pPr>
              <w:spacing w:after="0" w:line="240" w:lineRule="auto"/>
              <w:ind w:firstLine="0"/>
              <w:jc w:val="center"/>
            </w:pPr>
            <w:r>
              <w:rPr>
                <w:b w:val="0"/>
                <w:i w:val="0"/>
                <w:sz w:val="20"/>
              </w:rPr>
              <w:t>58 (КНР)</w:t>
            </w:r>
          </w:p>
        </w:tc>
        <w:tc>
          <w:tcPr>
            <w:tcW w:type="dxa" w:w="1662"/>
          </w:tcPr>
          <w:p>
            <w:pPr>
              <w:spacing w:after="0" w:line="240" w:lineRule="auto"/>
              <w:ind w:firstLine="0"/>
              <w:jc w:val="center"/>
            </w:pPr>
            <w:r>
              <w:rPr>
                <w:b w:val="0"/>
                <w:i w:val="0"/>
                <w:sz w:val="20"/>
              </w:rPr>
              <w:t>высокий</w:t>
            </w:r>
          </w:p>
        </w:tc>
      </w:tr>
      <w:tr>
        <w:tc>
          <w:tcPr>
            <w:tcW w:type="dxa" w:w="1662"/>
          </w:tcPr>
          <w:p>
            <w:pPr>
              <w:spacing w:after="0" w:line="240" w:lineRule="auto"/>
              <w:ind w:firstLine="0"/>
              <w:jc w:val="left"/>
            </w:pPr>
            <w:r>
              <w:rPr>
                <w:b w:val="0"/>
                <w:i w:val="0"/>
                <w:sz w:val="20"/>
              </w:rPr>
              <w:t>Кобальт</w:t>
            </w:r>
          </w:p>
        </w:tc>
        <w:tc>
          <w:tcPr>
            <w:tcW w:type="dxa" w:w="1662"/>
          </w:tcPr>
          <w:p>
            <w:pPr>
              <w:spacing w:after="0" w:line="240" w:lineRule="auto"/>
              <w:ind w:firstLine="0"/>
              <w:jc w:val="center"/>
            </w:pPr>
            <w:r>
              <w:rPr>
                <w:b w:val="0"/>
                <w:i w:val="0"/>
                <w:sz w:val="20"/>
              </w:rPr>
              <w:t>290</w:t>
            </w:r>
          </w:p>
        </w:tc>
        <w:tc>
          <w:tcPr>
            <w:tcW w:type="dxa" w:w="1662"/>
          </w:tcPr>
          <w:p>
            <w:pPr>
              <w:spacing w:after="0" w:line="240" w:lineRule="auto"/>
              <w:ind w:firstLine="0"/>
              <w:jc w:val="center"/>
            </w:pPr>
            <w:r>
              <w:rPr>
                <w:b w:val="0"/>
                <w:i w:val="0"/>
                <w:sz w:val="20"/>
              </w:rPr>
              <w:t>12</w:t>
            </w:r>
          </w:p>
        </w:tc>
        <w:tc>
          <w:tcPr>
            <w:tcW w:type="dxa" w:w="1662"/>
          </w:tcPr>
          <w:p>
            <w:pPr>
              <w:spacing w:after="0" w:line="240" w:lineRule="auto"/>
              <w:ind w:firstLine="0"/>
              <w:jc w:val="center"/>
            </w:pPr>
            <w:r>
              <w:rPr>
                <w:b w:val="0"/>
                <w:i w:val="0"/>
                <w:sz w:val="20"/>
              </w:rPr>
              <w:t>74 (ДР Конго)</w:t>
            </w:r>
          </w:p>
        </w:tc>
        <w:tc>
          <w:tcPr>
            <w:tcW w:type="dxa" w:w="1662"/>
          </w:tcPr>
          <w:p>
            <w:pPr>
              <w:spacing w:after="0" w:line="240" w:lineRule="auto"/>
              <w:ind w:firstLine="0"/>
              <w:jc w:val="center"/>
            </w:pPr>
            <w:r>
              <w:rPr>
                <w:b w:val="0"/>
                <w:i w:val="0"/>
                <w:sz w:val="20"/>
              </w:rPr>
              <w:t>76 (КНР)</w:t>
            </w:r>
          </w:p>
        </w:tc>
        <w:tc>
          <w:tcPr>
            <w:tcW w:type="dxa" w:w="1662"/>
          </w:tcPr>
          <w:p>
            <w:pPr>
              <w:spacing w:after="0" w:line="240" w:lineRule="auto"/>
              <w:ind w:firstLine="0"/>
              <w:jc w:val="center"/>
            </w:pPr>
            <w:r>
              <w:rPr>
                <w:b w:val="0"/>
                <w:i w:val="0"/>
                <w:sz w:val="20"/>
              </w:rPr>
              <w:t>очень высокий</w:t>
            </w:r>
          </w:p>
        </w:tc>
      </w:tr>
      <w:tr>
        <w:tc>
          <w:tcPr>
            <w:tcW w:type="dxa" w:w="1662"/>
          </w:tcPr>
          <w:p>
            <w:pPr>
              <w:spacing w:after="0" w:line="240" w:lineRule="auto"/>
              <w:ind w:firstLine="0"/>
              <w:jc w:val="left"/>
            </w:pPr>
            <w:r>
              <w:rPr>
                <w:b w:val="0"/>
                <w:i w:val="0"/>
                <w:sz w:val="20"/>
              </w:rPr>
              <w:t>Графит природный</w:t>
            </w:r>
          </w:p>
        </w:tc>
        <w:tc>
          <w:tcPr>
            <w:tcW w:type="dxa" w:w="1662"/>
          </w:tcPr>
          <w:p>
            <w:pPr>
              <w:spacing w:after="0" w:line="240" w:lineRule="auto"/>
              <w:ind w:firstLine="0"/>
              <w:jc w:val="center"/>
            </w:pPr>
            <w:r>
              <w:rPr>
                <w:b w:val="0"/>
                <w:i w:val="0"/>
                <w:sz w:val="20"/>
              </w:rPr>
              <w:t>1 800</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77 (КНР)</w:t>
            </w:r>
          </w:p>
        </w:tc>
        <w:tc>
          <w:tcPr>
            <w:tcW w:type="dxa" w:w="1662"/>
          </w:tcPr>
          <w:p>
            <w:pPr>
              <w:spacing w:after="0" w:line="240" w:lineRule="auto"/>
              <w:ind w:firstLine="0"/>
              <w:jc w:val="center"/>
            </w:pPr>
            <w:r>
              <w:rPr>
                <w:b w:val="0"/>
                <w:i w:val="0"/>
                <w:sz w:val="20"/>
              </w:rPr>
              <w:t>92 (КНР)</w:t>
            </w:r>
          </w:p>
        </w:tc>
        <w:tc>
          <w:tcPr>
            <w:tcW w:type="dxa" w:w="1662"/>
          </w:tcPr>
          <w:p>
            <w:pPr>
              <w:spacing w:after="0" w:line="240" w:lineRule="auto"/>
              <w:ind w:firstLine="0"/>
              <w:jc w:val="center"/>
            </w:pPr>
            <w:r>
              <w:rPr>
                <w:b w:val="0"/>
                <w:i w:val="0"/>
                <w:sz w:val="20"/>
              </w:rPr>
              <w:t>очень высокий</w:t>
            </w:r>
          </w:p>
        </w:tc>
      </w:tr>
      <w:tr>
        <w:tc>
          <w:tcPr>
            <w:tcW w:type="dxa" w:w="1662"/>
          </w:tcPr>
          <w:p>
            <w:pPr>
              <w:spacing w:after="0" w:line="240" w:lineRule="auto"/>
              <w:ind w:firstLine="0"/>
              <w:jc w:val="left"/>
            </w:pPr>
            <w:r>
              <w:rPr>
                <w:b w:val="0"/>
                <w:i w:val="0"/>
                <w:sz w:val="20"/>
              </w:rPr>
              <w:t>Галлий</w:t>
            </w:r>
          </w:p>
        </w:tc>
        <w:tc>
          <w:tcPr>
            <w:tcW w:type="dxa" w:w="1662"/>
          </w:tcPr>
          <w:p>
            <w:pPr>
              <w:spacing w:after="0" w:line="240" w:lineRule="auto"/>
              <w:ind w:firstLine="0"/>
              <w:jc w:val="center"/>
            </w:pPr>
            <w:r>
              <w:rPr>
                <w:b w:val="0"/>
                <w:i w:val="0"/>
                <w:sz w:val="20"/>
              </w:rPr>
              <w:t>0,75</w:t>
            </w:r>
          </w:p>
        </w:tc>
        <w:tc>
          <w:tcPr>
            <w:tcW w:type="dxa" w:w="1662"/>
          </w:tcPr>
          <w:p>
            <w:pPr>
              <w:spacing w:after="0" w:line="240" w:lineRule="auto"/>
              <w:ind w:firstLine="0"/>
              <w:jc w:val="center"/>
            </w:pPr>
            <w:r>
              <w:rPr>
                <w:b w:val="0"/>
                <w:i w:val="0"/>
                <w:sz w:val="20"/>
              </w:rPr>
              <w:t>0,4</w:t>
            </w:r>
          </w:p>
        </w:tc>
        <w:tc>
          <w:tcPr>
            <w:tcW w:type="dxa" w:w="1662"/>
          </w:tcPr>
          <w:p>
            <w:pPr>
              <w:spacing w:after="0" w:line="240" w:lineRule="auto"/>
              <w:ind w:firstLine="0"/>
              <w:jc w:val="center"/>
            </w:pPr>
            <w:r>
              <w:rPr>
                <w:b w:val="0"/>
                <w:i w:val="0"/>
                <w:sz w:val="20"/>
              </w:rPr>
              <w:t>98 (КНР)</w:t>
            </w:r>
          </w:p>
        </w:tc>
        <w:tc>
          <w:tcPr>
            <w:tcW w:type="dxa" w:w="1662"/>
          </w:tcPr>
          <w:p>
            <w:pPr>
              <w:spacing w:after="0" w:line="240" w:lineRule="auto"/>
              <w:ind w:firstLine="0"/>
              <w:jc w:val="center"/>
            </w:pPr>
            <w:r>
              <w:rPr>
                <w:b w:val="0"/>
                <w:i w:val="0"/>
                <w:sz w:val="20"/>
              </w:rPr>
              <w:t>98 (КНР)</w:t>
            </w:r>
          </w:p>
        </w:tc>
        <w:tc>
          <w:tcPr>
            <w:tcW w:type="dxa" w:w="1662"/>
          </w:tcPr>
          <w:p>
            <w:pPr>
              <w:spacing w:after="0" w:line="240" w:lineRule="auto"/>
              <w:ind w:firstLine="0"/>
              <w:jc w:val="center"/>
            </w:pPr>
            <w:r>
              <w:rPr>
                <w:b w:val="0"/>
                <w:i w:val="0"/>
                <w:sz w:val="20"/>
              </w:rPr>
              <w:t>экстремальный</w:t>
            </w:r>
          </w:p>
        </w:tc>
      </w:tr>
      <w:tr>
        <w:tc>
          <w:tcPr>
            <w:tcW w:type="dxa" w:w="1662"/>
          </w:tcPr>
          <w:p>
            <w:pPr>
              <w:spacing w:after="0" w:line="240" w:lineRule="auto"/>
              <w:ind w:firstLine="0"/>
              <w:jc w:val="left"/>
            </w:pPr>
            <w:r>
              <w:rPr>
                <w:b w:val="0"/>
                <w:i w:val="0"/>
                <w:sz w:val="20"/>
              </w:rPr>
              <w:t>Германий</w:t>
            </w:r>
          </w:p>
        </w:tc>
        <w:tc>
          <w:tcPr>
            <w:tcW w:type="dxa" w:w="1662"/>
          </w:tcPr>
          <w:p>
            <w:pPr>
              <w:spacing w:after="0" w:line="240" w:lineRule="auto"/>
              <w:ind w:firstLine="0"/>
              <w:jc w:val="center"/>
            </w:pPr>
            <w:r>
              <w:rPr>
                <w:b w:val="0"/>
                <w:i w:val="0"/>
                <w:sz w:val="20"/>
              </w:rPr>
              <w:t>0,23</w:t>
            </w:r>
          </w:p>
        </w:tc>
        <w:tc>
          <w:tcPr>
            <w:tcW w:type="dxa" w:w="1662"/>
          </w:tcPr>
          <w:p>
            <w:pPr>
              <w:spacing w:after="0" w:line="240" w:lineRule="auto"/>
              <w:ind w:firstLine="0"/>
              <w:jc w:val="center"/>
            </w:pPr>
            <w:r>
              <w:rPr>
                <w:b w:val="0"/>
                <w:i w:val="0"/>
                <w:sz w:val="20"/>
              </w:rPr>
              <w:t>0,3</w:t>
            </w:r>
          </w:p>
        </w:tc>
        <w:tc>
          <w:tcPr>
            <w:tcW w:type="dxa" w:w="1662"/>
          </w:tcPr>
          <w:p>
            <w:pPr>
              <w:spacing w:after="0" w:line="240" w:lineRule="auto"/>
              <w:ind w:firstLine="0"/>
              <w:jc w:val="center"/>
            </w:pPr>
            <w:r>
              <w:rPr>
                <w:b w:val="0"/>
                <w:i w:val="0"/>
                <w:sz w:val="20"/>
              </w:rPr>
              <w:t>68 (КНР)</w:t>
            </w:r>
          </w:p>
        </w:tc>
        <w:tc>
          <w:tcPr>
            <w:tcW w:type="dxa" w:w="1662"/>
          </w:tcPr>
          <w:p>
            <w:pPr>
              <w:spacing w:after="0" w:line="240" w:lineRule="auto"/>
              <w:ind w:firstLine="0"/>
              <w:jc w:val="center"/>
            </w:pPr>
            <w:r>
              <w:rPr>
                <w:b w:val="0"/>
                <w:i w:val="0"/>
                <w:sz w:val="20"/>
              </w:rPr>
              <w:t>68 (КНР)</w:t>
            </w:r>
          </w:p>
        </w:tc>
        <w:tc>
          <w:tcPr>
            <w:tcW w:type="dxa" w:w="1662"/>
          </w:tcPr>
          <w:p>
            <w:pPr>
              <w:spacing w:after="0" w:line="240" w:lineRule="auto"/>
              <w:ind w:firstLine="0"/>
              <w:jc w:val="center"/>
            </w:pPr>
            <w:r>
              <w:rPr>
                <w:b w:val="0"/>
                <w:i w:val="0"/>
                <w:sz w:val="20"/>
              </w:rPr>
              <w:t>очень высокий</w:t>
            </w:r>
          </w:p>
        </w:tc>
      </w:tr>
      <w:tr>
        <w:tc>
          <w:tcPr>
            <w:tcW w:type="dxa" w:w="1662"/>
          </w:tcPr>
          <w:p>
            <w:pPr>
              <w:spacing w:after="0" w:line="240" w:lineRule="auto"/>
              <w:ind w:firstLine="0"/>
              <w:jc w:val="left"/>
            </w:pPr>
            <w:r>
              <w:rPr>
                <w:b w:val="0"/>
                <w:i w:val="0"/>
                <w:sz w:val="20"/>
              </w:rPr>
              <w:t>Ниобий</w:t>
            </w:r>
          </w:p>
        </w:tc>
        <w:tc>
          <w:tcPr>
            <w:tcW w:type="dxa" w:w="1662"/>
          </w:tcPr>
          <w:p>
            <w:pPr>
              <w:spacing w:after="0" w:line="240" w:lineRule="auto"/>
              <w:ind w:firstLine="0"/>
              <w:jc w:val="center"/>
            </w:pPr>
            <w:r>
              <w:rPr>
                <w:b w:val="0"/>
                <w:i w:val="0"/>
                <w:sz w:val="20"/>
              </w:rPr>
              <w:t>83</w:t>
            </w:r>
          </w:p>
        </w:tc>
        <w:tc>
          <w:tcPr>
            <w:tcW w:type="dxa" w:w="1662"/>
          </w:tcPr>
          <w:p>
            <w:pPr>
              <w:spacing w:after="0" w:line="240" w:lineRule="auto"/>
              <w:ind w:firstLine="0"/>
              <w:jc w:val="center"/>
            </w:pPr>
            <w:r>
              <w:rPr>
                <w:b w:val="0"/>
                <w:i w:val="0"/>
                <w:sz w:val="20"/>
              </w:rPr>
              <w:t>3</w:t>
            </w:r>
          </w:p>
        </w:tc>
        <w:tc>
          <w:tcPr>
            <w:tcW w:type="dxa" w:w="1662"/>
          </w:tcPr>
          <w:p>
            <w:pPr>
              <w:spacing w:after="0" w:line="240" w:lineRule="auto"/>
              <w:ind w:firstLine="0"/>
              <w:jc w:val="center"/>
            </w:pPr>
            <w:r>
              <w:rPr>
                <w:b w:val="0"/>
                <w:i w:val="0"/>
                <w:sz w:val="20"/>
              </w:rPr>
              <w:t>88 (Бразилия)</w:t>
            </w:r>
          </w:p>
        </w:tc>
        <w:tc>
          <w:tcPr>
            <w:tcW w:type="dxa" w:w="1662"/>
          </w:tcPr>
          <w:p>
            <w:pPr>
              <w:spacing w:after="0" w:line="240" w:lineRule="auto"/>
              <w:ind w:firstLine="0"/>
              <w:jc w:val="center"/>
            </w:pPr>
            <w:r>
              <w:rPr>
                <w:b w:val="0"/>
                <w:i w:val="0"/>
                <w:sz w:val="20"/>
              </w:rPr>
              <w:t>88 (Бразилия)</w:t>
            </w:r>
          </w:p>
        </w:tc>
        <w:tc>
          <w:tcPr>
            <w:tcW w:type="dxa" w:w="1662"/>
          </w:tcPr>
          <w:p>
            <w:pPr>
              <w:spacing w:after="0" w:line="240" w:lineRule="auto"/>
              <w:ind w:firstLine="0"/>
              <w:jc w:val="center"/>
            </w:pPr>
            <w:r>
              <w:rPr>
                <w:b w:val="0"/>
                <w:i w:val="0"/>
                <w:sz w:val="20"/>
              </w:rPr>
              <w:t>очень высокий</w:t>
            </w:r>
          </w:p>
        </w:tc>
      </w:tr>
      <w:tr>
        <w:tc>
          <w:tcPr>
            <w:tcW w:type="dxa" w:w="1662"/>
          </w:tcPr>
          <w:p>
            <w:pPr>
              <w:spacing w:after="0" w:line="240" w:lineRule="auto"/>
              <w:ind w:firstLine="0"/>
              <w:jc w:val="left"/>
            </w:pPr>
            <w:r>
              <w:rPr>
                <w:b w:val="0"/>
                <w:i w:val="0"/>
                <w:sz w:val="20"/>
              </w:rPr>
              <w:t>Вольфрам</w:t>
            </w:r>
          </w:p>
        </w:tc>
        <w:tc>
          <w:tcPr>
            <w:tcW w:type="dxa" w:w="1662"/>
          </w:tcPr>
          <w:p>
            <w:pPr>
              <w:spacing w:after="0" w:line="240" w:lineRule="auto"/>
              <w:ind w:firstLine="0"/>
              <w:jc w:val="center"/>
            </w:pPr>
            <w:r>
              <w:rPr>
                <w:b w:val="0"/>
                <w:i w:val="0"/>
                <w:sz w:val="20"/>
              </w:rPr>
              <w:t>81</w:t>
            </w:r>
          </w:p>
        </w:tc>
        <w:tc>
          <w:tcPr>
            <w:tcW w:type="dxa" w:w="1662"/>
          </w:tcPr>
          <w:p>
            <w:pPr>
              <w:spacing w:after="0" w:line="240" w:lineRule="auto"/>
              <w:ind w:firstLine="0"/>
              <w:jc w:val="center"/>
            </w:pPr>
            <w:r>
              <w:rPr>
                <w:b w:val="0"/>
                <w:i w:val="0"/>
                <w:sz w:val="20"/>
              </w:rPr>
              <w:t>4</w:t>
            </w:r>
          </w:p>
        </w:tc>
        <w:tc>
          <w:tcPr>
            <w:tcW w:type="dxa" w:w="1662"/>
          </w:tcPr>
          <w:p>
            <w:pPr>
              <w:spacing w:after="0" w:line="240" w:lineRule="auto"/>
              <w:ind w:firstLine="0"/>
              <w:jc w:val="center"/>
            </w:pPr>
            <w:r>
              <w:rPr>
                <w:b w:val="0"/>
                <w:i w:val="0"/>
                <w:sz w:val="20"/>
              </w:rPr>
              <w:t>81 (КНР)</w:t>
            </w:r>
          </w:p>
        </w:tc>
        <w:tc>
          <w:tcPr>
            <w:tcW w:type="dxa" w:w="1662"/>
          </w:tcPr>
          <w:p>
            <w:pPr>
              <w:spacing w:after="0" w:line="240" w:lineRule="auto"/>
              <w:ind w:firstLine="0"/>
              <w:jc w:val="center"/>
            </w:pPr>
            <w:r>
              <w:rPr>
                <w:b w:val="0"/>
                <w:i w:val="0"/>
                <w:sz w:val="20"/>
              </w:rPr>
              <w:t>85 (КНР)</w:t>
            </w:r>
          </w:p>
        </w:tc>
        <w:tc>
          <w:tcPr>
            <w:tcW w:type="dxa" w:w="1662"/>
          </w:tcPr>
          <w:p>
            <w:pPr>
              <w:spacing w:after="0" w:line="240" w:lineRule="auto"/>
              <w:ind w:firstLine="0"/>
              <w:jc w:val="center"/>
            </w:pPr>
            <w:r>
              <w:rPr>
                <w:b w:val="0"/>
                <w:i w:val="0"/>
                <w:sz w:val="20"/>
              </w:rPr>
              <w:t>очень высокий</w:t>
            </w:r>
          </w:p>
        </w:tc>
      </w:tr>
      <w:tr>
        <w:tc>
          <w:tcPr>
            <w:tcW w:type="dxa" w:w="1662"/>
          </w:tcPr>
          <w:p>
            <w:pPr>
              <w:spacing w:after="0" w:line="240" w:lineRule="auto"/>
              <w:ind w:firstLine="0"/>
              <w:jc w:val="left"/>
            </w:pPr>
            <w:r>
              <w:rPr>
                <w:b w:val="0"/>
                <w:i w:val="0"/>
                <w:sz w:val="20"/>
              </w:rPr>
              <w:t>Платиноиды</w:t>
            </w:r>
          </w:p>
        </w:tc>
        <w:tc>
          <w:tcPr>
            <w:tcW w:type="dxa" w:w="1662"/>
          </w:tcPr>
          <w:p>
            <w:pPr>
              <w:spacing w:after="0" w:line="240" w:lineRule="auto"/>
              <w:ind w:firstLine="0"/>
              <w:jc w:val="center"/>
            </w:pPr>
            <w:r>
              <w:rPr>
                <w:b w:val="0"/>
                <w:i w:val="0"/>
                <w:sz w:val="20"/>
              </w:rPr>
              <w:t>0,38</w:t>
            </w:r>
          </w:p>
        </w:tc>
        <w:tc>
          <w:tcPr>
            <w:tcW w:type="dxa" w:w="1662"/>
          </w:tcPr>
          <w:p>
            <w:pPr>
              <w:spacing w:after="0" w:line="240" w:lineRule="auto"/>
              <w:ind w:firstLine="0"/>
              <w:jc w:val="center"/>
            </w:pPr>
            <w:r>
              <w:rPr>
                <w:b w:val="0"/>
                <w:i w:val="0"/>
                <w:sz w:val="20"/>
              </w:rPr>
              <w:t>18</w:t>
            </w:r>
          </w:p>
        </w:tc>
        <w:tc>
          <w:tcPr>
            <w:tcW w:type="dxa" w:w="1662"/>
          </w:tcPr>
          <w:p>
            <w:pPr>
              <w:spacing w:after="0" w:line="240" w:lineRule="auto"/>
              <w:ind w:firstLine="0"/>
              <w:jc w:val="center"/>
            </w:pPr>
            <w:r>
              <w:rPr>
                <w:b w:val="0"/>
                <w:i w:val="0"/>
                <w:sz w:val="20"/>
              </w:rPr>
              <w:t>72 (ЮАР)</w:t>
            </w:r>
          </w:p>
        </w:tc>
        <w:tc>
          <w:tcPr>
            <w:tcW w:type="dxa" w:w="1662"/>
          </w:tcPr>
          <w:p>
            <w:pPr>
              <w:spacing w:after="0" w:line="240" w:lineRule="auto"/>
              <w:ind w:firstLine="0"/>
              <w:jc w:val="center"/>
            </w:pPr>
            <w:r>
              <w:rPr>
                <w:b w:val="0"/>
                <w:i w:val="0"/>
                <w:sz w:val="20"/>
              </w:rPr>
              <w:t>65 (ЮАР)</w:t>
            </w:r>
          </w:p>
        </w:tc>
        <w:tc>
          <w:tcPr>
            <w:tcW w:type="dxa" w:w="1662"/>
          </w:tcPr>
          <w:p>
            <w:pPr>
              <w:spacing w:after="0" w:line="240" w:lineRule="auto"/>
              <w:ind w:firstLine="0"/>
              <w:jc w:val="center"/>
            </w:pPr>
            <w:r>
              <w:rPr>
                <w:b w:val="0"/>
                <w:i w:val="0"/>
                <w:sz w:val="20"/>
              </w:rPr>
              <w:t>высокий</w:t>
            </w:r>
          </w:p>
        </w:tc>
      </w:tr>
      <w:tr>
        <w:tc>
          <w:tcPr>
            <w:tcW w:type="dxa" w:w="1662"/>
          </w:tcPr>
          <w:p>
            <w:pPr>
              <w:spacing w:after="0" w:line="240" w:lineRule="auto"/>
              <w:ind w:firstLine="0"/>
              <w:jc w:val="left"/>
            </w:pPr>
            <w:r>
              <w:rPr>
                <w:b w:val="0"/>
                <w:i w:val="0"/>
                <w:sz w:val="20"/>
              </w:rPr>
              <w:t>Титан (губка)</w:t>
            </w:r>
          </w:p>
        </w:tc>
        <w:tc>
          <w:tcPr>
            <w:tcW w:type="dxa" w:w="1662"/>
          </w:tcPr>
          <w:p>
            <w:pPr>
              <w:spacing w:after="0" w:line="240" w:lineRule="auto"/>
              <w:ind w:firstLine="0"/>
              <w:jc w:val="center"/>
            </w:pPr>
            <w:r>
              <w:rPr>
                <w:b w:val="0"/>
                <w:i w:val="0"/>
                <w:sz w:val="20"/>
              </w:rPr>
              <w:t>250</w:t>
            </w:r>
          </w:p>
        </w:tc>
        <w:tc>
          <w:tcPr>
            <w:tcW w:type="dxa" w:w="1662"/>
          </w:tcPr>
          <w:p>
            <w:pPr>
              <w:spacing w:after="0" w:line="240" w:lineRule="auto"/>
              <w:ind w:firstLine="0"/>
              <w:jc w:val="center"/>
            </w:pPr>
            <w:r>
              <w:rPr>
                <w:b w:val="0"/>
                <w:i w:val="0"/>
                <w:sz w:val="20"/>
              </w:rPr>
              <w:t>6</w:t>
            </w:r>
          </w:p>
        </w:tc>
        <w:tc>
          <w:tcPr>
            <w:tcW w:type="dxa" w:w="1662"/>
          </w:tcPr>
          <w:p>
            <w:pPr>
              <w:spacing w:after="0" w:line="240" w:lineRule="auto"/>
              <w:ind w:firstLine="0"/>
              <w:jc w:val="center"/>
            </w:pPr>
            <w:r>
              <w:rPr>
                <w:b w:val="0"/>
                <w:i w:val="0"/>
                <w:sz w:val="20"/>
              </w:rPr>
              <w:t>57 (КНР)</w:t>
            </w:r>
          </w:p>
        </w:tc>
        <w:tc>
          <w:tcPr>
            <w:tcW w:type="dxa" w:w="1662"/>
          </w:tcPr>
          <w:p>
            <w:pPr>
              <w:spacing w:after="0" w:line="240" w:lineRule="auto"/>
              <w:ind w:firstLine="0"/>
              <w:jc w:val="center"/>
            </w:pPr>
            <w:r>
              <w:rPr>
                <w:b w:val="0"/>
                <w:i w:val="0"/>
                <w:sz w:val="20"/>
              </w:rPr>
              <w:t>57 (КНР)</w:t>
            </w:r>
          </w:p>
        </w:tc>
        <w:tc>
          <w:tcPr>
            <w:tcW w:type="dxa" w:w="1662"/>
          </w:tcPr>
          <w:p>
            <w:pPr>
              <w:spacing w:after="0" w:line="240" w:lineRule="auto"/>
              <w:ind w:firstLine="0"/>
              <w:jc w:val="center"/>
            </w:pPr>
            <w:r>
              <w:rPr>
                <w:b w:val="0"/>
                <w:i w:val="0"/>
                <w:sz w:val="20"/>
              </w:rPr>
              <w:t>средний</w:t>
            </w:r>
          </w:p>
        </w:tc>
      </w:tr>
    </w:tbl>
    <w:p>
      <w:pPr>
        <w:spacing w:after="180"/>
        <w:ind w:firstLine="0"/>
      </w:pPr>
      <w:r>
        <w:rPr>
          <w:i/>
          <w:sz w:val="20"/>
        </w:rPr>
        <w:t>Источник: аналитический центр по данным USGS, IEA, отраслевых источников</w:t>
      </w:r>
    </w:p>
    <w:p>
      <w:pPr>
        <w:keepNext/>
        <w:spacing w:before="160" w:after="60"/>
        <w:ind w:firstLine="0"/>
        <w:jc w:val="left"/>
      </w:pPr>
      <w:r>
        <w:rPr>
          <w:b/>
          <w:sz w:val="22"/>
        </w:rPr>
        <w:t>Рисунок 97. Доля страны-лидера в добыче и переработке критического сырья, 2024 г., %</w:t>
      </w:r>
    </w:p>
    <w:p>
      <w:pPr>
        <w:ind w:firstLine="0"/>
        <w:jc w:val="center"/>
      </w:pPr>
      <w:r>
        <w:drawing>
          <wp:inline xmlns:a="http://schemas.openxmlformats.org/drawingml/2006/main" xmlns:pic="http://schemas.openxmlformats.org/drawingml/2006/picture">
            <wp:extent cx="5580000" cy="2389696"/>
            <wp:docPr id="97" name="Picture 97"/>
            <wp:cNvGraphicFramePr>
              <a:graphicFrameLocks noChangeAspect="1"/>
            </wp:cNvGraphicFramePr>
            <a:graphic>
              <a:graphicData uri="http://schemas.openxmlformats.org/drawingml/2006/picture">
                <pic:pic>
                  <pic:nvPicPr>
                    <pic:cNvPr id="0" name="fig97.png"/>
                    <pic:cNvPicPr/>
                  </pic:nvPicPr>
                  <pic:blipFill>
                    <a:blip r:embed="rId107"/>
                    <a:stretch>
                      <a:fillRect/>
                    </a:stretch>
                  </pic:blipFill>
                  <pic:spPr>
                    <a:xfrm>
                      <a:off x="0" y="0"/>
                      <a:ext cx="5580000" cy="2389696"/>
                    </a:xfrm>
                    <a:prstGeom prst="rect"/>
                  </pic:spPr>
                </pic:pic>
              </a:graphicData>
            </a:graphic>
          </wp:inline>
        </w:drawing>
      </w:r>
    </w:p>
    <w:p>
      <w:pPr>
        <w:spacing w:after="180"/>
        <w:ind w:firstLine="0"/>
      </w:pPr>
      <w:r>
        <w:rPr>
          <w:i/>
          <w:sz w:val="20"/>
        </w:rPr>
        <w:t>Источник: аналитический центр (табл. 145)</w:t>
      </w:r>
    </w:p>
    <w:p>
      <w:r>
        <w:rPr>
          <w:b w:val="0"/>
          <w:i w:val="0"/>
        </w:rPr>
        <w:t>Сопоставление показывает, что редкоземельные металлы не являются наиболее концентрированным рынком (галлий и графит превосходят их по этому показателю), однако сочетают высокую концентрацию с наибольшей широтой применения в критических технологиях. Именно это сочетание — а не концентрация как таковая — определяет их особую позицию в перечнях критического сырья всех развитых экономик.</w:t>
      </w:r>
    </w:p>
    <w:p>
      <w:pPr>
        <w:pStyle w:val="Heading2"/>
      </w:pPr>
      <w:r>
        <w:rPr>
          <w:b w:val="0"/>
          <w:i w:val="0"/>
        </w:rPr>
        <w:t>П10.2. Сопоставление позиций России по критическому сырью</w:t>
      </w:r>
    </w:p>
    <w:p>
      <w:pPr>
        <w:keepNext/>
        <w:spacing w:before="160" w:after="60"/>
        <w:ind w:firstLine="0"/>
        <w:jc w:val="left"/>
      </w:pPr>
      <w:r>
        <w:rPr>
          <w:b/>
          <w:sz w:val="22"/>
        </w:rPr>
        <w:t>Таблица 146. Позиции Российской Федерации на рынках критического сырья</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Сырьё</w:t>
            </w:r>
          </w:p>
        </w:tc>
        <w:tc>
          <w:tcPr>
            <w:tcW w:type="dxa" w:w="1995"/>
            <w:shd w:val="clear" w:fill="DCE6F1"/>
          </w:tcPr>
          <w:p>
            <w:pPr>
              <w:spacing w:after="0" w:line="240" w:lineRule="auto"/>
              <w:ind w:firstLine="0"/>
              <w:jc w:val="center"/>
            </w:pPr>
            <w:r>
              <w:rPr>
                <w:b/>
                <w:i w:val="0"/>
                <w:sz w:val="20"/>
              </w:rPr>
              <w:t>Доля в запасах, %</w:t>
            </w:r>
          </w:p>
        </w:tc>
        <w:tc>
          <w:tcPr>
            <w:tcW w:type="dxa" w:w="1995"/>
            <w:shd w:val="clear" w:fill="DCE6F1"/>
          </w:tcPr>
          <w:p>
            <w:pPr>
              <w:spacing w:after="0" w:line="240" w:lineRule="auto"/>
              <w:ind w:firstLine="0"/>
              <w:jc w:val="center"/>
            </w:pPr>
            <w:r>
              <w:rPr>
                <w:b/>
                <w:i w:val="0"/>
                <w:sz w:val="20"/>
              </w:rPr>
              <w:t>Доля в добыче, %</w:t>
            </w:r>
          </w:p>
        </w:tc>
        <w:tc>
          <w:tcPr>
            <w:tcW w:type="dxa" w:w="1995"/>
            <w:shd w:val="clear" w:fill="DCE6F1"/>
          </w:tcPr>
          <w:p>
            <w:pPr>
              <w:spacing w:after="0" w:line="240" w:lineRule="auto"/>
              <w:ind w:firstLine="0"/>
              <w:jc w:val="center"/>
            </w:pPr>
            <w:r>
              <w:rPr>
                <w:b/>
                <w:i w:val="0"/>
                <w:sz w:val="20"/>
              </w:rPr>
              <w:t>Доля в переделе, %</w:t>
            </w:r>
          </w:p>
        </w:tc>
        <w:tc>
          <w:tcPr>
            <w:tcW w:type="dxa" w:w="1995"/>
            <w:shd w:val="clear" w:fill="DCE6F1"/>
          </w:tcPr>
          <w:p>
            <w:pPr>
              <w:spacing w:after="0" w:line="240" w:lineRule="auto"/>
              <w:ind w:firstLine="0"/>
              <w:jc w:val="center"/>
            </w:pPr>
            <w:r>
              <w:rPr>
                <w:b/>
                <w:i w:val="0"/>
                <w:sz w:val="20"/>
              </w:rPr>
              <w:t>Оценка позиции</w:t>
            </w:r>
          </w:p>
        </w:tc>
      </w:tr>
      <w:tr>
        <w:tc>
          <w:tcPr>
            <w:tcW w:type="dxa" w:w="1995"/>
          </w:tcPr>
          <w:p>
            <w:pPr>
              <w:spacing w:after="0" w:line="240" w:lineRule="auto"/>
              <w:ind w:firstLine="0"/>
              <w:jc w:val="left"/>
            </w:pPr>
            <w:r>
              <w:rPr>
                <w:b w:val="0"/>
                <w:i w:val="0"/>
                <w:sz w:val="20"/>
              </w:rPr>
              <w:t>Палладий</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40</w:t>
            </w:r>
          </w:p>
        </w:tc>
        <w:tc>
          <w:tcPr>
            <w:tcW w:type="dxa" w:w="1995"/>
          </w:tcPr>
          <w:p>
            <w:pPr>
              <w:spacing w:after="0" w:line="240" w:lineRule="auto"/>
              <w:ind w:firstLine="0"/>
              <w:jc w:val="center"/>
            </w:pPr>
            <w:r>
              <w:rPr>
                <w:b w:val="0"/>
                <w:i w:val="0"/>
                <w:sz w:val="20"/>
              </w:rPr>
              <w:t>лидирующая</w:t>
            </w:r>
          </w:p>
        </w:tc>
      </w:tr>
      <w:tr>
        <w:tc>
          <w:tcPr>
            <w:tcW w:type="dxa" w:w="1995"/>
          </w:tcPr>
          <w:p>
            <w:pPr>
              <w:spacing w:after="0" w:line="240" w:lineRule="auto"/>
              <w:ind w:firstLine="0"/>
              <w:jc w:val="left"/>
            </w:pPr>
            <w:r>
              <w:rPr>
                <w:b w:val="0"/>
                <w:i w:val="0"/>
                <w:sz w:val="20"/>
              </w:rPr>
              <w:t>Никель</w:t>
            </w:r>
          </w:p>
        </w:tc>
        <w:tc>
          <w:tcPr>
            <w:tcW w:type="dxa" w:w="1995"/>
          </w:tcPr>
          <w:p>
            <w:pPr>
              <w:spacing w:after="0" w:line="240" w:lineRule="auto"/>
              <w:ind w:firstLine="0"/>
              <w:jc w:val="center"/>
            </w:pPr>
            <w:r>
              <w:rPr>
                <w:b w:val="0"/>
                <w:i w:val="0"/>
                <w:sz w:val="20"/>
              </w:rPr>
              <w:t>8</w:t>
            </w:r>
          </w:p>
        </w:tc>
        <w:tc>
          <w:tcPr>
            <w:tcW w:type="dxa" w:w="1995"/>
          </w:tcPr>
          <w:p>
            <w:pPr>
              <w:spacing w:after="0" w:line="240" w:lineRule="auto"/>
              <w:ind w:firstLine="0"/>
              <w:jc w:val="center"/>
            </w:pPr>
            <w:r>
              <w:rPr>
                <w:b w:val="0"/>
                <w:i w:val="0"/>
                <w:sz w:val="20"/>
              </w:rPr>
              <w:t>6</w:t>
            </w:r>
          </w:p>
        </w:tc>
        <w:tc>
          <w:tcPr>
            <w:tcW w:type="dxa" w:w="1995"/>
          </w:tcPr>
          <w:p>
            <w:pPr>
              <w:spacing w:after="0" w:line="240" w:lineRule="auto"/>
              <w:ind w:firstLine="0"/>
              <w:jc w:val="center"/>
            </w:pPr>
            <w:r>
              <w:rPr>
                <w:b w:val="0"/>
                <w:i w:val="0"/>
                <w:sz w:val="20"/>
              </w:rPr>
              <w:t>7</w:t>
            </w:r>
          </w:p>
        </w:tc>
        <w:tc>
          <w:tcPr>
            <w:tcW w:type="dxa" w:w="1995"/>
          </w:tcPr>
          <w:p>
            <w:pPr>
              <w:spacing w:after="0" w:line="240" w:lineRule="auto"/>
              <w:ind w:firstLine="0"/>
              <w:jc w:val="center"/>
            </w:pPr>
            <w:r>
              <w:rPr>
                <w:b w:val="0"/>
                <w:i w:val="0"/>
                <w:sz w:val="20"/>
              </w:rPr>
              <w:t>сильная</w:t>
            </w:r>
          </w:p>
        </w:tc>
      </w:tr>
      <w:tr>
        <w:tc>
          <w:tcPr>
            <w:tcW w:type="dxa" w:w="1995"/>
          </w:tcPr>
          <w:p>
            <w:pPr>
              <w:spacing w:after="0" w:line="240" w:lineRule="auto"/>
              <w:ind w:firstLine="0"/>
              <w:jc w:val="left"/>
            </w:pPr>
            <w:r>
              <w:rPr>
                <w:b w:val="0"/>
                <w:i w:val="0"/>
                <w:sz w:val="20"/>
              </w:rPr>
              <w:t>Титан (сырьё)</w:t>
            </w:r>
          </w:p>
        </w:tc>
        <w:tc>
          <w:tcPr>
            <w:tcW w:type="dxa" w:w="1995"/>
          </w:tcPr>
          <w:p>
            <w:pPr>
              <w:spacing w:after="0" w:line="240" w:lineRule="auto"/>
              <w:ind w:firstLine="0"/>
              <w:jc w:val="center"/>
            </w:pPr>
            <w:r>
              <w:rPr>
                <w:b w:val="0"/>
                <w:i w:val="0"/>
                <w:sz w:val="20"/>
              </w:rPr>
              <w:t>10</w:t>
            </w:r>
          </w:p>
        </w:tc>
        <w:tc>
          <w:tcPr>
            <w:tcW w:type="dxa" w:w="1995"/>
          </w:tcPr>
          <w:p>
            <w:pPr>
              <w:spacing w:after="0" w:line="240" w:lineRule="auto"/>
              <w:ind w:firstLine="0"/>
              <w:jc w:val="center"/>
            </w:pPr>
            <w:r>
              <w:rPr>
                <w:b w:val="0"/>
                <w:i w:val="0"/>
                <w:sz w:val="20"/>
              </w:rPr>
              <w:t>2</w:t>
            </w:r>
          </w:p>
        </w:tc>
        <w:tc>
          <w:tcPr>
            <w:tcW w:type="dxa" w:w="1995"/>
          </w:tcPr>
          <w:p>
            <w:pPr>
              <w:spacing w:after="0" w:line="240" w:lineRule="auto"/>
              <w:ind w:firstLine="0"/>
              <w:jc w:val="center"/>
            </w:pPr>
            <w:r>
              <w:rPr>
                <w:b w:val="0"/>
                <w:i w:val="0"/>
                <w:sz w:val="20"/>
              </w:rPr>
              <w:t>12</w:t>
            </w:r>
          </w:p>
        </w:tc>
        <w:tc>
          <w:tcPr>
            <w:tcW w:type="dxa" w:w="1995"/>
          </w:tcPr>
          <w:p>
            <w:pPr>
              <w:spacing w:after="0" w:line="240" w:lineRule="auto"/>
              <w:ind w:firstLine="0"/>
              <w:jc w:val="center"/>
            </w:pPr>
            <w:r>
              <w:rPr>
                <w:b w:val="0"/>
                <w:i w:val="0"/>
                <w:sz w:val="20"/>
              </w:rPr>
              <w:t>сильная в переделе</w:t>
            </w:r>
          </w:p>
        </w:tc>
      </w:tr>
      <w:tr>
        <w:tc>
          <w:tcPr>
            <w:tcW w:type="dxa" w:w="1995"/>
          </w:tcPr>
          <w:p>
            <w:pPr>
              <w:spacing w:after="0" w:line="240" w:lineRule="auto"/>
              <w:ind w:firstLine="0"/>
              <w:jc w:val="left"/>
            </w:pPr>
            <w:r>
              <w:rPr>
                <w:b w:val="0"/>
                <w:i w:val="0"/>
                <w:sz w:val="20"/>
              </w:rPr>
              <w:t>Ниобий</w:t>
            </w:r>
          </w:p>
        </w:tc>
        <w:tc>
          <w:tcPr>
            <w:tcW w:type="dxa" w:w="1995"/>
          </w:tcPr>
          <w:p>
            <w:pPr>
              <w:spacing w:after="0" w:line="240" w:lineRule="auto"/>
              <w:ind w:firstLine="0"/>
              <w:jc w:val="center"/>
            </w:pPr>
            <w:r>
              <w:rPr>
                <w:b w:val="0"/>
                <w:i w:val="0"/>
                <w:sz w:val="20"/>
              </w:rPr>
              <w:t>15</w:t>
            </w:r>
          </w:p>
        </w:tc>
        <w:tc>
          <w:tcPr>
            <w:tcW w:type="dxa" w:w="1995"/>
          </w:tcPr>
          <w:p>
            <w:pPr>
              <w:spacing w:after="0" w:line="240" w:lineRule="auto"/>
              <w:ind w:firstLine="0"/>
              <w:jc w:val="center"/>
            </w:pPr>
            <w:r>
              <w:rPr>
                <w:b w:val="0"/>
                <w:i w:val="0"/>
                <w:sz w:val="20"/>
              </w:rPr>
              <w:t>0,5</w:t>
            </w:r>
          </w:p>
        </w:tc>
        <w:tc>
          <w:tcPr>
            <w:tcW w:type="dxa" w:w="1995"/>
          </w:tcPr>
          <w:p>
            <w:pPr>
              <w:spacing w:after="0" w:line="240" w:lineRule="auto"/>
              <w:ind w:firstLine="0"/>
              <w:jc w:val="center"/>
            </w:pPr>
            <w:r>
              <w:rPr>
                <w:b w:val="0"/>
                <w:i w:val="0"/>
                <w:sz w:val="20"/>
              </w:rPr>
              <w:t>1</w:t>
            </w:r>
          </w:p>
        </w:tc>
        <w:tc>
          <w:tcPr>
            <w:tcW w:type="dxa" w:w="1995"/>
          </w:tcPr>
          <w:p>
            <w:pPr>
              <w:spacing w:after="0" w:line="240" w:lineRule="auto"/>
              <w:ind w:firstLine="0"/>
              <w:jc w:val="center"/>
            </w:pPr>
            <w:r>
              <w:rPr>
                <w:b w:val="0"/>
                <w:i w:val="0"/>
                <w:sz w:val="20"/>
              </w:rPr>
              <w:t>потенциальная</w:t>
            </w:r>
          </w:p>
        </w:tc>
      </w:tr>
      <w:tr>
        <w:tc>
          <w:tcPr>
            <w:tcW w:type="dxa" w:w="1995"/>
          </w:tcPr>
          <w:p>
            <w:pPr>
              <w:spacing w:after="0" w:line="240" w:lineRule="auto"/>
              <w:ind w:firstLine="0"/>
              <w:jc w:val="left"/>
            </w:pPr>
            <w:r>
              <w:rPr>
                <w:b w:val="0"/>
                <w:i w:val="0"/>
                <w:sz w:val="20"/>
              </w:rPr>
              <w:t>Редкие земли</w:t>
            </w:r>
          </w:p>
        </w:tc>
        <w:tc>
          <w:tcPr>
            <w:tcW w:type="dxa" w:w="1995"/>
          </w:tcPr>
          <w:p>
            <w:pPr>
              <w:spacing w:after="0" w:line="240" w:lineRule="auto"/>
              <w:ind w:firstLine="0"/>
              <w:jc w:val="center"/>
            </w:pPr>
            <w:r>
              <w:rPr>
                <w:b w:val="0"/>
                <w:i w:val="0"/>
                <w:sz w:val="20"/>
              </w:rPr>
              <w:t>4–10</w:t>
            </w:r>
          </w:p>
        </w:tc>
        <w:tc>
          <w:tcPr>
            <w:tcW w:type="dxa" w:w="1995"/>
          </w:tcPr>
          <w:p>
            <w:pPr>
              <w:spacing w:after="0" w:line="240" w:lineRule="auto"/>
              <w:ind w:firstLine="0"/>
              <w:jc w:val="center"/>
            </w:pPr>
            <w:r>
              <w:rPr>
                <w:b w:val="0"/>
                <w:i w:val="0"/>
                <w:sz w:val="20"/>
              </w:rPr>
              <w:t>0,6</w:t>
            </w:r>
          </w:p>
        </w:tc>
        <w:tc>
          <w:tcPr>
            <w:tcW w:type="dxa" w:w="1995"/>
          </w:tcPr>
          <w:p>
            <w:pPr>
              <w:spacing w:after="0" w:line="240" w:lineRule="auto"/>
              <w:ind w:firstLine="0"/>
              <w:jc w:val="center"/>
            </w:pPr>
            <w:r>
              <w:rPr>
                <w:b w:val="0"/>
                <w:i w:val="0"/>
                <w:sz w:val="20"/>
              </w:rPr>
              <w:t>0,7</w:t>
            </w:r>
          </w:p>
        </w:tc>
        <w:tc>
          <w:tcPr>
            <w:tcW w:type="dxa" w:w="1995"/>
          </w:tcPr>
          <w:p>
            <w:pPr>
              <w:spacing w:after="0" w:line="240" w:lineRule="auto"/>
              <w:ind w:firstLine="0"/>
              <w:jc w:val="center"/>
            </w:pPr>
            <w:r>
              <w:rPr>
                <w:b w:val="0"/>
                <w:i w:val="0"/>
                <w:sz w:val="20"/>
              </w:rPr>
              <w:t>слабая</w:t>
            </w:r>
          </w:p>
        </w:tc>
      </w:tr>
      <w:tr>
        <w:tc>
          <w:tcPr>
            <w:tcW w:type="dxa" w:w="1995"/>
          </w:tcPr>
          <w:p>
            <w:pPr>
              <w:spacing w:after="0" w:line="240" w:lineRule="auto"/>
              <w:ind w:firstLine="0"/>
              <w:jc w:val="left"/>
            </w:pPr>
            <w:r>
              <w:rPr>
                <w:b w:val="0"/>
                <w:i w:val="0"/>
                <w:sz w:val="20"/>
              </w:rPr>
              <w:t>Литий</w:t>
            </w:r>
          </w:p>
        </w:tc>
        <w:tc>
          <w:tcPr>
            <w:tcW w:type="dxa" w:w="1995"/>
          </w:tcPr>
          <w:p>
            <w:pPr>
              <w:spacing w:after="0" w:line="240" w:lineRule="auto"/>
              <w:ind w:firstLine="0"/>
              <w:jc w:val="center"/>
            </w:pPr>
            <w:r>
              <w:rPr>
                <w:b w:val="0"/>
                <w:i w:val="0"/>
                <w:sz w:val="20"/>
              </w:rPr>
              <w:t>3</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0</w:t>
            </w:r>
          </w:p>
        </w:tc>
        <w:tc>
          <w:tcPr>
            <w:tcW w:type="dxa" w:w="1995"/>
          </w:tcPr>
          <w:p>
            <w:pPr>
              <w:spacing w:after="0" w:line="240" w:lineRule="auto"/>
              <w:ind w:firstLine="0"/>
              <w:jc w:val="center"/>
            </w:pPr>
            <w:r>
              <w:rPr>
                <w:b w:val="0"/>
                <w:i w:val="0"/>
                <w:sz w:val="20"/>
              </w:rPr>
              <w:t>отсутствует</w:t>
            </w:r>
          </w:p>
        </w:tc>
      </w:tr>
      <w:tr>
        <w:tc>
          <w:tcPr>
            <w:tcW w:type="dxa" w:w="1995"/>
          </w:tcPr>
          <w:p>
            <w:pPr>
              <w:spacing w:after="0" w:line="240" w:lineRule="auto"/>
              <w:ind w:firstLine="0"/>
              <w:jc w:val="left"/>
            </w:pPr>
            <w:r>
              <w:rPr>
                <w:b w:val="0"/>
                <w:i w:val="0"/>
                <w:sz w:val="20"/>
              </w:rPr>
              <w:t>Кобальт</w:t>
            </w:r>
          </w:p>
        </w:tc>
        <w:tc>
          <w:tcPr>
            <w:tcW w:type="dxa" w:w="1995"/>
          </w:tcPr>
          <w:p>
            <w:pPr>
              <w:spacing w:after="0" w:line="240" w:lineRule="auto"/>
              <w:ind w:firstLine="0"/>
              <w:jc w:val="center"/>
            </w:pPr>
            <w:r>
              <w:rPr>
                <w:b w:val="0"/>
                <w:i w:val="0"/>
                <w:sz w:val="20"/>
              </w:rPr>
              <w:t>3</w:t>
            </w:r>
          </w:p>
        </w:tc>
        <w:tc>
          <w:tcPr>
            <w:tcW w:type="dxa" w:w="1995"/>
          </w:tcPr>
          <w:p>
            <w:pPr>
              <w:spacing w:after="0" w:line="240" w:lineRule="auto"/>
              <w:ind w:firstLine="0"/>
              <w:jc w:val="center"/>
            </w:pPr>
            <w:r>
              <w:rPr>
                <w:b w:val="0"/>
                <w:i w:val="0"/>
                <w:sz w:val="20"/>
              </w:rPr>
              <w:t>4</w:t>
            </w:r>
          </w:p>
        </w:tc>
        <w:tc>
          <w:tcPr>
            <w:tcW w:type="dxa" w:w="1995"/>
          </w:tcPr>
          <w:p>
            <w:pPr>
              <w:spacing w:after="0" w:line="240" w:lineRule="auto"/>
              <w:ind w:firstLine="0"/>
              <w:jc w:val="center"/>
            </w:pPr>
            <w:r>
              <w:rPr>
                <w:b w:val="0"/>
                <w:i w:val="0"/>
                <w:sz w:val="20"/>
              </w:rPr>
              <w:t>5</w:t>
            </w:r>
          </w:p>
        </w:tc>
        <w:tc>
          <w:tcPr>
            <w:tcW w:type="dxa" w:w="1995"/>
          </w:tcPr>
          <w:p>
            <w:pPr>
              <w:spacing w:after="0" w:line="240" w:lineRule="auto"/>
              <w:ind w:firstLine="0"/>
              <w:jc w:val="center"/>
            </w:pPr>
            <w:r>
              <w:rPr>
                <w:b w:val="0"/>
                <w:i w:val="0"/>
                <w:sz w:val="20"/>
              </w:rPr>
              <w:t>средняя</w:t>
            </w:r>
          </w:p>
        </w:tc>
      </w:tr>
      <w:tr>
        <w:tc>
          <w:tcPr>
            <w:tcW w:type="dxa" w:w="1995"/>
          </w:tcPr>
          <w:p>
            <w:pPr>
              <w:spacing w:after="0" w:line="240" w:lineRule="auto"/>
              <w:ind w:firstLine="0"/>
              <w:jc w:val="left"/>
            </w:pPr>
            <w:r>
              <w:rPr>
                <w:b w:val="0"/>
                <w:i w:val="0"/>
                <w:sz w:val="20"/>
              </w:rPr>
              <w:t>Вольфрам</w:t>
            </w:r>
          </w:p>
        </w:tc>
        <w:tc>
          <w:tcPr>
            <w:tcW w:type="dxa" w:w="1995"/>
          </w:tcPr>
          <w:p>
            <w:pPr>
              <w:spacing w:after="0" w:line="240" w:lineRule="auto"/>
              <w:ind w:firstLine="0"/>
              <w:jc w:val="center"/>
            </w:pPr>
            <w:r>
              <w:rPr>
                <w:b w:val="0"/>
                <w:i w:val="0"/>
                <w:sz w:val="20"/>
              </w:rPr>
              <w:t>8</w:t>
            </w:r>
          </w:p>
        </w:tc>
        <w:tc>
          <w:tcPr>
            <w:tcW w:type="dxa" w:w="1995"/>
          </w:tcPr>
          <w:p>
            <w:pPr>
              <w:spacing w:after="0" w:line="240" w:lineRule="auto"/>
              <w:ind w:firstLine="0"/>
              <w:jc w:val="center"/>
            </w:pPr>
            <w:r>
              <w:rPr>
                <w:b w:val="0"/>
                <w:i w:val="0"/>
                <w:sz w:val="20"/>
              </w:rPr>
              <w:t>2</w:t>
            </w:r>
          </w:p>
        </w:tc>
        <w:tc>
          <w:tcPr>
            <w:tcW w:type="dxa" w:w="1995"/>
          </w:tcPr>
          <w:p>
            <w:pPr>
              <w:spacing w:after="0" w:line="240" w:lineRule="auto"/>
              <w:ind w:firstLine="0"/>
              <w:jc w:val="center"/>
            </w:pPr>
            <w:r>
              <w:rPr>
                <w:b w:val="0"/>
                <w:i w:val="0"/>
                <w:sz w:val="20"/>
              </w:rPr>
              <w:t>3</w:t>
            </w:r>
          </w:p>
        </w:tc>
        <w:tc>
          <w:tcPr>
            <w:tcW w:type="dxa" w:w="1995"/>
          </w:tcPr>
          <w:p>
            <w:pPr>
              <w:spacing w:after="0" w:line="240" w:lineRule="auto"/>
              <w:ind w:firstLine="0"/>
              <w:jc w:val="center"/>
            </w:pPr>
            <w:r>
              <w:rPr>
                <w:b w:val="0"/>
                <w:i w:val="0"/>
                <w:sz w:val="20"/>
              </w:rPr>
              <w:t>средняя</w:t>
            </w:r>
          </w:p>
        </w:tc>
      </w:tr>
      <w:tr>
        <w:tc>
          <w:tcPr>
            <w:tcW w:type="dxa" w:w="1995"/>
          </w:tcPr>
          <w:p>
            <w:pPr>
              <w:spacing w:after="0" w:line="240" w:lineRule="auto"/>
              <w:ind w:firstLine="0"/>
              <w:jc w:val="left"/>
            </w:pPr>
            <w:r>
              <w:rPr>
                <w:b w:val="0"/>
                <w:i w:val="0"/>
                <w:sz w:val="20"/>
              </w:rPr>
              <w:t>Скандий</w:t>
            </w:r>
          </w:p>
        </w:tc>
        <w:tc>
          <w:tcPr>
            <w:tcW w:type="dxa" w:w="1995"/>
          </w:tcPr>
          <w:p>
            <w:pPr>
              <w:spacing w:after="0" w:line="240" w:lineRule="auto"/>
              <w:ind w:firstLine="0"/>
              <w:jc w:val="center"/>
            </w:pPr>
            <w:r>
              <w:rPr>
                <w:b w:val="0"/>
                <w:i w:val="0"/>
                <w:sz w:val="20"/>
              </w:rPr>
              <w:t>н/д</w:t>
            </w:r>
          </w:p>
        </w:tc>
        <w:tc>
          <w:tcPr>
            <w:tcW w:type="dxa" w:w="1995"/>
          </w:tcPr>
          <w:p>
            <w:pPr>
              <w:spacing w:after="0" w:line="240" w:lineRule="auto"/>
              <w:ind w:firstLine="0"/>
              <w:jc w:val="center"/>
            </w:pPr>
            <w:r>
              <w:rPr>
                <w:b w:val="0"/>
                <w:i w:val="0"/>
                <w:sz w:val="20"/>
              </w:rPr>
              <w:t>19</w:t>
            </w:r>
          </w:p>
        </w:tc>
        <w:tc>
          <w:tcPr>
            <w:tcW w:type="dxa" w:w="1995"/>
          </w:tcPr>
          <w:p>
            <w:pPr>
              <w:spacing w:after="0" w:line="240" w:lineRule="auto"/>
              <w:ind w:firstLine="0"/>
              <w:jc w:val="center"/>
            </w:pPr>
            <w:r>
              <w:rPr>
                <w:b w:val="0"/>
                <w:i w:val="0"/>
                <w:sz w:val="20"/>
              </w:rPr>
              <w:t>19</w:t>
            </w:r>
          </w:p>
        </w:tc>
        <w:tc>
          <w:tcPr>
            <w:tcW w:type="dxa" w:w="1995"/>
          </w:tcPr>
          <w:p>
            <w:pPr>
              <w:spacing w:after="0" w:line="240" w:lineRule="auto"/>
              <w:ind w:firstLine="0"/>
              <w:jc w:val="center"/>
            </w:pPr>
            <w:r>
              <w:rPr>
                <w:b w:val="0"/>
                <w:i w:val="0"/>
                <w:sz w:val="20"/>
              </w:rPr>
              <w:t>сильная</w:t>
            </w:r>
          </w:p>
        </w:tc>
      </w:tr>
      <w:tr>
        <w:tc>
          <w:tcPr>
            <w:tcW w:type="dxa" w:w="1995"/>
          </w:tcPr>
          <w:p>
            <w:pPr>
              <w:spacing w:after="0" w:line="240" w:lineRule="auto"/>
              <w:ind w:firstLine="0"/>
              <w:jc w:val="left"/>
            </w:pPr>
            <w:r>
              <w:rPr>
                <w:b w:val="0"/>
                <w:i w:val="0"/>
                <w:sz w:val="20"/>
              </w:rPr>
              <w:t>Графит</w:t>
            </w:r>
          </w:p>
        </w:tc>
        <w:tc>
          <w:tcPr>
            <w:tcW w:type="dxa" w:w="1995"/>
          </w:tcPr>
          <w:p>
            <w:pPr>
              <w:spacing w:after="0" w:line="240" w:lineRule="auto"/>
              <w:ind w:firstLine="0"/>
              <w:jc w:val="center"/>
            </w:pPr>
            <w:r>
              <w:rPr>
                <w:b w:val="0"/>
                <w:i w:val="0"/>
                <w:sz w:val="20"/>
              </w:rPr>
              <w:t>5</w:t>
            </w:r>
          </w:p>
        </w:tc>
        <w:tc>
          <w:tcPr>
            <w:tcW w:type="dxa" w:w="1995"/>
          </w:tcPr>
          <w:p>
            <w:pPr>
              <w:spacing w:after="0" w:line="240" w:lineRule="auto"/>
              <w:ind w:firstLine="0"/>
              <w:jc w:val="center"/>
            </w:pPr>
            <w:r>
              <w:rPr>
                <w:b w:val="0"/>
                <w:i w:val="0"/>
                <w:sz w:val="20"/>
              </w:rPr>
              <w:t>2</w:t>
            </w:r>
          </w:p>
        </w:tc>
        <w:tc>
          <w:tcPr>
            <w:tcW w:type="dxa" w:w="1995"/>
          </w:tcPr>
          <w:p>
            <w:pPr>
              <w:spacing w:after="0" w:line="240" w:lineRule="auto"/>
              <w:ind w:firstLine="0"/>
              <w:jc w:val="center"/>
            </w:pPr>
            <w:r>
              <w:rPr>
                <w:b w:val="0"/>
                <w:i w:val="0"/>
                <w:sz w:val="20"/>
              </w:rPr>
              <w:t>1</w:t>
            </w:r>
          </w:p>
        </w:tc>
        <w:tc>
          <w:tcPr>
            <w:tcW w:type="dxa" w:w="1995"/>
          </w:tcPr>
          <w:p>
            <w:pPr>
              <w:spacing w:after="0" w:line="240" w:lineRule="auto"/>
              <w:ind w:firstLine="0"/>
              <w:jc w:val="center"/>
            </w:pPr>
            <w:r>
              <w:rPr>
                <w:b w:val="0"/>
                <w:i w:val="0"/>
                <w:sz w:val="20"/>
              </w:rPr>
              <w:t>слабая</w:t>
            </w:r>
          </w:p>
        </w:tc>
      </w:tr>
    </w:tbl>
    <w:p>
      <w:pPr>
        <w:spacing w:after="180"/>
        <w:ind w:firstLine="0"/>
      </w:pPr>
      <w:r>
        <w:rPr>
          <w:i/>
          <w:sz w:val="20"/>
        </w:rPr>
        <w:t>Источник: аналитический центр по данным USGS, Государственного баланса запасов РФ</w:t>
      </w:r>
    </w:p>
    <w:p>
      <w:pPr>
        <w:keepNext/>
        <w:spacing w:before="160" w:after="60"/>
        <w:ind w:firstLine="0"/>
        <w:jc w:val="left"/>
      </w:pPr>
      <w:r>
        <w:rPr>
          <w:b/>
          <w:sz w:val="22"/>
        </w:rPr>
        <w:t>Рисунок 98. Сопоставление доли России в мировых запасах и добыче критического сырья, %</w:t>
      </w:r>
    </w:p>
    <w:p>
      <w:pPr>
        <w:ind w:firstLine="0"/>
        <w:jc w:val="center"/>
      </w:pPr>
      <w:r>
        <w:drawing>
          <wp:inline xmlns:a="http://schemas.openxmlformats.org/drawingml/2006/main" xmlns:pic="http://schemas.openxmlformats.org/drawingml/2006/picture">
            <wp:extent cx="5580000" cy="2387382"/>
            <wp:docPr id="98" name="Picture 98"/>
            <wp:cNvGraphicFramePr>
              <a:graphicFrameLocks noChangeAspect="1"/>
            </wp:cNvGraphicFramePr>
            <a:graphic>
              <a:graphicData uri="http://schemas.openxmlformats.org/drawingml/2006/picture">
                <pic:pic>
                  <pic:nvPicPr>
                    <pic:cNvPr id="0" name="fig98.png"/>
                    <pic:cNvPicPr/>
                  </pic:nvPicPr>
                  <pic:blipFill>
                    <a:blip r:embed="rId108"/>
                    <a:stretch>
                      <a:fillRect/>
                    </a:stretch>
                  </pic:blipFill>
                  <pic:spPr>
                    <a:xfrm>
                      <a:off x="0" y="0"/>
                      <a:ext cx="5580000" cy="2387382"/>
                    </a:xfrm>
                    <a:prstGeom prst="rect"/>
                  </pic:spPr>
                </pic:pic>
              </a:graphicData>
            </a:graphic>
          </wp:inline>
        </w:drawing>
      </w:r>
    </w:p>
    <w:p>
      <w:pPr>
        <w:spacing w:after="180"/>
        <w:ind w:firstLine="0"/>
      </w:pPr>
      <w:r>
        <w:rPr>
          <w:i/>
          <w:sz w:val="20"/>
        </w:rPr>
        <w:t>Источник: аналитический центр (табл. 146)</w:t>
      </w:r>
    </w:p>
    <w:p>
      <w:r>
        <w:rPr>
          <w:b w:val="0"/>
          <w:i w:val="0"/>
        </w:rPr>
        <w:t>Рисунок 98 выявляет характерную закономерность российской минерально-сырьевой позиции: значительное расхождение между долей в запасах и долей в добыче для группы редких металлов (ниобий, редкие земли, вольфрам, литий) при их совпадении для традиционных металлов (палладий, никель). Причина этого расхождения универсальна и рассмотрена в главах 9–16: освоение редкометалльных объектов требует создания технологий под конкретный тип сырья, тогда как традиционные металлы отрабатываются по отработанным схемам. Редкоземельная отрасль не является в этом отношении исключением — она представляет собой наиболее сложный случай общей проблемы освоения комплексного редкометалльного сырья.</w:t>
      </w:r>
    </w:p>
    <w:p>
      <w:pPr>
        <w:keepNext/>
        <w:spacing w:before="160" w:after="60"/>
        <w:ind w:firstLine="0"/>
        <w:jc w:val="left"/>
      </w:pPr>
      <w:r>
        <w:rPr>
          <w:b/>
          <w:sz w:val="22"/>
        </w:rPr>
        <w:t>Таблица 147. Сопоставление сроков и капиталоёмкости создания производств критического сырья в РФ</w:t>
      </w:r>
    </w:p>
    <w:tbl>
      <w:tblPr>
        <w:tblStyle w:val="TableGrid"/>
        <w:tblW w:type="auto" w:w="0"/>
        <w:jc w:val="center"/>
        <w:tblLook w:firstColumn="1" w:firstRow="1" w:lastColumn="0" w:lastRow="0" w:noHBand="0" w:noVBand="1" w:val="04A0"/>
      </w:tblPr>
      <w:tblGrid>
        <w:gridCol w:w="1995"/>
        <w:gridCol w:w="1995"/>
        <w:gridCol w:w="1995"/>
        <w:gridCol w:w="1995"/>
        <w:gridCol w:w="1995"/>
      </w:tblGrid>
      <w:tr>
        <w:tc>
          <w:tcPr>
            <w:tcW w:type="dxa" w:w="1995"/>
            <w:shd w:val="clear" w:fill="DCE6F1"/>
          </w:tcPr>
          <w:p>
            <w:pPr>
              <w:spacing w:after="0" w:line="240" w:lineRule="auto"/>
              <w:ind w:firstLine="0"/>
              <w:jc w:val="center"/>
            </w:pPr>
            <w:r>
              <w:rPr>
                <w:b/>
                <w:i w:val="0"/>
                <w:sz w:val="20"/>
              </w:rPr>
              <w:t>Направление</w:t>
            </w:r>
          </w:p>
        </w:tc>
        <w:tc>
          <w:tcPr>
            <w:tcW w:type="dxa" w:w="1995"/>
            <w:shd w:val="clear" w:fill="DCE6F1"/>
          </w:tcPr>
          <w:p>
            <w:pPr>
              <w:spacing w:after="0" w:line="240" w:lineRule="auto"/>
              <w:ind w:firstLine="0"/>
              <w:jc w:val="center"/>
            </w:pPr>
            <w:r>
              <w:rPr>
                <w:b/>
                <w:i w:val="0"/>
                <w:sz w:val="20"/>
              </w:rPr>
              <w:t>Срок создания, лет</w:t>
            </w:r>
          </w:p>
        </w:tc>
        <w:tc>
          <w:tcPr>
            <w:tcW w:type="dxa" w:w="1995"/>
            <w:shd w:val="clear" w:fill="DCE6F1"/>
          </w:tcPr>
          <w:p>
            <w:pPr>
              <w:spacing w:after="0" w:line="240" w:lineRule="auto"/>
              <w:ind w:firstLine="0"/>
              <w:jc w:val="center"/>
            </w:pPr>
            <w:r>
              <w:rPr>
                <w:b/>
                <w:i w:val="0"/>
                <w:sz w:val="20"/>
              </w:rPr>
              <w:t>CAPEX, млрд руб.</w:t>
            </w:r>
          </w:p>
        </w:tc>
        <w:tc>
          <w:tcPr>
            <w:tcW w:type="dxa" w:w="1995"/>
            <w:shd w:val="clear" w:fill="DCE6F1"/>
          </w:tcPr>
          <w:p>
            <w:pPr>
              <w:spacing w:after="0" w:line="240" w:lineRule="auto"/>
              <w:ind w:firstLine="0"/>
              <w:jc w:val="center"/>
            </w:pPr>
            <w:r>
              <w:rPr>
                <w:b/>
                <w:i w:val="0"/>
                <w:sz w:val="20"/>
              </w:rPr>
              <w:t>Технол. риск</w:t>
            </w:r>
          </w:p>
        </w:tc>
        <w:tc>
          <w:tcPr>
            <w:tcW w:type="dxa" w:w="1995"/>
            <w:shd w:val="clear" w:fill="DCE6F1"/>
          </w:tcPr>
          <w:p>
            <w:pPr>
              <w:spacing w:after="0" w:line="240" w:lineRule="auto"/>
              <w:ind w:firstLine="0"/>
              <w:jc w:val="center"/>
            </w:pPr>
            <w:r>
              <w:rPr>
                <w:b/>
                <w:i w:val="0"/>
                <w:sz w:val="20"/>
              </w:rPr>
              <w:t>Рыночный риск</w:t>
            </w:r>
          </w:p>
        </w:tc>
      </w:tr>
      <w:tr>
        <w:tc>
          <w:tcPr>
            <w:tcW w:type="dxa" w:w="1995"/>
          </w:tcPr>
          <w:p>
            <w:pPr>
              <w:spacing w:after="0" w:line="240" w:lineRule="auto"/>
              <w:ind w:firstLine="0"/>
              <w:jc w:val="left"/>
            </w:pPr>
            <w:r>
              <w:rPr>
                <w:b w:val="0"/>
                <w:i w:val="0"/>
                <w:sz w:val="20"/>
              </w:rPr>
              <w:t>Редкие земли (полный цикл)</w:t>
            </w:r>
          </w:p>
        </w:tc>
        <w:tc>
          <w:tcPr>
            <w:tcW w:type="dxa" w:w="1995"/>
          </w:tcPr>
          <w:p>
            <w:pPr>
              <w:spacing w:after="0" w:line="240" w:lineRule="auto"/>
              <w:ind w:firstLine="0"/>
              <w:jc w:val="center"/>
            </w:pPr>
            <w:r>
              <w:rPr>
                <w:b w:val="0"/>
                <w:i w:val="0"/>
                <w:sz w:val="20"/>
              </w:rPr>
              <w:t>8–12</w:t>
            </w:r>
          </w:p>
        </w:tc>
        <w:tc>
          <w:tcPr>
            <w:tcW w:type="dxa" w:w="1995"/>
          </w:tcPr>
          <w:p>
            <w:pPr>
              <w:spacing w:after="0" w:line="240" w:lineRule="auto"/>
              <w:ind w:firstLine="0"/>
              <w:jc w:val="center"/>
            </w:pPr>
            <w:r>
              <w:rPr>
                <w:b w:val="0"/>
                <w:i w:val="0"/>
                <w:sz w:val="20"/>
              </w:rPr>
              <w:t>480–800</w:t>
            </w:r>
          </w:p>
        </w:tc>
        <w:tc>
          <w:tcPr>
            <w:tcW w:type="dxa" w:w="1995"/>
          </w:tcPr>
          <w:p>
            <w:pPr>
              <w:spacing w:after="0" w:line="240" w:lineRule="auto"/>
              <w:ind w:firstLine="0"/>
              <w:jc w:val="center"/>
            </w:pPr>
            <w:r>
              <w:rPr>
                <w:b w:val="0"/>
                <w:i w:val="0"/>
                <w:sz w:val="20"/>
              </w:rPr>
              <w:t>очень высокий</w:t>
            </w:r>
          </w:p>
        </w:tc>
        <w:tc>
          <w:tcPr>
            <w:tcW w:type="dxa" w:w="1995"/>
          </w:tcPr>
          <w:p>
            <w:pPr>
              <w:spacing w:after="0" w:line="240" w:lineRule="auto"/>
              <w:ind w:firstLine="0"/>
              <w:jc w:val="center"/>
            </w:pPr>
            <w:r>
              <w:rPr>
                <w:b w:val="0"/>
                <w:i w:val="0"/>
                <w:sz w:val="20"/>
              </w:rPr>
              <w:t>высокий</w:t>
            </w:r>
          </w:p>
        </w:tc>
      </w:tr>
      <w:tr>
        <w:tc>
          <w:tcPr>
            <w:tcW w:type="dxa" w:w="1995"/>
          </w:tcPr>
          <w:p>
            <w:pPr>
              <w:spacing w:after="0" w:line="240" w:lineRule="auto"/>
              <w:ind w:firstLine="0"/>
              <w:jc w:val="left"/>
            </w:pPr>
            <w:r>
              <w:rPr>
                <w:b w:val="0"/>
                <w:i w:val="0"/>
                <w:sz w:val="20"/>
              </w:rPr>
              <w:t>Литий (полный цикл)</w:t>
            </w:r>
          </w:p>
        </w:tc>
        <w:tc>
          <w:tcPr>
            <w:tcW w:type="dxa" w:w="1995"/>
          </w:tcPr>
          <w:p>
            <w:pPr>
              <w:spacing w:after="0" w:line="240" w:lineRule="auto"/>
              <w:ind w:firstLine="0"/>
              <w:jc w:val="center"/>
            </w:pPr>
            <w:r>
              <w:rPr>
                <w:b w:val="0"/>
                <w:i w:val="0"/>
                <w:sz w:val="20"/>
              </w:rPr>
              <w:t>6–9</w:t>
            </w:r>
          </w:p>
        </w:tc>
        <w:tc>
          <w:tcPr>
            <w:tcW w:type="dxa" w:w="1995"/>
          </w:tcPr>
          <w:p>
            <w:pPr>
              <w:spacing w:after="0" w:line="240" w:lineRule="auto"/>
              <w:ind w:firstLine="0"/>
              <w:jc w:val="center"/>
            </w:pPr>
            <w:r>
              <w:rPr>
                <w:b w:val="0"/>
                <w:i w:val="0"/>
                <w:sz w:val="20"/>
              </w:rPr>
              <w:t>180–320</w:t>
            </w:r>
          </w:p>
        </w:tc>
        <w:tc>
          <w:tcPr>
            <w:tcW w:type="dxa" w:w="1995"/>
          </w:tcPr>
          <w:p>
            <w:pPr>
              <w:spacing w:after="0" w:line="240" w:lineRule="auto"/>
              <w:ind w:firstLine="0"/>
              <w:jc w:val="center"/>
            </w:pPr>
            <w:r>
              <w:rPr>
                <w:b w:val="0"/>
                <w:i w:val="0"/>
                <w:sz w:val="20"/>
              </w:rPr>
              <w:t>средний</w:t>
            </w:r>
          </w:p>
        </w:tc>
        <w:tc>
          <w:tcPr>
            <w:tcW w:type="dxa" w:w="1995"/>
          </w:tcPr>
          <w:p>
            <w:pPr>
              <w:spacing w:after="0" w:line="240" w:lineRule="auto"/>
              <w:ind w:firstLine="0"/>
              <w:jc w:val="center"/>
            </w:pPr>
            <w:r>
              <w:rPr>
                <w:b w:val="0"/>
                <w:i w:val="0"/>
                <w:sz w:val="20"/>
              </w:rPr>
              <w:t>средний</w:t>
            </w:r>
          </w:p>
        </w:tc>
      </w:tr>
      <w:tr>
        <w:tc>
          <w:tcPr>
            <w:tcW w:type="dxa" w:w="1995"/>
          </w:tcPr>
          <w:p>
            <w:pPr>
              <w:spacing w:after="0" w:line="240" w:lineRule="auto"/>
              <w:ind w:firstLine="0"/>
              <w:jc w:val="left"/>
            </w:pPr>
            <w:r>
              <w:rPr>
                <w:b w:val="0"/>
                <w:i w:val="0"/>
                <w:sz w:val="20"/>
              </w:rPr>
              <w:t>Скандий</w:t>
            </w:r>
          </w:p>
        </w:tc>
        <w:tc>
          <w:tcPr>
            <w:tcW w:type="dxa" w:w="1995"/>
          </w:tcPr>
          <w:p>
            <w:pPr>
              <w:spacing w:after="0" w:line="240" w:lineRule="auto"/>
              <w:ind w:firstLine="0"/>
              <w:jc w:val="center"/>
            </w:pPr>
            <w:r>
              <w:rPr>
                <w:b w:val="0"/>
                <w:i w:val="0"/>
                <w:sz w:val="20"/>
              </w:rPr>
              <w:t>2–4</w:t>
            </w:r>
          </w:p>
        </w:tc>
        <w:tc>
          <w:tcPr>
            <w:tcW w:type="dxa" w:w="1995"/>
          </w:tcPr>
          <w:p>
            <w:pPr>
              <w:spacing w:after="0" w:line="240" w:lineRule="auto"/>
              <w:ind w:firstLine="0"/>
              <w:jc w:val="center"/>
            </w:pPr>
            <w:r>
              <w:rPr>
                <w:b w:val="0"/>
                <w:i w:val="0"/>
                <w:sz w:val="20"/>
              </w:rPr>
              <w:t>3–8</w:t>
            </w:r>
          </w:p>
        </w:tc>
        <w:tc>
          <w:tcPr>
            <w:tcW w:type="dxa" w:w="1995"/>
          </w:tcPr>
          <w:p>
            <w:pPr>
              <w:spacing w:after="0" w:line="240" w:lineRule="auto"/>
              <w:ind w:firstLine="0"/>
              <w:jc w:val="center"/>
            </w:pPr>
            <w:r>
              <w:rPr>
                <w:b w:val="0"/>
                <w:i w:val="0"/>
                <w:sz w:val="20"/>
              </w:rPr>
              <w:t>низкий</w:t>
            </w:r>
          </w:p>
        </w:tc>
        <w:tc>
          <w:tcPr>
            <w:tcW w:type="dxa" w:w="1995"/>
          </w:tcPr>
          <w:p>
            <w:pPr>
              <w:spacing w:after="0" w:line="240" w:lineRule="auto"/>
              <w:ind w:firstLine="0"/>
              <w:jc w:val="center"/>
            </w:pPr>
            <w:r>
              <w:rPr>
                <w:b w:val="0"/>
                <w:i w:val="0"/>
                <w:sz w:val="20"/>
              </w:rPr>
              <w:t>высокий</w:t>
            </w:r>
          </w:p>
        </w:tc>
      </w:tr>
      <w:tr>
        <w:tc>
          <w:tcPr>
            <w:tcW w:type="dxa" w:w="1995"/>
          </w:tcPr>
          <w:p>
            <w:pPr>
              <w:spacing w:after="0" w:line="240" w:lineRule="auto"/>
              <w:ind w:firstLine="0"/>
              <w:jc w:val="left"/>
            </w:pPr>
            <w:r>
              <w:rPr>
                <w:b w:val="0"/>
                <w:i w:val="0"/>
                <w:sz w:val="20"/>
              </w:rPr>
              <w:t>Ниобий (Томтор)</w:t>
            </w:r>
          </w:p>
        </w:tc>
        <w:tc>
          <w:tcPr>
            <w:tcW w:type="dxa" w:w="1995"/>
          </w:tcPr>
          <w:p>
            <w:pPr>
              <w:spacing w:after="0" w:line="240" w:lineRule="auto"/>
              <w:ind w:firstLine="0"/>
              <w:jc w:val="center"/>
            </w:pPr>
            <w:r>
              <w:rPr>
                <w:b w:val="0"/>
                <w:i w:val="0"/>
                <w:sz w:val="20"/>
              </w:rPr>
              <w:t>8–12</w:t>
            </w:r>
          </w:p>
        </w:tc>
        <w:tc>
          <w:tcPr>
            <w:tcW w:type="dxa" w:w="1995"/>
          </w:tcPr>
          <w:p>
            <w:pPr>
              <w:spacing w:after="0" w:line="240" w:lineRule="auto"/>
              <w:ind w:firstLine="0"/>
              <w:jc w:val="center"/>
            </w:pPr>
            <w:r>
              <w:rPr>
                <w:b w:val="0"/>
                <w:i w:val="0"/>
                <w:sz w:val="20"/>
              </w:rPr>
              <w:t>в составе РЗМ-проекта</w:t>
            </w:r>
          </w:p>
        </w:tc>
        <w:tc>
          <w:tcPr>
            <w:tcW w:type="dxa" w:w="1995"/>
          </w:tcPr>
          <w:p>
            <w:pPr>
              <w:spacing w:after="0" w:line="240" w:lineRule="auto"/>
              <w:ind w:firstLine="0"/>
              <w:jc w:val="center"/>
            </w:pPr>
            <w:r>
              <w:rPr>
                <w:b w:val="0"/>
                <w:i w:val="0"/>
                <w:sz w:val="20"/>
              </w:rPr>
              <w:t>высокий</w:t>
            </w:r>
          </w:p>
        </w:tc>
        <w:tc>
          <w:tcPr>
            <w:tcW w:type="dxa" w:w="1995"/>
          </w:tcPr>
          <w:p>
            <w:pPr>
              <w:spacing w:after="0" w:line="240" w:lineRule="auto"/>
              <w:ind w:firstLine="0"/>
              <w:jc w:val="center"/>
            </w:pPr>
            <w:r>
              <w:rPr>
                <w:b w:val="0"/>
                <w:i w:val="0"/>
                <w:sz w:val="20"/>
              </w:rPr>
              <w:t>очень высокий</w:t>
            </w:r>
          </w:p>
        </w:tc>
      </w:tr>
      <w:tr>
        <w:tc>
          <w:tcPr>
            <w:tcW w:type="dxa" w:w="1995"/>
          </w:tcPr>
          <w:p>
            <w:pPr>
              <w:spacing w:after="0" w:line="240" w:lineRule="auto"/>
              <w:ind w:firstLine="0"/>
              <w:jc w:val="left"/>
            </w:pPr>
            <w:r>
              <w:rPr>
                <w:b w:val="0"/>
                <w:i w:val="0"/>
                <w:sz w:val="20"/>
              </w:rPr>
              <w:t>Титан (расширение)</w:t>
            </w:r>
          </w:p>
        </w:tc>
        <w:tc>
          <w:tcPr>
            <w:tcW w:type="dxa" w:w="1995"/>
          </w:tcPr>
          <w:p>
            <w:pPr>
              <w:spacing w:after="0" w:line="240" w:lineRule="auto"/>
              <w:ind w:firstLine="0"/>
              <w:jc w:val="center"/>
            </w:pPr>
            <w:r>
              <w:rPr>
                <w:b w:val="0"/>
                <w:i w:val="0"/>
                <w:sz w:val="20"/>
              </w:rPr>
              <w:t>4–6</w:t>
            </w:r>
          </w:p>
        </w:tc>
        <w:tc>
          <w:tcPr>
            <w:tcW w:type="dxa" w:w="1995"/>
          </w:tcPr>
          <w:p>
            <w:pPr>
              <w:spacing w:after="0" w:line="240" w:lineRule="auto"/>
              <w:ind w:firstLine="0"/>
              <w:jc w:val="center"/>
            </w:pPr>
            <w:r>
              <w:rPr>
                <w:b w:val="0"/>
                <w:i w:val="0"/>
                <w:sz w:val="20"/>
              </w:rPr>
              <w:t>60–120</w:t>
            </w:r>
          </w:p>
        </w:tc>
        <w:tc>
          <w:tcPr>
            <w:tcW w:type="dxa" w:w="1995"/>
          </w:tcPr>
          <w:p>
            <w:pPr>
              <w:spacing w:after="0" w:line="240" w:lineRule="auto"/>
              <w:ind w:firstLine="0"/>
              <w:jc w:val="center"/>
            </w:pPr>
            <w:r>
              <w:rPr>
                <w:b w:val="0"/>
                <w:i w:val="0"/>
                <w:sz w:val="20"/>
              </w:rPr>
              <w:t>низкий</w:t>
            </w:r>
          </w:p>
        </w:tc>
        <w:tc>
          <w:tcPr>
            <w:tcW w:type="dxa" w:w="1995"/>
          </w:tcPr>
          <w:p>
            <w:pPr>
              <w:spacing w:after="0" w:line="240" w:lineRule="auto"/>
              <w:ind w:firstLine="0"/>
              <w:jc w:val="center"/>
            </w:pPr>
            <w:r>
              <w:rPr>
                <w:b w:val="0"/>
                <w:i w:val="0"/>
                <w:sz w:val="20"/>
              </w:rPr>
              <w:t>средний</w:t>
            </w:r>
          </w:p>
        </w:tc>
      </w:tr>
      <w:tr>
        <w:tc>
          <w:tcPr>
            <w:tcW w:type="dxa" w:w="1995"/>
          </w:tcPr>
          <w:p>
            <w:pPr>
              <w:spacing w:after="0" w:line="240" w:lineRule="auto"/>
              <w:ind w:firstLine="0"/>
              <w:jc w:val="left"/>
            </w:pPr>
            <w:r>
              <w:rPr>
                <w:b w:val="0"/>
                <w:i w:val="0"/>
                <w:sz w:val="20"/>
              </w:rPr>
              <w:t>Вольфрам</w:t>
            </w:r>
          </w:p>
        </w:tc>
        <w:tc>
          <w:tcPr>
            <w:tcW w:type="dxa" w:w="1995"/>
          </w:tcPr>
          <w:p>
            <w:pPr>
              <w:spacing w:after="0" w:line="240" w:lineRule="auto"/>
              <w:ind w:firstLine="0"/>
              <w:jc w:val="center"/>
            </w:pPr>
            <w:r>
              <w:rPr>
                <w:b w:val="0"/>
                <w:i w:val="0"/>
                <w:sz w:val="20"/>
              </w:rPr>
              <w:t>5–8</w:t>
            </w:r>
          </w:p>
        </w:tc>
        <w:tc>
          <w:tcPr>
            <w:tcW w:type="dxa" w:w="1995"/>
          </w:tcPr>
          <w:p>
            <w:pPr>
              <w:spacing w:after="0" w:line="240" w:lineRule="auto"/>
              <w:ind w:firstLine="0"/>
              <w:jc w:val="center"/>
            </w:pPr>
            <w:r>
              <w:rPr>
                <w:b w:val="0"/>
                <w:i w:val="0"/>
                <w:sz w:val="20"/>
              </w:rPr>
              <w:t>40–90</w:t>
            </w:r>
          </w:p>
        </w:tc>
        <w:tc>
          <w:tcPr>
            <w:tcW w:type="dxa" w:w="1995"/>
          </w:tcPr>
          <w:p>
            <w:pPr>
              <w:spacing w:after="0" w:line="240" w:lineRule="auto"/>
              <w:ind w:firstLine="0"/>
              <w:jc w:val="center"/>
            </w:pPr>
            <w:r>
              <w:rPr>
                <w:b w:val="0"/>
                <w:i w:val="0"/>
                <w:sz w:val="20"/>
              </w:rPr>
              <w:t>средний</w:t>
            </w:r>
          </w:p>
        </w:tc>
        <w:tc>
          <w:tcPr>
            <w:tcW w:type="dxa" w:w="1995"/>
          </w:tcPr>
          <w:p>
            <w:pPr>
              <w:spacing w:after="0" w:line="240" w:lineRule="auto"/>
              <w:ind w:firstLine="0"/>
              <w:jc w:val="center"/>
            </w:pPr>
            <w:r>
              <w:rPr>
                <w:b w:val="0"/>
                <w:i w:val="0"/>
                <w:sz w:val="20"/>
              </w:rPr>
              <w:t>средний</w:t>
            </w:r>
          </w:p>
        </w:tc>
      </w:tr>
      <w:tr>
        <w:tc>
          <w:tcPr>
            <w:tcW w:type="dxa" w:w="1995"/>
          </w:tcPr>
          <w:p>
            <w:pPr>
              <w:spacing w:after="0" w:line="240" w:lineRule="auto"/>
              <w:ind w:firstLine="0"/>
              <w:jc w:val="left"/>
            </w:pPr>
            <w:r>
              <w:rPr>
                <w:b w:val="0"/>
                <w:i w:val="0"/>
                <w:sz w:val="20"/>
              </w:rPr>
              <w:t>Графит</w:t>
            </w:r>
          </w:p>
        </w:tc>
        <w:tc>
          <w:tcPr>
            <w:tcW w:type="dxa" w:w="1995"/>
          </w:tcPr>
          <w:p>
            <w:pPr>
              <w:spacing w:after="0" w:line="240" w:lineRule="auto"/>
              <w:ind w:firstLine="0"/>
              <w:jc w:val="center"/>
            </w:pPr>
            <w:r>
              <w:rPr>
                <w:b w:val="0"/>
                <w:i w:val="0"/>
                <w:sz w:val="20"/>
              </w:rPr>
              <w:t>4–7</w:t>
            </w:r>
          </w:p>
        </w:tc>
        <w:tc>
          <w:tcPr>
            <w:tcW w:type="dxa" w:w="1995"/>
          </w:tcPr>
          <w:p>
            <w:pPr>
              <w:spacing w:after="0" w:line="240" w:lineRule="auto"/>
              <w:ind w:firstLine="0"/>
              <w:jc w:val="center"/>
            </w:pPr>
            <w:r>
              <w:rPr>
                <w:b w:val="0"/>
                <w:i w:val="0"/>
                <w:sz w:val="20"/>
              </w:rPr>
              <w:t>30–70</w:t>
            </w:r>
          </w:p>
        </w:tc>
        <w:tc>
          <w:tcPr>
            <w:tcW w:type="dxa" w:w="1995"/>
          </w:tcPr>
          <w:p>
            <w:pPr>
              <w:spacing w:after="0" w:line="240" w:lineRule="auto"/>
              <w:ind w:firstLine="0"/>
              <w:jc w:val="center"/>
            </w:pPr>
            <w:r>
              <w:rPr>
                <w:b w:val="0"/>
                <w:i w:val="0"/>
                <w:sz w:val="20"/>
              </w:rPr>
              <w:t>средний</w:t>
            </w:r>
          </w:p>
        </w:tc>
        <w:tc>
          <w:tcPr>
            <w:tcW w:type="dxa" w:w="1995"/>
          </w:tcPr>
          <w:p>
            <w:pPr>
              <w:spacing w:after="0" w:line="240" w:lineRule="auto"/>
              <w:ind w:firstLine="0"/>
              <w:jc w:val="center"/>
            </w:pPr>
            <w:r>
              <w:rPr>
                <w:b w:val="0"/>
                <w:i w:val="0"/>
                <w:sz w:val="20"/>
              </w:rPr>
              <w:t>высокий</w:t>
            </w:r>
          </w:p>
        </w:tc>
      </w:tr>
    </w:tbl>
    <w:p>
      <w:pPr>
        <w:spacing w:after="180"/>
        <w:ind w:firstLine="0"/>
      </w:pPr>
      <w:r>
        <w:rPr>
          <w:i/>
          <w:sz w:val="20"/>
        </w:rPr>
        <w:t>Источник: оценка аналитического центра</w:t>
      </w:r>
    </w:p>
    <w:p>
      <w:pPr>
        <w:keepNext/>
        <w:spacing w:before="160" w:after="60"/>
        <w:ind w:firstLine="0"/>
        <w:jc w:val="left"/>
      </w:pPr>
      <w:r>
        <w:rPr>
          <w:b/>
          <w:sz w:val="22"/>
        </w:rPr>
        <w:t>Таблица 148. Итоговая сопоставительная оценка приоритетности направлений развития редкометалльной промышленности РФ</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Направление</w:t>
            </w:r>
          </w:p>
        </w:tc>
        <w:tc>
          <w:tcPr>
            <w:tcW w:type="dxa" w:w="1662"/>
            <w:shd w:val="clear" w:fill="DCE6F1"/>
          </w:tcPr>
          <w:p>
            <w:pPr>
              <w:spacing w:after="0" w:line="240" w:lineRule="auto"/>
              <w:ind w:firstLine="0"/>
              <w:jc w:val="center"/>
            </w:pPr>
            <w:r>
              <w:rPr>
                <w:b/>
                <w:i w:val="0"/>
                <w:sz w:val="20"/>
              </w:rPr>
              <w:t>Стратег. значимость</w:t>
            </w:r>
          </w:p>
        </w:tc>
        <w:tc>
          <w:tcPr>
            <w:tcW w:type="dxa" w:w="1662"/>
            <w:shd w:val="clear" w:fill="DCE6F1"/>
          </w:tcPr>
          <w:p>
            <w:pPr>
              <w:spacing w:after="0" w:line="240" w:lineRule="auto"/>
              <w:ind w:firstLine="0"/>
              <w:jc w:val="center"/>
            </w:pPr>
            <w:r>
              <w:rPr>
                <w:b/>
                <w:i w:val="0"/>
                <w:sz w:val="20"/>
              </w:rPr>
              <w:t>Реализуемость</w:t>
            </w:r>
          </w:p>
        </w:tc>
        <w:tc>
          <w:tcPr>
            <w:tcW w:type="dxa" w:w="1662"/>
            <w:shd w:val="clear" w:fill="DCE6F1"/>
          </w:tcPr>
          <w:p>
            <w:pPr>
              <w:spacing w:after="0" w:line="240" w:lineRule="auto"/>
              <w:ind w:firstLine="0"/>
              <w:jc w:val="center"/>
            </w:pPr>
            <w:r>
              <w:rPr>
                <w:b/>
                <w:i w:val="0"/>
                <w:sz w:val="20"/>
              </w:rPr>
              <w:t>Капиталоёмкость</w:t>
            </w:r>
          </w:p>
        </w:tc>
        <w:tc>
          <w:tcPr>
            <w:tcW w:type="dxa" w:w="1662"/>
            <w:shd w:val="clear" w:fill="DCE6F1"/>
          </w:tcPr>
          <w:p>
            <w:pPr>
              <w:spacing w:after="0" w:line="240" w:lineRule="auto"/>
              <w:ind w:firstLine="0"/>
              <w:jc w:val="center"/>
            </w:pPr>
            <w:r>
              <w:rPr>
                <w:b/>
                <w:i w:val="0"/>
                <w:sz w:val="20"/>
              </w:rPr>
              <w:t>Рыночный потенциал</w:t>
            </w:r>
          </w:p>
        </w:tc>
        <w:tc>
          <w:tcPr>
            <w:tcW w:type="dxa" w:w="1662"/>
            <w:shd w:val="clear" w:fill="DCE6F1"/>
          </w:tcPr>
          <w:p>
            <w:pPr>
              <w:spacing w:after="0" w:line="240" w:lineRule="auto"/>
              <w:ind w:firstLine="0"/>
              <w:jc w:val="center"/>
            </w:pPr>
            <w:r>
              <w:rPr>
                <w:b/>
                <w:i w:val="0"/>
                <w:sz w:val="20"/>
              </w:rPr>
              <w:t>Сводная оценка</w:t>
            </w:r>
          </w:p>
        </w:tc>
      </w:tr>
      <w:tr>
        <w:tc>
          <w:tcPr>
            <w:tcW w:type="dxa" w:w="1662"/>
          </w:tcPr>
          <w:p>
            <w:pPr>
              <w:spacing w:after="0" w:line="240" w:lineRule="auto"/>
              <w:ind w:firstLine="0"/>
              <w:jc w:val="left"/>
            </w:pPr>
            <w:r>
              <w:rPr>
                <w:b w:val="0"/>
                <w:i w:val="0"/>
                <w:sz w:val="20"/>
              </w:rPr>
              <w:t>Скандий</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ограниченный</w:t>
            </w:r>
          </w:p>
        </w:tc>
        <w:tc>
          <w:tcPr>
            <w:tcW w:type="dxa" w:w="1662"/>
          </w:tcPr>
          <w:p>
            <w:pPr>
              <w:spacing w:after="0" w:line="240" w:lineRule="auto"/>
              <w:ind w:firstLine="0"/>
              <w:jc w:val="center"/>
            </w:pPr>
            <w:r>
              <w:rPr>
                <w:b w:val="0"/>
                <w:i w:val="0"/>
                <w:sz w:val="20"/>
              </w:rPr>
              <w:t>высокая</w:t>
            </w:r>
          </w:p>
        </w:tc>
      </w:tr>
      <w:tr>
        <w:tc>
          <w:tcPr>
            <w:tcW w:type="dxa" w:w="1662"/>
          </w:tcPr>
          <w:p>
            <w:pPr>
              <w:spacing w:after="0" w:line="240" w:lineRule="auto"/>
              <w:ind w:firstLine="0"/>
              <w:jc w:val="left"/>
            </w:pPr>
            <w:r>
              <w:rPr>
                <w:b w:val="0"/>
                <w:i w:val="0"/>
                <w:sz w:val="20"/>
              </w:rPr>
              <w:t>Редкие земли (переделы)</w:t>
            </w:r>
          </w:p>
        </w:tc>
        <w:tc>
          <w:tcPr>
            <w:tcW w:type="dxa" w:w="1662"/>
          </w:tcPr>
          <w:p>
            <w:pPr>
              <w:spacing w:after="0" w:line="240" w:lineRule="auto"/>
              <w:ind w:firstLine="0"/>
              <w:jc w:val="center"/>
            </w:pPr>
            <w:r>
              <w:rPr>
                <w:b w:val="0"/>
                <w:i w:val="0"/>
                <w:sz w:val="20"/>
              </w:rPr>
              <w:t>очень высокая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высокий</w:t>
            </w:r>
          </w:p>
        </w:tc>
        <w:tc>
          <w:tcPr>
            <w:tcW w:type="dxa" w:w="1662"/>
          </w:tcPr>
          <w:p>
            <w:pPr>
              <w:spacing w:after="0" w:line="240" w:lineRule="auto"/>
              <w:ind w:firstLine="0"/>
              <w:jc w:val="center"/>
            </w:pPr>
            <w:r>
              <w:rPr>
                <w:b w:val="0"/>
                <w:i w:val="0"/>
                <w:sz w:val="20"/>
              </w:rPr>
              <w:t>высокая</w:t>
            </w:r>
          </w:p>
        </w:tc>
      </w:tr>
      <w:tr>
        <w:tc>
          <w:tcPr>
            <w:tcW w:type="dxa" w:w="1662"/>
          </w:tcPr>
          <w:p>
            <w:pPr>
              <w:spacing w:after="0" w:line="240" w:lineRule="auto"/>
              <w:ind w:firstLine="0"/>
              <w:jc w:val="left"/>
            </w:pPr>
            <w:r>
              <w:rPr>
                <w:b w:val="0"/>
                <w:i w:val="0"/>
                <w:sz w:val="20"/>
              </w:rPr>
              <w:t>Редкие земли (сырьё)</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очень высокая</w:t>
            </w:r>
          </w:p>
        </w:tc>
        <w:tc>
          <w:tcPr>
            <w:tcW w:type="dxa" w:w="1662"/>
          </w:tcPr>
          <w:p>
            <w:pPr>
              <w:spacing w:after="0" w:line="240" w:lineRule="auto"/>
              <w:ind w:firstLine="0"/>
              <w:jc w:val="center"/>
            </w:pPr>
            <w:r>
              <w:rPr>
                <w:b w:val="0"/>
                <w:i w:val="0"/>
                <w:sz w:val="20"/>
              </w:rPr>
              <w:t>средний</w:t>
            </w:r>
          </w:p>
        </w:tc>
        <w:tc>
          <w:tcPr>
            <w:tcW w:type="dxa" w:w="1662"/>
          </w:tcPr>
          <w:p>
            <w:pPr>
              <w:spacing w:after="0" w:line="240" w:lineRule="auto"/>
              <w:ind w:firstLine="0"/>
              <w:jc w:val="center"/>
            </w:pPr>
            <w:r>
              <w:rPr>
                <w:b w:val="0"/>
                <w:i w:val="0"/>
                <w:sz w:val="20"/>
              </w:rPr>
              <w:t>средняя</w:t>
            </w:r>
          </w:p>
        </w:tc>
      </w:tr>
      <w:tr>
        <w:tc>
          <w:tcPr>
            <w:tcW w:type="dxa" w:w="1662"/>
          </w:tcPr>
          <w:p>
            <w:pPr>
              <w:spacing w:after="0" w:line="240" w:lineRule="auto"/>
              <w:ind w:firstLine="0"/>
              <w:jc w:val="left"/>
            </w:pPr>
            <w:r>
              <w:rPr>
                <w:b w:val="0"/>
                <w:i w:val="0"/>
                <w:sz w:val="20"/>
              </w:rPr>
              <w:t>Титан</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высокий</w:t>
            </w:r>
          </w:p>
        </w:tc>
        <w:tc>
          <w:tcPr>
            <w:tcW w:type="dxa" w:w="1662"/>
          </w:tcPr>
          <w:p>
            <w:pPr>
              <w:spacing w:after="0" w:line="240" w:lineRule="auto"/>
              <w:ind w:firstLine="0"/>
              <w:jc w:val="center"/>
            </w:pPr>
            <w:r>
              <w:rPr>
                <w:b w:val="0"/>
                <w:i w:val="0"/>
                <w:sz w:val="20"/>
              </w:rPr>
              <w:t>высокая</w:t>
            </w:r>
          </w:p>
        </w:tc>
      </w:tr>
      <w:tr>
        <w:tc>
          <w:tcPr>
            <w:tcW w:type="dxa" w:w="1662"/>
          </w:tcPr>
          <w:p>
            <w:pPr>
              <w:spacing w:after="0" w:line="240" w:lineRule="auto"/>
              <w:ind w:firstLine="0"/>
              <w:jc w:val="left"/>
            </w:pPr>
            <w:r>
              <w:rPr>
                <w:b w:val="0"/>
                <w:i w:val="0"/>
                <w:sz w:val="20"/>
              </w:rPr>
              <w:t>Литий</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высокий</w:t>
            </w:r>
          </w:p>
        </w:tc>
        <w:tc>
          <w:tcPr>
            <w:tcW w:type="dxa" w:w="1662"/>
          </w:tcPr>
          <w:p>
            <w:pPr>
              <w:spacing w:after="0" w:line="240" w:lineRule="auto"/>
              <w:ind w:firstLine="0"/>
              <w:jc w:val="center"/>
            </w:pPr>
            <w:r>
              <w:rPr>
                <w:b w:val="0"/>
                <w:i w:val="0"/>
                <w:sz w:val="20"/>
              </w:rPr>
              <w:t>средняя</w:t>
            </w:r>
          </w:p>
        </w:tc>
      </w:tr>
      <w:tr>
        <w:tc>
          <w:tcPr>
            <w:tcW w:type="dxa" w:w="1662"/>
          </w:tcPr>
          <w:p>
            <w:pPr>
              <w:spacing w:after="0" w:line="240" w:lineRule="auto"/>
              <w:ind w:firstLine="0"/>
              <w:jc w:val="left"/>
            </w:pPr>
            <w:r>
              <w:rPr>
                <w:b w:val="0"/>
                <w:i w:val="0"/>
                <w:sz w:val="20"/>
              </w:rPr>
              <w:t>Вольфрам</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средний</w:t>
            </w:r>
          </w:p>
        </w:tc>
        <w:tc>
          <w:tcPr>
            <w:tcW w:type="dxa" w:w="1662"/>
          </w:tcPr>
          <w:p>
            <w:pPr>
              <w:spacing w:after="0" w:line="240" w:lineRule="auto"/>
              <w:ind w:firstLine="0"/>
              <w:jc w:val="center"/>
            </w:pPr>
            <w:r>
              <w:rPr>
                <w:b w:val="0"/>
                <w:i w:val="0"/>
                <w:sz w:val="20"/>
              </w:rPr>
              <w:t>средняя</w:t>
            </w:r>
          </w:p>
        </w:tc>
      </w:tr>
      <w:tr>
        <w:tc>
          <w:tcPr>
            <w:tcW w:type="dxa" w:w="1662"/>
          </w:tcPr>
          <w:p>
            <w:pPr>
              <w:spacing w:after="0" w:line="240" w:lineRule="auto"/>
              <w:ind w:firstLine="0"/>
              <w:jc w:val="left"/>
            </w:pPr>
            <w:r>
              <w:rPr>
                <w:b w:val="0"/>
                <w:i w:val="0"/>
                <w:sz w:val="20"/>
              </w:rPr>
              <w:t>Ниобий</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низкая</w:t>
            </w:r>
          </w:p>
        </w:tc>
        <w:tc>
          <w:tcPr>
            <w:tcW w:type="dxa" w:w="1662"/>
          </w:tcPr>
          <w:p>
            <w:pPr>
              <w:spacing w:after="0" w:line="240" w:lineRule="auto"/>
              <w:ind w:firstLine="0"/>
              <w:jc w:val="center"/>
            </w:pPr>
            <w:r>
              <w:rPr>
                <w:b w:val="0"/>
                <w:i w:val="0"/>
                <w:sz w:val="20"/>
              </w:rPr>
              <w:t>высокая</w:t>
            </w:r>
          </w:p>
        </w:tc>
        <w:tc>
          <w:tcPr>
            <w:tcW w:type="dxa" w:w="1662"/>
          </w:tcPr>
          <w:p>
            <w:pPr>
              <w:spacing w:after="0" w:line="240" w:lineRule="auto"/>
              <w:ind w:firstLine="0"/>
              <w:jc w:val="center"/>
            </w:pPr>
            <w:r>
              <w:rPr>
                <w:b w:val="0"/>
                <w:i w:val="0"/>
                <w:sz w:val="20"/>
              </w:rPr>
              <w:t>низкий</w:t>
            </w:r>
          </w:p>
        </w:tc>
        <w:tc>
          <w:tcPr>
            <w:tcW w:type="dxa" w:w="1662"/>
          </w:tcPr>
          <w:p>
            <w:pPr>
              <w:spacing w:after="0" w:line="240" w:lineRule="auto"/>
              <w:ind w:firstLine="0"/>
              <w:jc w:val="center"/>
            </w:pPr>
            <w:r>
              <w:rPr>
                <w:b w:val="0"/>
                <w:i w:val="0"/>
                <w:sz w:val="20"/>
              </w:rPr>
              <w:t>низкая</w:t>
            </w:r>
          </w:p>
        </w:tc>
      </w:tr>
      <w:tr>
        <w:tc>
          <w:tcPr>
            <w:tcW w:type="dxa" w:w="1662"/>
          </w:tcPr>
          <w:p>
            <w:pPr>
              <w:spacing w:after="0" w:line="240" w:lineRule="auto"/>
              <w:ind w:firstLine="0"/>
              <w:jc w:val="left"/>
            </w:pPr>
            <w:r>
              <w:rPr>
                <w:b w:val="0"/>
                <w:i w:val="0"/>
                <w:sz w:val="20"/>
              </w:rPr>
              <w:t>Графит</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средняя</w:t>
            </w:r>
          </w:p>
        </w:tc>
        <w:tc>
          <w:tcPr>
            <w:tcW w:type="dxa" w:w="1662"/>
          </w:tcPr>
          <w:p>
            <w:pPr>
              <w:spacing w:after="0" w:line="240" w:lineRule="auto"/>
              <w:ind w:firstLine="0"/>
              <w:jc w:val="center"/>
            </w:pPr>
            <w:r>
              <w:rPr>
                <w:b w:val="0"/>
                <w:i w:val="0"/>
                <w:sz w:val="20"/>
              </w:rPr>
              <w:t>средний</w:t>
            </w:r>
          </w:p>
        </w:tc>
        <w:tc>
          <w:tcPr>
            <w:tcW w:type="dxa" w:w="1662"/>
          </w:tcPr>
          <w:p>
            <w:pPr>
              <w:spacing w:after="0" w:line="240" w:lineRule="auto"/>
              <w:ind w:firstLine="0"/>
              <w:jc w:val="center"/>
            </w:pPr>
            <w:r>
              <w:rPr>
                <w:b w:val="0"/>
                <w:i w:val="0"/>
                <w:sz w:val="20"/>
              </w:rPr>
              <w:t>средняя</w:t>
            </w:r>
          </w:p>
        </w:tc>
      </w:tr>
    </w:tbl>
    <w:p>
      <w:pPr>
        <w:spacing w:after="180"/>
        <w:ind w:firstLine="0"/>
      </w:pPr>
      <w:r>
        <w:rPr>
          <w:i/>
          <w:sz w:val="20"/>
        </w:rPr>
        <w:t>Источник: оценка аналитического центра</w:t>
      </w:r>
    </w:p>
    <w:p>
      <w:r>
        <w:br w:type="page"/>
      </w:r>
    </w:p>
    <w:p>
      <w:pPr>
        <w:pStyle w:val="Heading1"/>
      </w:pPr>
      <w:r>
        <w:rPr>
          <w:b w:val="0"/>
          <w:i w:val="0"/>
        </w:rPr>
        <w:t>Приложение 11. Сводные статистические таблицы</w:t>
      </w:r>
    </w:p>
    <w:p>
      <w:pPr>
        <w:keepNext/>
        <w:spacing w:before="160" w:after="60"/>
        <w:ind w:firstLine="0"/>
        <w:jc w:val="left"/>
      </w:pPr>
      <w:r>
        <w:rPr>
          <w:b/>
          <w:sz w:val="22"/>
        </w:rPr>
        <w:t>Таблица 149. Мировая добыча редкоземельных металлов, 2002–2025 гг., тыс. т TREO (сводный ряд)</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Год</w:t>
            </w:r>
          </w:p>
        </w:tc>
        <w:tc>
          <w:tcPr>
            <w:tcW w:type="dxa" w:w="1662"/>
            <w:shd w:val="clear" w:fill="DCE6F1"/>
          </w:tcPr>
          <w:p>
            <w:pPr>
              <w:spacing w:after="0" w:line="240" w:lineRule="auto"/>
              <w:ind w:firstLine="0"/>
              <w:jc w:val="center"/>
            </w:pPr>
            <w:r>
              <w:rPr>
                <w:b/>
                <w:i w:val="0"/>
                <w:sz w:val="20"/>
              </w:rPr>
              <w:t>Мир, всего</w:t>
            </w:r>
          </w:p>
        </w:tc>
        <w:tc>
          <w:tcPr>
            <w:tcW w:type="dxa" w:w="1662"/>
            <w:shd w:val="clear" w:fill="DCE6F1"/>
          </w:tcPr>
          <w:p>
            <w:pPr>
              <w:spacing w:after="0" w:line="240" w:lineRule="auto"/>
              <w:ind w:firstLine="0"/>
              <w:jc w:val="center"/>
            </w:pPr>
            <w:r>
              <w:rPr>
                <w:b/>
                <w:i w:val="0"/>
                <w:sz w:val="20"/>
              </w:rPr>
              <w:t>Доля КНР, %</w:t>
            </w:r>
          </w:p>
        </w:tc>
        <w:tc>
          <w:tcPr>
            <w:tcW w:type="dxa" w:w="1662"/>
            <w:shd w:val="clear" w:fill="DCE6F1"/>
          </w:tcPr>
          <w:p>
            <w:pPr>
              <w:spacing w:after="0" w:line="240" w:lineRule="auto"/>
              <w:ind w:firstLine="0"/>
              <w:jc w:val="center"/>
            </w:pPr>
            <w:r>
              <w:rPr>
                <w:b/>
                <w:i w:val="0"/>
                <w:sz w:val="20"/>
              </w:rPr>
              <w:t>Год</w:t>
            </w:r>
          </w:p>
        </w:tc>
        <w:tc>
          <w:tcPr>
            <w:tcW w:type="dxa" w:w="1662"/>
            <w:shd w:val="clear" w:fill="DCE6F1"/>
          </w:tcPr>
          <w:p>
            <w:pPr>
              <w:spacing w:after="0" w:line="240" w:lineRule="auto"/>
              <w:ind w:firstLine="0"/>
              <w:jc w:val="center"/>
            </w:pPr>
            <w:r>
              <w:rPr>
                <w:b/>
                <w:i w:val="0"/>
                <w:sz w:val="20"/>
              </w:rPr>
              <w:t>Мир, всего</w:t>
            </w:r>
          </w:p>
        </w:tc>
        <w:tc>
          <w:tcPr>
            <w:tcW w:type="dxa" w:w="1662"/>
            <w:shd w:val="clear" w:fill="DCE6F1"/>
          </w:tcPr>
          <w:p>
            <w:pPr>
              <w:spacing w:after="0" w:line="240" w:lineRule="auto"/>
              <w:ind w:firstLine="0"/>
              <w:jc w:val="center"/>
            </w:pPr>
            <w:r>
              <w:rPr>
                <w:b/>
                <w:i w:val="0"/>
                <w:sz w:val="20"/>
              </w:rPr>
              <w:t>Доля КНР, %</w:t>
            </w:r>
          </w:p>
        </w:tc>
      </w:tr>
      <w:tr>
        <w:tc>
          <w:tcPr>
            <w:tcW w:type="dxa" w:w="1662"/>
          </w:tcPr>
          <w:p>
            <w:pPr>
              <w:spacing w:after="0" w:line="240" w:lineRule="auto"/>
              <w:ind w:firstLine="0"/>
              <w:jc w:val="left"/>
            </w:pPr>
            <w:r>
              <w:rPr>
                <w:b w:val="0"/>
                <w:i w:val="0"/>
                <w:sz w:val="20"/>
              </w:rPr>
              <w:t>2002</w:t>
            </w:r>
          </w:p>
        </w:tc>
        <w:tc>
          <w:tcPr>
            <w:tcW w:type="dxa" w:w="1662"/>
          </w:tcPr>
          <w:p>
            <w:pPr>
              <w:spacing w:after="0" w:line="240" w:lineRule="auto"/>
              <w:ind w:firstLine="0"/>
              <w:jc w:val="center"/>
            </w:pPr>
            <w:r>
              <w:rPr>
                <w:b w:val="0"/>
                <w:i w:val="0"/>
                <w:sz w:val="20"/>
              </w:rPr>
              <w:t>92,0</w:t>
            </w:r>
          </w:p>
        </w:tc>
        <w:tc>
          <w:tcPr>
            <w:tcW w:type="dxa" w:w="1662"/>
          </w:tcPr>
          <w:p>
            <w:pPr>
              <w:spacing w:after="0" w:line="240" w:lineRule="auto"/>
              <w:ind w:firstLine="0"/>
              <w:jc w:val="center"/>
            </w:pPr>
            <w:r>
              <w:rPr>
                <w:b w:val="0"/>
                <w:i w:val="0"/>
                <w:sz w:val="20"/>
              </w:rPr>
              <w:t>90,2</w:t>
            </w:r>
          </w:p>
        </w:tc>
        <w:tc>
          <w:tcPr>
            <w:tcW w:type="dxa" w:w="1662"/>
          </w:tcPr>
          <w:p>
            <w:pPr>
              <w:spacing w:after="0" w:line="240" w:lineRule="auto"/>
              <w:ind w:firstLine="0"/>
              <w:jc w:val="center"/>
            </w:pPr>
            <w:r>
              <w:rPr>
                <w:b w:val="0"/>
                <w:i w:val="0"/>
                <w:sz w:val="20"/>
              </w:rPr>
              <w:t>2014</w:t>
            </w:r>
          </w:p>
        </w:tc>
        <w:tc>
          <w:tcPr>
            <w:tcW w:type="dxa" w:w="1662"/>
          </w:tcPr>
          <w:p>
            <w:pPr>
              <w:spacing w:after="0" w:line="240" w:lineRule="auto"/>
              <w:ind w:firstLine="0"/>
              <w:jc w:val="center"/>
            </w:pPr>
            <w:r>
              <w:rPr>
                <w:b w:val="0"/>
                <w:i w:val="0"/>
                <w:sz w:val="20"/>
              </w:rPr>
              <w:t>124,0</w:t>
            </w:r>
          </w:p>
        </w:tc>
        <w:tc>
          <w:tcPr>
            <w:tcW w:type="dxa" w:w="1662"/>
          </w:tcPr>
          <w:p>
            <w:pPr>
              <w:spacing w:after="0" w:line="240" w:lineRule="auto"/>
              <w:ind w:firstLine="0"/>
              <w:jc w:val="center"/>
            </w:pPr>
            <w:r>
              <w:rPr>
                <w:b w:val="0"/>
                <w:i w:val="0"/>
                <w:sz w:val="20"/>
              </w:rPr>
              <w:t>83,9</w:t>
            </w:r>
          </w:p>
        </w:tc>
      </w:tr>
      <w:tr>
        <w:tc>
          <w:tcPr>
            <w:tcW w:type="dxa" w:w="1662"/>
          </w:tcPr>
          <w:p>
            <w:pPr>
              <w:spacing w:after="0" w:line="240" w:lineRule="auto"/>
              <w:ind w:firstLine="0"/>
              <w:jc w:val="left"/>
            </w:pPr>
            <w:r>
              <w:rPr>
                <w:b w:val="0"/>
                <w:i w:val="0"/>
                <w:sz w:val="20"/>
              </w:rPr>
              <w:t>2003</w:t>
            </w:r>
          </w:p>
        </w:tc>
        <w:tc>
          <w:tcPr>
            <w:tcW w:type="dxa" w:w="1662"/>
          </w:tcPr>
          <w:p>
            <w:pPr>
              <w:spacing w:after="0" w:line="240" w:lineRule="auto"/>
              <w:ind w:firstLine="0"/>
              <w:jc w:val="center"/>
            </w:pPr>
            <w:r>
              <w:rPr>
                <w:b w:val="0"/>
                <w:i w:val="0"/>
                <w:sz w:val="20"/>
              </w:rPr>
              <w:t>95,0</w:t>
            </w:r>
          </w:p>
        </w:tc>
        <w:tc>
          <w:tcPr>
            <w:tcW w:type="dxa" w:w="1662"/>
          </w:tcPr>
          <w:p>
            <w:pPr>
              <w:spacing w:after="0" w:line="240" w:lineRule="auto"/>
              <w:ind w:firstLine="0"/>
              <w:jc w:val="center"/>
            </w:pPr>
            <w:r>
              <w:rPr>
                <w:b w:val="0"/>
                <w:i w:val="0"/>
                <w:sz w:val="20"/>
              </w:rPr>
              <w:t>91,6</w:t>
            </w:r>
          </w:p>
        </w:tc>
        <w:tc>
          <w:tcPr>
            <w:tcW w:type="dxa" w:w="1662"/>
          </w:tcPr>
          <w:p>
            <w:pPr>
              <w:spacing w:after="0" w:line="240" w:lineRule="auto"/>
              <w:ind w:firstLine="0"/>
              <w:jc w:val="center"/>
            </w:pPr>
            <w:r>
              <w:rPr>
                <w:b w:val="0"/>
                <w:i w:val="0"/>
                <w:sz w:val="20"/>
              </w:rPr>
              <w:t>2015</w:t>
            </w:r>
          </w:p>
        </w:tc>
        <w:tc>
          <w:tcPr>
            <w:tcW w:type="dxa" w:w="1662"/>
          </w:tcPr>
          <w:p>
            <w:pPr>
              <w:spacing w:after="0" w:line="240" w:lineRule="auto"/>
              <w:ind w:firstLine="0"/>
              <w:jc w:val="center"/>
            </w:pPr>
            <w:r>
              <w:rPr>
                <w:b w:val="0"/>
                <w:i w:val="0"/>
                <w:sz w:val="20"/>
              </w:rPr>
              <w:t>130,0</w:t>
            </w:r>
          </w:p>
        </w:tc>
        <w:tc>
          <w:tcPr>
            <w:tcW w:type="dxa" w:w="1662"/>
          </w:tcPr>
          <w:p>
            <w:pPr>
              <w:spacing w:after="0" w:line="240" w:lineRule="auto"/>
              <w:ind w:firstLine="0"/>
              <w:jc w:val="center"/>
            </w:pPr>
            <w:r>
              <w:rPr>
                <w:b w:val="0"/>
                <w:i w:val="0"/>
                <w:sz w:val="20"/>
              </w:rPr>
              <w:t>83,1</w:t>
            </w:r>
          </w:p>
        </w:tc>
      </w:tr>
      <w:tr>
        <w:tc>
          <w:tcPr>
            <w:tcW w:type="dxa" w:w="1662"/>
          </w:tcPr>
          <w:p>
            <w:pPr>
              <w:spacing w:after="0" w:line="240" w:lineRule="auto"/>
              <w:ind w:firstLine="0"/>
              <w:jc w:val="left"/>
            </w:pPr>
            <w:r>
              <w:rPr>
                <w:b w:val="0"/>
                <w:i w:val="0"/>
                <w:sz w:val="20"/>
              </w:rPr>
              <w:t>2004</w:t>
            </w:r>
          </w:p>
        </w:tc>
        <w:tc>
          <w:tcPr>
            <w:tcW w:type="dxa" w:w="1662"/>
          </w:tcPr>
          <w:p>
            <w:pPr>
              <w:spacing w:after="0" w:line="240" w:lineRule="auto"/>
              <w:ind w:firstLine="0"/>
              <w:jc w:val="center"/>
            </w:pPr>
            <w:r>
              <w:rPr>
                <w:b w:val="0"/>
                <w:i w:val="0"/>
                <w:sz w:val="20"/>
              </w:rPr>
              <w:t>99,0</w:t>
            </w:r>
          </w:p>
        </w:tc>
        <w:tc>
          <w:tcPr>
            <w:tcW w:type="dxa" w:w="1662"/>
          </w:tcPr>
          <w:p>
            <w:pPr>
              <w:spacing w:after="0" w:line="240" w:lineRule="auto"/>
              <w:ind w:firstLine="0"/>
              <w:jc w:val="center"/>
            </w:pPr>
            <w:r>
              <w:rPr>
                <w:b w:val="0"/>
                <w:i w:val="0"/>
                <w:sz w:val="20"/>
              </w:rPr>
              <w:t>96,0</w:t>
            </w:r>
          </w:p>
        </w:tc>
        <w:tc>
          <w:tcPr>
            <w:tcW w:type="dxa" w:w="1662"/>
          </w:tcPr>
          <w:p>
            <w:pPr>
              <w:spacing w:after="0" w:line="240" w:lineRule="auto"/>
              <w:ind w:firstLine="0"/>
              <w:jc w:val="center"/>
            </w:pPr>
            <w:r>
              <w:rPr>
                <w:b w:val="0"/>
                <w:i w:val="0"/>
                <w:sz w:val="20"/>
              </w:rPr>
              <w:t>2016</w:t>
            </w:r>
          </w:p>
        </w:tc>
        <w:tc>
          <w:tcPr>
            <w:tcW w:type="dxa" w:w="1662"/>
          </w:tcPr>
          <w:p>
            <w:pPr>
              <w:spacing w:after="0" w:line="240" w:lineRule="auto"/>
              <w:ind w:firstLine="0"/>
              <w:jc w:val="center"/>
            </w:pPr>
            <w:r>
              <w:rPr>
                <w:b w:val="0"/>
                <w:i w:val="0"/>
                <w:sz w:val="20"/>
              </w:rPr>
              <w:t>136,0</w:t>
            </w:r>
          </w:p>
        </w:tc>
        <w:tc>
          <w:tcPr>
            <w:tcW w:type="dxa" w:w="1662"/>
          </w:tcPr>
          <w:p>
            <w:pPr>
              <w:spacing w:after="0" w:line="240" w:lineRule="auto"/>
              <w:ind w:firstLine="0"/>
              <w:jc w:val="center"/>
            </w:pPr>
            <w:r>
              <w:rPr>
                <w:b w:val="0"/>
                <w:i w:val="0"/>
                <w:sz w:val="20"/>
              </w:rPr>
              <w:t>77,2</w:t>
            </w:r>
          </w:p>
        </w:tc>
      </w:tr>
      <w:tr>
        <w:tc>
          <w:tcPr>
            <w:tcW w:type="dxa" w:w="1662"/>
          </w:tcPr>
          <w:p>
            <w:pPr>
              <w:spacing w:after="0" w:line="240" w:lineRule="auto"/>
              <w:ind w:firstLine="0"/>
              <w:jc w:val="left"/>
            </w:pPr>
            <w:r>
              <w:rPr>
                <w:b w:val="0"/>
                <w:i w:val="0"/>
                <w:sz w:val="20"/>
              </w:rPr>
              <w:t>2005</w:t>
            </w:r>
          </w:p>
        </w:tc>
        <w:tc>
          <w:tcPr>
            <w:tcW w:type="dxa" w:w="1662"/>
          </w:tcPr>
          <w:p>
            <w:pPr>
              <w:spacing w:after="0" w:line="240" w:lineRule="auto"/>
              <w:ind w:firstLine="0"/>
              <w:jc w:val="center"/>
            </w:pPr>
            <w:r>
              <w:rPr>
                <w:b w:val="0"/>
                <w:i w:val="0"/>
                <w:sz w:val="20"/>
              </w:rPr>
              <w:t>106,0</w:t>
            </w:r>
          </w:p>
        </w:tc>
        <w:tc>
          <w:tcPr>
            <w:tcW w:type="dxa" w:w="1662"/>
          </w:tcPr>
          <w:p>
            <w:pPr>
              <w:spacing w:after="0" w:line="240" w:lineRule="auto"/>
              <w:ind w:firstLine="0"/>
              <w:jc w:val="center"/>
            </w:pPr>
            <w:r>
              <w:rPr>
                <w:b w:val="0"/>
                <w:i w:val="0"/>
                <w:sz w:val="20"/>
              </w:rPr>
              <w:t>96,2</w:t>
            </w:r>
          </w:p>
        </w:tc>
        <w:tc>
          <w:tcPr>
            <w:tcW w:type="dxa" w:w="1662"/>
          </w:tcPr>
          <w:p>
            <w:pPr>
              <w:spacing w:after="0" w:line="240" w:lineRule="auto"/>
              <w:ind w:firstLine="0"/>
              <w:jc w:val="center"/>
            </w:pPr>
            <w:r>
              <w:rPr>
                <w:b w:val="0"/>
                <w:i w:val="0"/>
                <w:sz w:val="20"/>
              </w:rPr>
              <w:t>2017</w:t>
            </w:r>
          </w:p>
        </w:tc>
        <w:tc>
          <w:tcPr>
            <w:tcW w:type="dxa" w:w="1662"/>
          </w:tcPr>
          <w:p>
            <w:pPr>
              <w:spacing w:after="0" w:line="240" w:lineRule="auto"/>
              <w:ind w:firstLine="0"/>
              <w:jc w:val="center"/>
            </w:pPr>
            <w:r>
              <w:rPr>
                <w:b w:val="0"/>
                <w:i w:val="0"/>
                <w:sz w:val="20"/>
              </w:rPr>
              <w:t>140,0</w:t>
            </w:r>
          </w:p>
        </w:tc>
        <w:tc>
          <w:tcPr>
            <w:tcW w:type="dxa" w:w="1662"/>
          </w:tcPr>
          <w:p>
            <w:pPr>
              <w:spacing w:after="0" w:line="240" w:lineRule="auto"/>
              <w:ind w:firstLine="0"/>
              <w:jc w:val="center"/>
            </w:pPr>
            <w:r>
              <w:rPr>
                <w:b w:val="0"/>
                <w:i w:val="0"/>
                <w:sz w:val="20"/>
              </w:rPr>
              <w:t>75,0</w:t>
            </w:r>
          </w:p>
        </w:tc>
      </w:tr>
      <w:tr>
        <w:tc>
          <w:tcPr>
            <w:tcW w:type="dxa" w:w="1662"/>
          </w:tcPr>
          <w:p>
            <w:pPr>
              <w:spacing w:after="0" w:line="240" w:lineRule="auto"/>
              <w:ind w:firstLine="0"/>
              <w:jc w:val="left"/>
            </w:pPr>
            <w:r>
              <w:rPr>
                <w:b w:val="0"/>
                <w:i w:val="0"/>
                <w:sz w:val="20"/>
              </w:rPr>
              <w:t>2006</w:t>
            </w:r>
          </w:p>
        </w:tc>
        <w:tc>
          <w:tcPr>
            <w:tcW w:type="dxa" w:w="1662"/>
          </w:tcPr>
          <w:p>
            <w:pPr>
              <w:spacing w:after="0" w:line="240" w:lineRule="auto"/>
              <w:ind w:firstLine="0"/>
              <w:jc w:val="center"/>
            </w:pPr>
            <w:r>
              <w:rPr>
                <w:b w:val="0"/>
                <w:i w:val="0"/>
                <w:sz w:val="20"/>
              </w:rPr>
              <w:t>123,0</w:t>
            </w:r>
          </w:p>
        </w:tc>
        <w:tc>
          <w:tcPr>
            <w:tcW w:type="dxa" w:w="1662"/>
          </w:tcPr>
          <w:p>
            <w:pPr>
              <w:spacing w:after="0" w:line="240" w:lineRule="auto"/>
              <w:ind w:firstLine="0"/>
              <w:jc w:val="center"/>
            </w:pPr>
            <w:r>
              <w:rPr>
                <w:b w:val="0"/>
                <w:i w:val="0"/>
                <w:sz w:val="20"/>
              </w:rPr>
              <w:t>96,7</w:t>
            </w:r>
          </w:p>
        </w:tc>
        <w:tc>
          <w:tcPr>
            <w:tcW w:type="dxa" w:w="1662"/>
          </w:tcPr>
          <w:p>
            <w:pPr>
              <w:spacing w:after="0" w:line="240" w:lineRule="auto"/>
              <w:ind w:firstLine="0"/>
              <w:jc w:val="center"/>
            </w:pPr>
            <w:r>
              <w:rPr>
                <w:b w:val="0"/>
                <w:i w:val="0"/>
                <w:sz w:val="20"/>
              </w:rPr>
              <w:t>2018</w:t>
            </w:r>
          </w:p>
        </w:tc>
        <w:tc>
          <w:tcPr>
            <w:tcW w:type="dxa" w:w="1662"/>
          </w:tcPr>
          <w:p>
            <w:pPr>
              <w:spacing w:after="0" w:line="240" w:lineRule="auto"/>
              <w:ind w:firstLine="0"/>
              <w:jc w:val="center"/>
            </w:pPr>
            <w:r>
              <w:rPr>
                <w:b w:val="0"/>
                <w:i w:val="0"/>
                <w:sz w:val="20"/>
              </w:rPr>
              <w:t>190,0</w:t>
            </w:r>
          </w:p>
        </w:tc>
        <w:tc>
          <w:tcPr>
            <w:tcW w:type="dxa" w:w="1662"/>
          </w:tcPr>
          <w:p>
            <w:pPr>
              <w:spacing w:after="0" w:line="240" w:lineRule="auto"/>
              <w:ind w:firstLine="0"/>
              <w:jc w:val="center"/>
            </w:pPr>
            <w:r>
              <w:rPr>
                <w:b w:val="0"/>
                <w:i w:val="0"/>
                <w:sz w:val="20"/>
              </w:rPr>
              <w:t>63,2</w:t>
            </w:r>
          </w:p>
        </w:tc>
      </w:tr>
      <w:tr>
        <w:tc>
          <w:tcPr>
            <w:tcW w:type="dxa" w:w="1662"/>
          </w:tcPr>
          <w:p>
            <w:pPr>
              <w:spacing w:after="0" w:line="240" w:lineRule="auto"/>
              <w:ind w:firstLine="0"/>
              <w:jc w:val="left"/>
            </w:pPr>
            <w:r>
              <w:rPr>
                <w:b w:val="0"/>
                <w:i w:val="0"/>
                <w:sz w:val="20"/>
              </w:rPr>
              <w:t>2007</w:t>
            </w:r>
          </w:p>
        </w:tc>
        <w:tc>
          <w:tcPr>
            <w:tcW w:type="dxa" w:w="1662"/>
          </w:tcPr>
          <w:p>
            <w:pPr>
              <w:spacing w:after="0" w:line="240" w:lineRule="auto"/>
              <w:ind w:firstLine="0"/>
              <w:jc w:val="center"/>
            </w:pPr>
            <w:r>
              <w:rPr>
                <w:b w:val="0"/>
                <w:i w:val="0"/>
                <w:sz w:val="20"/>
              </w:rPr>
              <w:t>124,0</w:t>
            </w:r>
          </w:p>
        </w:tc>
        <w:tc>
          <w:tcPr>
            <w:tcW w:type="dxa" w:w="1662"/>
          </w:tcPr>
          <w:p>
            <w:pPr>
              <w:spacing w:after="0" w:line="240" w:lineRule="auto"/>
              <w:ind w:firstLine="0"/>
              <w:jc w:val="center"/>
            </w:pPr>
            <w:r>
              <w:rPr>
                <w:b w:val="0"/>
                <w:i w:val="0"/>
                <w:sz w:val="20"/>
              </w:rPr>
              <w:t>96,8</w:t>
            </w:r>
          </w:p>
        </w:tc>
        <w:tc>
          <w:tcPr>
            <w:tcW w:type="dxa" w:w="1662"/>
          </w:tcPr>
          <w:p>
            <w:pPr>
              <w:spacing w:after="0" w:line="240" w:lineRule="auto"/>
              <w:ind w:firstLine="0"/>
              <w:jc w:val="center"/>
            </w:pPr>
            <w:r>
              <w:rPr>
                <w:b w:val="0"/>
                <w:i w:val="0"/>
                <w:sz w:val="20"/>
              </w:rPr>
              <w:t>2019</w:t>
            </w:r>
          </w:p>
        </w:tc>
        <w:tc>
          <w:tcPr>
            <w:tcW w:type="dxa" w:w="1662"/>
          </w:tcPr>
          <w:p>
            <w:pPr>
              <w:spacing w:after="0" w:line="240" w:lineRule="auto"/>
              <w:ind w:firstLine="0"/>
              <w:jc w:val="center"/>
            </w:pPr>
            <w:r>
              <w:rPr>
                <w:b w:val="0"/>
                <w:i w:val="0"/>
                <w:sz w:val="20"/>
              </w:rPr>
              <w:t>220,0</w:t>
            </w:r>
          </w:p>
        </w:tc>
        <w:tc>
          <w:tcPr>
            <w:tcW w:type="dxa" w:w="1662"/>
          </w:tcPr>
          <w:p>
            <w:pPr>
              <w:spacing w:after="0" w:line="240" w:lineRule="auto"/>
              <w:ind w:firstLine="0"/>
              <w:jc w:val="center"/>
            </w:pPr>
            <w:r>
              <w:rPr>
                <w:b w:val="0"/>
                <w:i w:val="0"/>
                <w:sz w:val="20"/>
              </w:rPr>
              <w:t>60,0</w:t>
            </w:r>
          </w:p>
        </w:tc>
      </w:tr>
      <w:tr>
        <w:tc>
          <w:tcPr>
            <w:tcW w:type="dxa" w:w="1662"/>
          </w:tcPr>
          <w:p>
            <w:pPr>
              <w:spacing w:after="0" w:line="240" w:lineRule="auto"/>
              <w:ind w:firstLine="0"/>
              <w:jc w:val="left"/>
            </w:pPr>
            <w:r>
              <w:rPr>
                <w:b w:val="0"/>
                <w:i w:val="0"/>
                <w:sz w:val="20"/>
              </w:rPr>
              <w:t>2008</w:t>
            </w:r>
          </w:p>
        </w:tc>
        <w:tc>
          <w:tcPr>
            <w:tcW w:type="dxa" w:w="1662"/>
          </w:tcPr>
          <w:p>
            <w:pPr>
              <w:spacing w:after="0" w:line="240" w:lineRule="auto"/>
              <w:ind w:firstLine="0"/>
              <w:jc w:val="center"/>
            </w:pPr>
            <w:r>
              <w:rPr>
                <w:b w:val="0"/>
                <w:i w:val="0"/>
                <w:sz w:val="20"/>
              </w:rPr>
              <w:t>124,0</w:t>
            </w:r>
          </w:p>
        </w:tc>
        <w:tc>
          <w:tcPr>
            <w:tcW w:type="dxa" w:w="1662"/>
          </w:tcPr>
          <w:p>
            <w:pPr>
              <w:spacing w:after="0" w:line="240" w:lineRule="auto"/>
              <w:ind w:firstLine="0"/>
              <w:jc w:val="center"/>
            </w:pPr>
            <w:r>
              <w:rPr>
                <w:b w:val="0"/>
                <w:i w:val="0"/>
                <w:sz w:val="20"/>
              </w:rPr>
              <w:t>96,8</w:t>
            </w:r>
          </w:p>
        </w:tc>
        <w:tc>
          <w:tcPr>
            <w:tcW w:type="dxa" w:w="1662"/>
          </w:tcPr>
          <w:p>
            <w:pPr>
              <w:spacing w:after="0" w:line="240" w:lineRule="auto"/>
              <w:ind w:firstLine="0"/>
              <w:jc w:val="center"/>
            </w:pPr>
            <w:r>
              <w:rPr>
                <w:b w:val="0"/>
                <w:i w:val="0"/>
                <w:sz w:val="20"/>
              </w:rPr>
              <w:t>2020</w:t>
            </w:r>
          </w:p>
        </w:tc>
        <w:tc>
          <w:tcPr>
            <w:tcW w:type="dxa" w:w="1662"/>
          </w:tcPr>
          <w:p>
            <w:pPr>
              <w:spacing w:after="0" w:line="240" w:lineRule="auto"/>
              <w:ind w:firstLine="0"/>
              <w:jc w:val="center"/>
            </w:pPr>
            <w:r>
              <w:rPr>
                <w:b w:val="0"/>
                <w:i w:val="0"/>
                <w:sz w:val="20"/>
              </w:rPr>
              <w:t>240,0</w:t>
            </w:r>
          </w:p>
        </w:tc>
        <w:tc>
          <w:tcPr>
            <w:tcW w:type="dxa" w:w="1662"/>
          </w:tcPr>
          <w:p>
            <w:pPr>
              <w:spacing w:after="0" w:line="240" w:lineRule="auto"/>
              <w:ind w:firstLine="0"/>
              <w:jc w:val="center"/>
            </w:pPr>
            <w:r>
              <w:rPr>
                <w:b w:val="0"/>
                <w:i w:val="0"/>
                <w:sz w:val="20"/>
              </w:rPr>
              <w:t>58,3</w:t>
            </w:r>
          </w:p>
        </w:tc>
      </w:tr>
      <w:tr>
        <w:tc>
          <w:tcPr>
            <w:tcW w:type="dxa" w:w="1662"/>
          </w:tcPr>
          <w:p>
            <w:pPr>
              <w:spacing w:after="0" w:line="240" w:lineRule="auto"/>
              <w:ind w:firstLine="0"/>
              <w:jc w:val="left"/>
            </w:pPr>
            <w:r>
              <w:rPr>
                <w:b w:val="0"/>
                <w:i w:val="0"/>
                <w:sz w:val="20"/>
              </w:rPr>
              <w:t>2009</w:t>
            </w:r>
          </w:p>
        </w:tc>
        <w:tc>
          <w:tcPr>
            <w:tcW w:type="dxa" w:w="1662"/>
          </w:tcPr>
          <w:p>
            <w:pPr>
              <w:spacing w:after="0" w:line="240" w:lineRule="auto"/>
              <w:ind w:firstLine="0"/>
              <w:jc w:val="center"/>
            </w:pPr>
            <w:r>
              <w:rPr>
                <w:b w:val="0"/>
                <w:i w:val="0"/>
                <w:sz w:val="20"/>
              </w:rPr>
              <w:t>129,0</w:t>
            </w:r>
          </w:p>
        </w:tc>
        <w:tc>
          <w:tcPr>
            <w:tcW w:type="dxa" w:w="1662"/>
          </w:tcPr>
          <w:p>
            <w:pPr>
              <w:spacing w:after="0" w:line="240" w:lineRule="auto"/>
              <w:ind w:firstLine="0"/>
              <w:jc w:val="center"/>
            </w:pPr>
            <w:r>
              <w:rPr>
                <w:b w:val="0"/>
                <w:i w:val="0"/>
                <w:sz w:val="20"/>
              </w:rPr>
              <w:t>97,7</w:t>
            </w:r>
          </w:p>
        </w:tc>
        <w:tc>
          <w:tcPr>
            <w:tcW w:type="dxa" w:w="1662"/>
          </w:tcPr>
          <w:p>
            <w:pPr>
              <w:spacing w:after="0" w:line="240" w:lineRule="auto"/>
              <w:ind w:firstLine="0"/>
              <w:jc w:val="center"/>
            </w:pPr>
            <w:r>
              <w:rPr>
                <w:b w:val="0"/>
                <w:i w:val="0"/>
                <w:sz w:val="20"/>
              </w:rPr>
              <w:t>2021</w:t>
            </w:r>
          </w:p>
        </w:tc>
        <w:tc>
          <w:tcPr>
            <w:tcW w:type="dxa" w:w="1662"/>
          </w:tcPr>
          <w:p>
            <w:pPr>
              <w:spacing w:after="0" w:line="240" w:lineRule="auto"/>
              <w:ind w:firstLine="0"/>
              <w:jc w:val="center"/>
            </w:pPr>
            <w:r>
              <w:rPr>
                <w:b w:val="0"/>
                <w:i w:val="0"/>
                <w:sz w:val="20"/>
              </w:rPr>
              <w:t>280,0</w:t>
            </w:r>
          </w:p>
        </w:tc>
        <w:tc>
          <w:tcPr>
            <w:tcW w:type="dxa" w:w="1662"/>
          </w:tcPr>
          <w:p>
            <w:pPr>
              <w:spacing w:after="0" w:line="240" w:lineRule="auto"/>
              <w:ind w:firstLine="0"/>
              <w:jc w:val="center"/>
            </w:pPr>
            <w:r>
              <w:rPr>
                <w:b w:val="0"/>
                <w:i w:val="0"/>
                <w:sz w:val="20"/>
              </w:rPr>
              <w:t>60,0</w:t>
            </w:r>
          </w:p>
        </w:tc>
      </w:tr>
      <w:tr>
        <w:tc>
          <w:tcPr>
            <w:tcW w:type="dxa" w:w="1662"/>
          </w:tcPr>
          <w:p>
            <w:pPr>
              <w:spacing w:after="0" w:line="240" w:lineRule="auto"/>
              <w:ind w:firstLine="0"/>
              <w:jc w:val="left"/>
            </w:pPr>
            <w:r>
              <w:rPr>
                <w:b w:val="0"/>
                <w:i w:val="0"/>
                <w:sz w:val="20"/>
              </w:rPr>
              <w:t>2010</w:t>
            </w:r>
          </w:p>
        </w:tc>
        <w:tc>
          <w:tcPr>
            <w:tcW w:type="dxa" w:w="1662"/>
          </w:tcPr>
          <w:p>
            <w:pPr>
              <w:spacing w:after="0" w:line="240" w:lineRule="auto"/>
              <w:ind w:firstLine="0"/>
              <w:jc w:val="center"/>
            </w:pPr>
            <w:r>
              <w:rPr>
                <w:b w:val="0"/>
                <w:i w:val="0"/>
                <w:sz w:val="20"/>
              </w:rPr>
              <w:t>130,0</w:t>
            </w:r>
          </w:p>
        </w:tc>
        <w:tc>
          <w:tcPr>
            <w:tcW w:type="dxa" w:w="1662"/>
          </w:tcPr>
          <w:p>
            <w:pPr>
              <w:spacing w:after="0" w:line="240" w:lineRule="auto"/>
              <w:ind w:firstLine="0"/>
              <w:jc w:val="center"/>
            </w:pPr>
            <w:r>
              <w:rPr>
                <w:b w:val="0"/>
                <w:i w:val="0"/>
                <w:sz w:val="20"/>
              </w:rPr>
              <w:t>92,3</w:t>
            </w:r>
          </w:p>
        </w:tc>
        <w:tc>
          <w:tcPr>
            <w:tcW w:type="dxa" w:w="1662"/>
          </w:tcPr>
          <w:p>
            <w:pPr>
              <w:spacing w:after="0" w:line="240" w:lineRule="auto"/>
              <w:ind w:firstLine="0"/>
              <w:jc w:val="center"/>
            </w:pPr>
            <w:r>
              <w:rPr>
                <w:b w:val="0"/>
                <w:i w:val="0"/>
                <w:sz w:val="20"/>
              </w:rPr>
              <w:t>2022</w:t>
            </w:r>
          </w:p>
        </w:tc>
        <w:tc>
          <w:tcPr>
            <w:tcW w:type="dxa" w:w="1662"/>
          </w:tcPr>
          <w:p>
            <w:pPr>
              <w:spacing w:after="0" w:line="240" w:lineRule="auto"/>
              <w:ind w:firstLine="0"/>
              <w:jc w:val="center"/>
            </w:pPr>
            <w:r>
              <w:rPr>
                <w:b w:val="0"/>
                <w:i w:val="0"/>
                <w:sz w:val="20"/>
              </w:rPr>
              <w:t>300,0</w:t>
            </w:r>
          </w:p>
        </w:tc>
        <w:tc>
          <w:tcPr>
            <w:tcW w:type="dxa" w:w="1662"/>
          </w:tcPr>
          <w:p>
            <w:pPr>
              <w:spacing w:after="0" w:line="240" w:lineRule="auto"/>
              <w:ind w:firstLine="0"/>
              <w:jc w:val="center"/>
            </w:pPr>
            <w:r>
              <w:rPr>
                <w:b w:val="0"/>
                <w:i w:val="0"/>
                <w:sz w:val="20"/>
              </w:rPr>
              <w:t>68,3</w:t>
            </w:r>
          </w:p>
        </w:tc>
      </w:tr>
      <w:tr>
        <w:tc>
          <w:tcPr>
            <w:tcW w:type="dxa" w:w="1662"/>
          </w:tcPr>
          <w:p>
            <w:pPr>
              <w:spacing w:after="0" w:line="240" w:lineRule="auto"/>
              <w:ind w:firstLine="0"/>
              <w:jc w:val="left"/>
            </w:pPr>
            <w:r>
              <w:rPr>
                <w:b w:val="0"/>
                <w:i w:val="0"/>
                <w:sz w:val="20"/>
              </w:rPr>
              <w:t>2011</w:t>
            </w:r>
          </w:p>
        </w:tc>
        <w:tc>
          <w:tcPr>
            <w:tcW w:type="dxa" w:w="1662"/>
          </w:tcPr>
          <w:p>
            <w:pPr>
              <w:spacing w:after="0" w:line="240" w:lineRule="auto"/>
              <w:ind w:firstLine="0"/>
              <w:jc w:val="center"/>
            </w:pPr>
            <w:r>
              <w:rPr>
                <w:b w:val="0"/>
                <w:i w:val="0"/>
                <w:sz w:val="20"/>
              </w:rPr>
              <w:t>112,0</w:t>
            </w:r>
          </w:p>
        </w:tc>
        <w:tc>
          <w:tcPr>
            <w:tcW w:type="dxa" w:w="1662"/>
          </w:tcPr>
          <w:p>
            <w:pPr>
              <w:spacing w:after="0" w:line="240" w:lineRule="auto"/>
              <w:ind w:firstLine="0"/>
              <w:jc w:val="center"/>
            </w:pPr>
            <w:r>
              <w:rPr>
                <w:b w:val="0"/>
                <w:i w:val="0"/>
                <w:sz w:val="20"/>
              </w:rPr>
              <w:t>94,6</w:t>
            </w:r>
          </w:p>
        </w:tc>
        <w:tc>
          <w:tcPr>
            <w:tcW w:type="dxa" w:w="1662"/>
          </w:tcPr>
          <w:p>
            <w:pPr>
              <w:spacing w:after="0" w:line="240" w:lineRule="auto"/>
              <w:ind w:firstLine="0"/>
              <w:jc w:val="center"/>
            </w:pPr>
            <w:r>
              <w:rPr>
                <w:b w:val="0"/>
                <w:i w:val="0"/>
                <w:sz w:val="20"/>
              </w:rPr>
              <w:t>2023</w:t>
            </w:r>
          </w:p>
        </w:tc>
        <w:tc>
          <w:tcPr>
            <w:tcW w:type="dxa" w:w="1662"/>
          </w:tcPr>
          <w:p>
            <w:pPr>
              <w:spacing w:after="0" w:line="240" w:lineRule="auto"/>
              <w:ind w:firstLine="0"/>
              <w:jc w:val="center"/>
            </w:pPr>
            <w:r>
              <w:rPr>
                <w:b w:val="0"/>
                <w:i w:val="0"/>
                <w:sz w:val="20"/>
              </w:rPr>
              <w:t>360,0</w:t>
            </w:r>
          </w:p>
        </w:tc>
        <w:tc>
          <w:tcPr>
            <w:tcW w:type="dxa" w:w="1662"/>
          </w:tcPr>
          <w:p>
            <w:pPr>
              <w:spacing w:after="0" w:line="240" w:lineRule="auto"/>
              <w:ind w:firstLine="0"/>
              <w:jc w:val="center"/>
            </w:pPr>
            <w:r>
              <w:rPr>
                <w:b w:val="0"/>
                <w:i w:val="0"/>
                <w:sz w:val="20"/>
              </w:rPr>
              <w:t>66,7</w:t>
            </w:r>
          </w:p>
        </w:tc>
      </w:tr>
      <w:tr>
        <w:tc>
          <w:tcPr>
            <w:tcW w:type="dxa" w:w="1662"/>
          </w:tcPr>
          <w:p>
            <w:pPr>
              <w:spacing w:after="0" w:line="240" w:lineRule="auto"/>
              <w:ind w:firstLine="0"/>
              <w:jc w:val="left"/>
            </w:pPr>
            <w:r>
              <w:rPr>
                <w:b w:val="0"/>
                <w:i w:val="0"/>
                <w:sz w:val="20"/>
              </w:rPr>
              <w:t>2012</w:t>
            </w:r>
          </w:p>
        </w:tc>
        <w:tc>
          <w:tcPr>
            <w:tcW w:type="dxa" w:w="1662"/>
          </w:tcPr>
          <w:p>
            <w:pPr>
              <w:spacing w:after="0" w:line="240" w:lineRule="auto"/>
              <w:ind w:firstLine="0"/>
              <w:jc w:val="center"/>
            </w:pPr>
            <w:r>
              <w:rPr>
                <w:b w:val="0"/>
                <w:i w:val="0"/>
                <w:sz w:val="20"/>
              </w:rPr>
              <w:t>110,0</w:t>
            </w:r>
          </w:p>
        </w:tc>
        <w:tc>
          <w:tcPr>
            <w:tcW w:type="dxa" w:w="1662"/>
          </w:tcPr>
          <w:p>
            <w:pPr>
              <w:spacing w:after="0" w:line="240" w:lineRule="auto"/>
              <w:ind w:firstLine="0"/>
              <w:jc w:val="center"/>
            </w:pPr>
            <w:r>
              <w:rPr>
                <w:b w:val="0"/>
                <w:i w:val="0"/>
                <w:sz w:val="20"/>
              </w:rPr>
              <w:t>90,9</w:t>
            </w:r>
          </w:p>
        </w:tc>
        <w:tc>
          <w:tcPr>
            <w:tcW w:type="dxa" w:w="1662"/>
          </w:tcPr>
          <w:p>
            <w:pPr>
              <w:spacing w:after="0" w:line="240" w:lineRule="auto"/>
              <w:ind w:firstLine="0"/>
              <w:jc w:val="center"/>
            </w:pPr>
            <w:r>
              <w:rPr>
                <w:b w:val="0"/>
                <w:i w:val="0"/>
                <w:sz w:val="20"/>
              </w:rPr>
              <w:t>2024</w:t>
            </w:r>
          </w:p>
        </w:tc>
        <w:tc>
          <w:tcPr>
            <w:tcW w:type="dxa" w:w="1662"/>
          </w:tcPr>
          <w:p>
            <w:pPr>
              <w:spacing w:after="0" w:line="240" w:lineRule="auto"/>
              <w:ind w:firstLine="0"/>
              <w:jc w:val="center"/>
            </w:pPr>
            <w:r>
              <w:rPr>
                <w:b w:val="0"/>
                <w:i w:val="0"/>
                <w:sz w:val="20"/>
              </w:rPr>
              <w:t>390,0</w:t>
            </w:r>
          </w:p>
        </w:tc>
        <w:tc>
          <w:tcPr>
            <w:tcW w:type="dxa" w:w="1662"/>
          </w:tcPr>
          <w:p>
            <w:pPr>
              <w:spacing w:after="0" w:line="240" w:lineRule="auto"/>
              <w:ind w:firstLine="0"/>
              <w:jc w:val="center"/>
            </w:pPr>
            <w:r>
              <w:rPr>
                <w:b w:val="0"/>
                <w:i w:val="0"/>
                <w:sz w:val="20"/>
              </w:rPr>
              <w:t>69,2</w:t>
            </w:r>
          </w:p>
        </w:tc>
      </w:tr>
      <w:tr>
        <w:tc>
          <w:tcPr>
            <w:tcW w:type="dxa" w:w="1662"/>
          </w:tcPr>
          <w:p>
            <w:pPr>
              <w:spacing w:after="0" w:line="240" w:lineRule="auto"/>
              <w:ind w:firstLine="0"/>
              <w:jc w:val="left"/>
            </w:pPr>
            <w:r>
              <w:rPr>
                <w:b w:val="0"/>
                <w:i w:val="0"/>
                <w:sz w:val="20"/>
              </w:rPr>
              <w:t>2013</w:t>
            </w:r>
          </w:p>
        </w:tc>
        <w:tc>
          <w:tcPr>
            <w:tcW w:type="dxa" w:w="1662"/>
          </w:tcPr>
          <w:p>
            <w:pPr>
              <w:spacing w:after="0" w:line="240" w:lineRule="auto"/>
              <w:ind w:firstLine="0"/>
              <w:jc w:val="center"/>
            </w:pPr>
            <w:r>
              <w:rPr>
                <w:b w:val="0"/>
                <w:i w:val="0"/>
                <w:sz w:val="20"/>
              </w:rPr>
              <w:t>111,0</w:t>
            </w:r>
          </w:p>
        </w:tc>
        <w:tc>
          <w:tcPr>
            <w:tcW w:type="dxa" w:w="1662"/>
          </w:tcPr>
          <w:p>
            <w:pPr>
              <w:spacing w:after="0" w:line="240" w:lineRule="auto"/>
              <w:ind w:firstLine="0"/>
              <w:jc w:val="center"/>
            </w:pPr>
            <w:r>
              <w:rPr>
                <w:b w:val="0"/>
                <w:i w:val="0"/>
                <w:sz w:val="20"/>
              </w:rPr>
              <w:t>85,6</w:t>
            </w:r>
          </w:p>
        </w:tc>
        <w:tc>
          <w:tcPr>
            <w:tcW w:type="dxa" w:w="1662"/>
          </w:tcPr>
          <w:p>
            <w:pPr>
              <w:spacing w:after="0" w:line="240" w:lineRule="auto"/>
              <w:ind w:firstLine="0"/>
              <w:jc w:val="center"/>
            </w:pPr>
            <w:r>
              <w:rPr>
                <w:b w:val="0"/>
                <w:i w:val="0"/>
                <w:sz w:val="20"/>
              </w:rPr>
              <w:t>2025 (оц.)</w:t>
            </w:r>
          </w:p>
        </w:tc>
        <w:tc>
          <w:tcPr>
            <w:tcW w:type="dxa" w:w="1662"/>
          </w:tcPr>
          <w:p>
            <w:pPr>
              <w:spacing w:after="0" w:line="240" w:lineRule="auto"/>
              <w:ind w:firstLine="0"/>
              <w:jc w:val="center"/>
            </w:pPr>
            <w:r>
              <w:rPr>
                <w:b w:val="0"/>
                <w:i w:val="0"/>
                <w:sz w:val="20"/>
              </w:rPr>
              <w:t>425,0</w:t>
            </w:r>
          </w:p>
        </w:tc>
        <w:tc>
          <w:tcPr>
            <w:tcW w:type="dxa" w:w="1662"/>
          </w:tcPr>
          <w:p>
            <w:pPr>
              <w:spacing w:after="0" w:line="240" w:lineRule="auto"/>
              <w:ind w:firstLine="0"/>
              <w:jc w:val="center"/>
            </w:pPr>
            <w:r>
              <w:rPr>
                <w:b w:val="0"/>
                <w:i w:val="0"/>
                <w:sz w:val="20"/>
              </w:rPr>
              <w:t>67,1</w:t>
            </w:r>
          </w:p>
        </w:tc>
      </w:tr>
    </w:tbl>
    <w:p>
      <w:pPr>
        <w:spacing w:after="180"/>
        <w:ind w:firstLine="0"/>
      </w:pPr>
      <w:r>
        <w:rPr>
          <w:i/>
          <w:sz w:val="20"/>
        </w:rPr>
        <w:t>Источник: USGS Mineral Commodity Summaries (выпуски различных лет); оценка аналитического центра за 2025 г.</w:t>
      </w:r>
    </w:p>
    <w:p>
      <w:pPr>
        <w:keepNext/>
        <w:spacing w:before="160" w:after="60"/>
        <w:ind w:firstLine="0"/>
        <w:jc w:val="left"/>
      </w:pPr>
      <w:r>
        <w:rPr>
          <w:b/>
          <w:sz w:val="22"/>
        </w:rPr>
        <w:t>Таблица 150. Цены на редкоземельные оксиды, 2016–2025 гг., $/кг (сводный ряд, FOB Китай)</w:t>
      </w:r>
    </w:p>
    <w:tbl>
      <w:tblPr>
        <w:tblStyle w:val="TableGrid"/>
        <w:tblW w:type="auto" w:w="0"/>
        <w:jc w:val="center"/>
        <w:tblLook w:firstColumn="1" w:firstRow="1" w:lastColumn="0" w:lastRow="0" w:noHBand="0" w:noVBand="1" w:val="04A0"/>
      </w:tblPr>
      <w:tblGrid>
        <w:gridCol w:w="907"/>
        <w:gridCol w:w="907"/>
        <w:gridCol w:w="907"/>
        <w:gridCol w:w="907"/>
        <w:gridCol w:w="907"/>
        <w:gridCol w:w="907"/>
        <w:gridCol w:w="907"/>
        <w:gridCol w:w="907"/>
        <w:gridCol w:w="907"/>
        <w:gridCol w:w="907"/>
        <w:gridCol w:w="907"/>
      </w:tblGrid>
      <w:tr>
        <w:tc>
          <w:tcPr>
            <w:tcW w:type="dxa" w:w="907"/>
            <w:shd w:val="clear" w:fill="DCE6F1"/>
          </w:tcPr>
          <w:p>
            <w:pPr>
              <w:spacing w:after="0" w:line="240" w:lineRule="auto"/>
              <w:ind w:firstLine="0"/>
              <w:jc w:val="center"/>
            </w:pPr>
            <w:r>
              <w:rPr>
                <w:b/>
                <w:i w:val="0"/>
                <w:sz w:val="20"/>
              </w:rPr>
              <w:t>Оксид</w:t>
            </w:r>
          </w:p>
        </w:tc>
        <w:tc>
          <w:tcPr>
            <w:tcW w:type="dxa" w:w="907"/>
            <w:shd w:val="clear" w:fill="DCE6F1"/>
          </w:tcPr>
          <w:p>
            <w:pPr>
              <w:spacing w:after="0" w:line="240" w:lineRule="auto"/>
              <w:ind w:firstLine="0"/>
              <w:jc w:val="center"/>
            </w:pPr>
            <w:r>
              <w:rPr>
                <w:b/>
                <w:i w:val="0"/>
                <w:sz w:val="20"/>
              </w:rPr>
              <w:t>2016</w:t>
            </w:r>
          </w:p>
        </w:tc>
        <w:tc>
          <w:tcPr>
            <w:tcW w:type="dxa" w:w="907"/>
            <w:shd w:val="clear" w:fill="DCE6F1"/>
          </w:tcPr>
          <w:p>
            <w:pPr>
              <w:spacing w:after="0" w:line="240" w:lineRule="auto"/>
              <w:ind w:firstLine="0"/>
              <w:jc w:val="center"/>
            </w:pPr>
            <w:r>
              <w:rPr>
                <w:b/>
                <w:i w:val="0"/>
                <w:sz w:val="20"/>
              </w:rPr>
              <w:t>2017</w:t>
            </w:r>
          </w:p>
        </w:tc>
        <w:tc>
          <w:tcPr>
            <w:tcW w:type="dxa" w:w="907"/>
            <w:shd w:val="clear" w:fill="DCE6F1"/>
          </w:tcPr>
          <w:p>
            <w:pPr>
              <w:spacing w:after="0" w:line="240" w:lineRule="auto"/>
              <w:ind w:firstLine="0"/>
              <w:jc w:val="center"/>
            </w:pPr>
            <w:r>
              <w:rPr>
                <w:b/>
                <w:i w:val="0"/>
                <w:sz w:val="20"/>
              </w:rPr>
              <w:t>2018</w:t>
            </w:r>
          </w:p>
        </w:tc>
        <w:tc>
          <w:tcPr>
            <w:tcW w:type="dxa" w:w="907"/>
            <w:shd w:val="clear" w:fill="DCE6F1"/>
          </w:tcPr>
          <w:p>
            <w:pPr>
              <w:spacing w:after="0" w:line="240" w:lineRule="auto"/>
              <w:ind w:firstLine="0"/>
              <w:jc w:val="center"/>
            </w:pPr>
            <w:r>
              <w:rPr>
                <w:b/>
                <w:i w:val="0"/>
                <w:sz w:val="20"/>
              </w:rPr>
              <w:t>2019</w:t>
            </w:r>
          </w:p>
        </w:tc>
        <w:tc>
          <w:tcPr>
            <w:tcW w:type="dxa" w:w="907"/>
            <w:shd w:val="clear" w:fill="DCE6F1"/>
          </w:tcPr>
          <w:p>
            <w:pPr>
              <w:spacing w:after="0" w:line="240" w:lineRule="auto"/>
              <w:ind w:firstLine="0"/>
              <w:jc w:val="center"/>
            </w:pPr>
            <w:r>
              <w:rPr>
                <w:b/>
                <w:i w:val="0"/>
                <w:sz w:val="20"/>
              </w:rPr>
              <w:t>2020</w:t>
            </w:r>
          </w:p>
        </w:tc>
        <w:tc>
          <w:tcPr>
            <w:tcW w:type="dxa" w:w="907"/>
            <w:shd w:val="clear" w:fill="DCE6F1"/>
          </w:tcPr>
          <w:p>
            <w:pPr>
              <w:spacing w:after="0" w:line="240" w:lineRule="auto"/>
              <w:ind w:firstLine="0"/>
              <w:jc w:val="center"/>
            </w:pPr>
            <w:r>
              <w:rPr>
                <w:b/>
                <w:i w:val="0"/>
                <w:sz w:val="20"/>
              </w:rPr>
              <w:t>2021</w:t>
            </w:r>
          </w:p>
        </w:tc>
        <w:tc>
          <w:tcPr>
            <w:tcW w:type="dxa" w:w="907"/>
            <w:shd w:val="clear" w:fill="DCE6F1"/>
          </w:tcPr>
          <w:p>
            <w:pPr>
              <w:spacing w:after="0" w:line="240" w:lineRule="auto"/>
              <w:ind w:firstLine="0"/>
              <w:jc w:val="center"/>
            </w:pPr>
            <w:r>
              <w:rPr>
                <w:b/>
                <w:i w:val="0"/>
                <w:sz w:val="20"/>
              </w:rPr>
              <w:t>2022</w:t>
            </w:r>
          </w:p>
        </w:tc>
        <w:tc>
          <w:tcPr>
            <w:tcW w:type="dxa" w:w="907"/>
            <w:shd w:val="clear" w:fill="DCE6F1"/>
          </w:tcPr>
          <w:p>
            <w:pPr>
              <w:spacing w:after="0" w:line="240" w:lineRule="auto"/>
              <w:ind w:firstLine="0"/>
              <w:jc w:val="center"/>
            </w:pPr>
            <w:r>
              <w:rPr>
                <w:b/>
                <w:i w:val="0"/>
                <w:sz w:val="20"/>
              </w:rPr>
              <w:t>2023</w:t>
            </w:r>
          </w:p>
        </w:tc>
        <w:tc>
          <w:tcPr>
            <w:tcW w:type="dxa" w:w="907"/>
            <w:shd w:val="clear" w:fill="DCE6F1"/>
          </w:tcPr>
          <w:p>
            <w:pPr>
              <w:spacing w:after="0" w:line="240" w:lineRule="auto"/>
              <w:ind w:firstLine="0"/>
              <w:jc w:val="center"/>
            </w:pPr>
            <w:r>
              <w:rPr>
                <w:b/>
                <w:i w:val="0"/>
                <w:sz w:val="20"/>
              </w:rPr>
              <w:t>2024</w:t>
            </w:r>
          </w:p>
        </w:tc>
        <w:tc>
          <w:tcPr>
            <w:tcW w:type="dxa" w:w="907"/>
            <w:shd w:val="clear" w:fill="DCE6F1"/>
          </w:tcPr>
          <w:p>
            <w:pPr>
              <w:spacing w:after="0" w:line="240" w:lineRule="auto"/>
              <w:ind w:firstLine="0"/>
              <w:jc w:val="center"/>
            </w:pPr>
            <w:r>
              <w:rPr>
                <w:b/>
                <w:i w:val="0"/>
                <w:sz w:val="20"/>
              </w:rPr>
              <w:t>2025</w:t>
            </w:r>
          </w:p>
        </w:tc>
      </w:tr>
      <w:tr>
        <w:tc>
          <w:tcPr>
            <w:tcW w:type="dxa" w:w="907"/>
          </w:tcPr>
          <w:p>
            <w:pPr>
              <w:spacing w:after="0" w:line="240" w:lineRule="auto"/>
              <w:ind w:firstLine="0"/>
              <w:jc w:val="left"/>
            </w:pPr>
            <w:r>
              <w:rPr>
                <w:b w:val="0"/>
                <w:i w:val="0"/>
                <w:sz w:val="20"/>
              </w:rPr>
              <w:t>La₂O₃</w:t>
            </w:r>
          </w:p>
        </w:tc>
        <w:tc>
          <w:tcPr>
            <w:tcW w:type="dxa" w:w="907"/>
          </w:tcPr>
          <w:p>
            <w:pPr>
              <w:spacing w:after="0" w:line="240" w:lineRule="auto"/>
              <w:ind w:firstLine="0"/>
              <w:jc w:val="center"/>
            </w:pPr>
            <w:r>
              <w:rPr>
                <w:b w:val="0"/>
                <w:i w:val="0"/>
                <w:sz w:val="20"/>
              </w:rPr>
              <w:t>1,9</w:t>
            </w:r>
          </w:p>
        </w:tc>
        <w:tc>
          <w:tcPr>
            <w:tcW w:type="dxa" w:w="907"/>
          </w:tcPr>
          <w:p>
            <w:pPr>
              <w:spacing w:after="0" w:line="240" w:lineRule="auto"/>
              <w:ind w:firstLine="0"/>
              <w:jc w:val="center"/>
            </w:pPr>
            <w:r>
              <w:rPr>
                <w:b w:val="0"/>
                <w:i w:val="0"/>
                <w:sz w:val="20"/>
              </w:rPr>
              <w:t>2,1</w:t>
            </w:r>
          </w:p>
        </w:tc>
        <w:tc>
          <w:tcPr>
            <w:tcW w:type="dxa" w:w="907"/>
          </w:tcPr>
          <w:p>
            <w:pPr>
              <w:spacing w:after="0" w:line="240" w:lineRule="auto"/>
              <w:ind w:firstLine="0"/>
              <w:jc w:val="center"/>
            </w:pPr>
            <w:r>
              <w:rPr>
                <w:b w:val="0"/>
                <w:i w:val="0"/>
                <w:sz w:val="20"/>
              </w:rPr>
              <w:t>1,9</w:t>
            </w:r>
          </w:p>
        </w:tc>
        <w:tc>
          <w:tcPr>
            <w:tcW w:type="dxa" w:w="907"/>
          </w:tcPr>
          <w:p>
            <w:pPr>
              <w:spacing w:after="0" w:line="240" w:lineRule="auto"/>
              <w:ind w:firstLine="0"/>
              <w:jc w:val="center"/>
            </w:pPr>
            <w:r>
              <w:rPr>
                <w:b w:val="0"/>
                <w:i w:val="0"/>
                <w:sz w:val="20"/>
              </w:rPr>
              <w:t>1,7</w:t>
            </w:r>
          </w:p>
        </w:tc>
        <w:tc>
          <w:tcPr>
            <w:tcW w:type="dxa" w:w="907"/>
          </w:tcPr>
          <w:p>
            <w:pPr>
              <w:spacing w:after="0" w:line="240" w:lineRule="auto"/>
              <w:ind w:firstLine="0"/>
              <w:jc w:val="center"/>
            </w:pPr>
            <w:r>
              <w:rPr>
                <w:b w:val="0"/>
                <w:i w:val="0"/>
                <w:sz w:val="20"/>
              </w:rPr>
              <w:t>1,5</w:t>
            </w:r>
          </w:p>
        </w:tc>
        <w:tc>
          <w:tcPr>
            <w:tcW w:type="dxa" w:w="907"/>
          </w:tcPr>
          <w:p>
            <w:pPr>
              <w:spacing w:after="0" w:line="240" w:lineRule="auto"/>
              <w:ind w:firstLine="0"/>
              <w:jc w:val="center"/>
            </w:pPr>
            <w:r>
              <w:rPr>
                <w:b w:val="0"/>
                <w:i w:val="0"/>
                <w:sz w:val="20"/>
              </w:rPr>
              <w:t>1,3</w:t>
            </w:r>
          </w:p>
        </w:tc>
        <w:tc>
          <w:tcPr>
            <w:tcW w:type="dxa" w:w="907"/>
          </w:tcPr>
          <w:p>
            <w:pPr>
              <w:spacing w:after="0" w:line="240" w:lineRule="auto"/>
              <w:ind w:firstLine="0"/>
              <w:jc w:val="center"/>
            </w:pPr>
            <w:r>
              <w:rPr>
                <w:b w:val="0"/>
                <w:i w:val="0"/>
                <w:sz w:val="20"/>
              </w:rPr>
              <w:t>1,1</w:t>
            </w:r>
          </w:p>
        </w:tc>
        <w:tc>
          <w:tcPr>
            <w:tcW w:type="dxa" w:w="907"/>
          </w:tcPr>
          <w:p>
            <w:pPr>
              <w:spacing w:after="0" w:line="240" w:lineRule="auto"/>
              <w:ind w:firstLine="0"/>
              <w:jc w:val="center"/>
            </w:pPr>
            <w:r>
              <w:rPr>
                <w:b w:val="0"/>
                <w:i w:val="0"/>
                <w:sz w:val="20"/>
              </w:rPr>
              <w:t>0,8</w:t>
            </w:r>
          </w:p>
        </w:tc>
        <w:tc>
          <w:tcPr>
            <w:tcW w:type="dxa" w:w="907"/>
          </w:tcPr>
          <w:p>
            <w:pPr>
              <w:spacing w:after="0" w:line="240" w:lineRule="auto"/>
              <w:ind w:firstLine="0"/>
              <w:jc w:val="center"/>
            </w:pPr>
            <w:r>
              <w:rPr>
                <w:b w:val="0"/>
                <w:i w:val="0"/>
                <w:sz w:val="20"/>
              </w:rPr>
              <w:t>0,7</w:t>
            </w:r>
          </w:p>
        </w:tc>
        <w:tc>
          <w:tcPr>
            <w:tcW w:type="dxa" w:w="907"/>
          </w:tcPr>
          <w:p>
            <w:pPr>
              <w:spacing w:after="0" w:line="240" w:lineRule="auto"/>
              <w:ind w:firstLine="0"/>
              <w:jc w:val="center"/>
            </w:pPr>
            <w:r>
              <w:rPr>
                <w:b w:val="0"/>
                <w:i w:val="0"/>
                <w:sz w:val="20"/>
              </w:rPr>
              <w:t>0,9</w:t>
            </w:r>
          </w:p>
        </w:tc>
      </w:tr>
      <w:tr>
        <w:tc>
          <w:tcPr>
            <w:tcW w:type="dxa" w:w="907"/>
          </w:tcPr>
          <w:p>
            <w:pPr>
              <w:spacing w:after="0" w:line="240" w:lineRule="auto"/>
              <w:ind w:firstLine="0"/>
              <w:jc w:val="left"/>
            </w:pPr>
            <w:r>
              <w:rPr>
                <w:b w:val="0"/>
                <w:i w:val="0"/>
                <w:sz w:val="20"/>
              </w:rPr>
              <w:t>CeO₂</w:t>
            </w:r>
          </w:p>
        </w:tc>
        <w:tc>
          <w:tcPr>
            <w:tcW w:type="dxa" w:w="907"/>
          </w:tcPr>
          <w:p>
            <w:pPr>
              <w:spacing w:after="0" w:line="240" w:lineRule="auto"/>
              <w:ind w:firstLine="0"/>
              <w:jc w:val="center"/>
            </w:pPr>
            <w:r>
              <w:rPr>
                <w:b w:val="0"/>
                <w:i w:val="0"/>
                <w:sz w:val="20"/>
              </w:rPr>
              <w:t>1,8</w:t>
            </w:r>
          </w:p>
        </w:tc>
        <w:tc>
          <w:tcPr>
            <w:tcW w:type="dxa" w:w="907"/>
          </w:tcPr>
          <w:p>
            <w:pPr>
              <w:spacing w:after="0" w:line="240" w:lineRule="auto"/>
              <w:ind w:firstLine="0"/>
              <w:jc w:val="center"/>
            </w:pPr>
            <w:r>
              <w:rPr>
                <w:b w:val="0"/>
                <w:i w:val="0"/>
                <w:sz w:val="20"/>
              </w:rPr>
              <w:t>2,0</w:t>
            </w:r>
          </w:p>
        </w:tc>
        <w:tc>
          <w:tcPr>
            <w:tcW w:type="dxa" w:w="907"/>
          </w:tcPr>
          <w:p>
            <w:pPr>
              <w:spacing w:after="0" w:line="240" w:lineRule="auto"/>
              <w:ind w:firstLine="0"/>
              <w:jc w:val="center"/>
            </w:pPr>
            <w:r>
              <w:rPr>
                <w:b w:val="0"/>
                <w:i w:val="0"/>
                <w:sz w:val="20"/>
              </w:rPr>
              <w:t>1,8</w:t>
            </w:r>
          </w:p>
        </w:tc>
        <w:tc>
          <w:tcPr>
            <w:tcW w:type="dxa" w:w="907"/>
          </w:tcPr>
          <w:p>
            <w:pPr>
              <w:spacing w:after="0" w:line="240" w:lineRule="auto"/>
              <w:ind w:firstLine="0"/>
              <w:jc w:val="center"/>
            </w:pPr>
            <w:r>
              <w:rPr>
                <w:b w:val="0"/>
                <w:i w:val="0"/>
                <w:sz w:val="20"/>
              </w:rPr>
              <w:t>1,6</w:t>
            </w:r>
          </w:p>
        </w:tc>
        <w:tc>
          <w:tcPr>
            <w:tcW w:type="dxa" w:w="907"/>
          </w:tcPr>
          <w:p>
            <w:pPr>
              <w:spacing w:after="0" w:line="240" w:lineRule="auto"/>
              <w:ind w:firstLine="0"/>
              <w:jc w:val="center"/>
            </w:pPr>
            <w:r>
              <w:rPr>
                <w:b w:val="0"/>
                <w:i w:val="0"/>
                <w:sz w:val="20"/>
              </w:rPr>
              <w:t>1,4</w:t>
            </w:r>
          </w:p>
        </w:tc>
        <w:tc>
          <w:tcPr>
            <w:tcW w:type="dxa" w:w="907"/>
          </w:tcPr>
          <w:p>
            <w:pPr>
              <w:spacing w:after="0" w:line="240" w:lineRule="auto"/>
              <w:ind w:firstLine="0"/>
              <w:jc w:val="center"/>
            </w:pPr>
            <w:r>
              <w:rPr>
                <w:b w:val="0"/>
                <w:i w:val="0"/>
                <w:sz w:val="20"/>
              </w:rPr>
              <w:t>1,3</w:t>
            </w:r>
          </w:p>
        </w:tc>
        <w:tc>
          <w:tcPr>
            <w:tcW w:type="dxa" w:w="907"/>
          </w:tcPr>
          <w:p>
            <w:pPr>
              <w:spacing w:after="0" w:line="240" w:lineRule="auto"/>
              <w:ind w:firstLine="0"/>
              <w:jc w:val="center"/>
            </w:pPr>
            <w:r>
              <w:rPr>
                <w:b w:val="0"/>
                <w:i w:val="0"/>
                <w:sz w:val="20"/>
              </w:rPr>
              <w:t>1,2</w:t>
            </w:r>
          </w:p>
        </w:tc>
        <w:tc>
          <w:tcPr>
            <w:tcW w:type="dxa" w:w="907"/>
          </w:tcPr>
          <w:p>
            <w:pPr>
              <w:spacing w:after="0" w:line="240" w:lineRule="auto"/>
              <w:ind w:firstLine="0"/>
              <w:jc w:val="center"/>
            </w:pPr>
            <w:r>
              <w:rPr>
                <w:b w:val="0"/>
                <w:i w:val="0"/>
                <w:sz w:val="20"/>
              </w:rPr>
              <w:t>0,9</w:t>
            </w:r>
          </w:p>
        </w:tc>
        <w:tc>
          <w:tcPr>
            <w:tcW w:type="dxa" w:w="907"/>
          </w:tcPr>
          <w:p>
            <w:pPr>
              <w:spacing w:after="0" w:line="240" w:lineRule="auto"/>
              <w:ind w:firstLine="0"/>
              <w:jc w:val="center"/>
            </w:pPr>
            <w:r>
              <w:rPr>
                <w:b w:val="0"/>
                <w:i w:val="0"/>
                <w:sz w:val="20"/>
              </w:rPr>
              <w:t>0,8</w:t>
            </w:r>
          </w:p>
        </w:tc>
        <w:tc>
          <w:tcPr>
            <w:tcW w:type="dxa" w:w="907"/>
          </w:tcPr>
          <w:p>
            <w:pPr>
              <w:spacing w:after="0" w:line="240" w:lineRule="auto"/>
              <w:ind w:firstLine="0"/>
              <w:jc w:val="center"/>
            </w:pPr>
            <w:r>
              <w:rPr>
                <w:b w:val="0"/>
                <w:i w:val="0"/>
                <w:sz w:val="20"/>
              </w:rPr>
              <w:t>1,0</w:t>
            </w:r>
          </w:p>
        </w:tc>
      </w:tr>
      <w:tr>
        <w:tc>
          <w:tcPr>
            <w:tcW w:type="dxa" w:w="907"/>
          </w:tcPr>
          <w:p>
            <w:pPr>
              <w:spacing w:after="0" w:line="240" w:lineRule="auto"/>
              <w:ind w:firstLine="0"/>
              <w:jc w:val="left"/>
            </w:pPr>
            <w:r>
              <w:rPr>
                <w:b w:val="0"/>
                <w:i w:val="0"/>
                <w:sz w:val="20"/>
              </w:rPr>
              <w:t>Pr₆O₁₁</w:t>
            </w:r>
          </w:p>
        </w:tc>
        <w:tc>
          <w:tcPr>
            <w:tcW w:type="dxa" w:w="907"/>
          </w:tcPr>
          <w:p>
            <w:pPr>
              <w:spacing w:after="0" w:line="240" w:lineRule="auto"/>
              <w:ind w:firstLine="0"/>
              <w:jc w:val="center"/>
            </w:pPr>
            <w:r>
              <w:rPr>
                <w:b w:val="0"/>
                <w:i w:val="0"/>
                <w:sz w:val="20"/>
              </w:rPr>
              <w:t>42,0</w:t>
            </w:r>
          </w:p>
        </w:tc>
        <w:tc>
          <w:tcPr>
            <w:tcW w:type="dxa" w:w="907"/>
          </w:tcPr>
          <w:p>
            <w:pPr>
              <w:spacing w:after="0" w:line="240" w:lineRule="auto"/>
              <w:ind w:firstLine="0"/>
              <w:jc w:val="center"/>
            </w:pPr>
            <w:r>
              <w:rPr>
                <w:b w:val="0"/>
                <w:i w:val="0"/>
                <w:sz w:val="20"/>
              </w:rPr>
              <w:t>56,0</w:t>
            </w:r>
          </w:p>
        </w:tc>
        <w:tc>
          <w:tcPr>
            <w:tcW w:type="dxa" w:w="907"/>
          </w:tcPr>
          <w:p>
            <w:pPr>
              <w:spacing w:after="0" w:line="240" w:lineRule="auto"/>
              <w:ind w:firstLine="0"/>
              <w:jc w:val="center"/>
            </w:pPr>
            <w:r>
              <w:rPr>
                <w:b w:val="0"/>
                <w:i w:val="0"/>
                <w:sz w:val="20"/>
              </w:rPr>
              <w:t>51,0</w:t>
            </w:r>
          </w:p>
        </w:tc>
        <w:tc>
          <w:tcPr>
            <w:tcW w:type="dxa" w:w="907"/>
          </w:tcPr>
          <w:p>
            <w:pPr>
              <w:spacing w:after="0" w:line="240" w:lineRule="auto"/>
              <w:ind w:firstLine="0"/>
              <w:jc w:val="center"/>
            </w:pPr>
            <w:r>
              <w:rPr>
                <w:b w:val="0"/>
                <w:i w:val="0"/>
                <w:sz w:val="20"/>
              </w:rPr>
              <w:t>48,0</w:t>
            </w:r>
          </w:p>
        </w:tc>
        <w:tc>
          <w:tcPr>
            <w:tcW w:type="dxa" w:w="907"/>
          </w:tcPr>
          <w:p>
            <w:pPr>
              <w:spacing w:after="0" w:line="240" w:lineRule="auto"/>
              <w:ind w:firstLine="0"/>
              <w:jc w:val="center"/>
            </w:pPr>
            <w:r>
              <w:rPr>
                <w:b w:val="0"/>
                <w:i w:val="0"/>
                <w:sz w:val="20"/>
              </w:rPr>
              <w:t>53,0</w:t>
            </w:r>
          </w:p>
        </w:tc>
        <w:tc>
          <w:tcPr>
            <w:tcW w:type="dxa" w:w="907"/>
          </w:tcPr>
          <w:p>
            <w:pPr>
              <w:spacing w:after="0" w:line="240" w:lineRule="auto"/>
              <w:ind w:firstLine="0"/>
              <w:jc w:val="center"/>
            </w:pPr>
            <w:r>
              <w:rPr>
                <w:b w:val="0"/>
                <w:i w:val="0"/>
                <w:sz w:val="20"/>
              </w:rPr>
              <w:t>92,0</w:t>
            </w:r>
          </w:p>
        </w:tc>
        <w:tc>
          <w:tcPr>
            <w:tcW w:type="dxa" w:w="907"/>
          </w:tcPr>
          <w:p>
            <w:pPr>
              <w:spacing w:after="0" w:line="240" w:lineRule="auto"/>
              <w:ind w:firstLine="0"/>
              <w:jc w:val="center"/>
            </w:pPr>
            <w:r>
              <w:rPr>
                <w:b w:val="0"/>
                <w:i w:val="0"/>
                <w:sz w:val="20"/>
              </w:rPr>
              <w:t>148,0</w:t>
            </w:r>
          </w:p>
        </w:tc>
        <w:tc>
          <w:tcPr>
            <w:tcW w:type="dxa" w:w="907"/>
          </w:tcPr>
          <w:p>
            <w:pPr>
              <w:spacing w:after="0" w:line="240" w:lineRule="auto"/>
              <w:ind w:firstLine="0"/>
              <w:jc w:val="center"/>
            </w:pPr>
            <w:r>
              <w:rPr>
                <w:b w:val="0"/>
                <w:i w:val="0"/>
                <w:sz w:val="20"/>
              </w:rPr>
              <w:t>79,0</w:t>
            </w:r>
          </w:p>
        </w:tc>
        <w:tc>
          <w:tcPr>
            <w:tcW w:type="dxa" w:w="907"/>
          </w:tcPr>
          <w:p>
            <w:pPr>
              <w:spacing w:after="0" w:line="240" w:lineRule="auto"/>
              <w:ind w:firstLine="0"/>
              <w:jc w:val="center"/>
            </w:pPr>
            <w:r>
              <w:rPr>
                <w:b w:val="0"/>
                <w:i w:val="0"/>
                <w:sz w:val="20"/>
              </w:rPr>
              <w:t>62,0</w:t>
            </w:r>
          </w:p>
        </w:tc>
        <w:tc>
          <w:tcPr>
            <w:tcW w:type="dxa" w:w="907"/>
          </w:tcPr>
          <w:p>
            <w:pPr>
              <w:spacing w:after="0" w:line="240" w:lineRule="auto"/>
              <w:ind w:firstLine="0"/>
              <w:jc w:val="center"/>
            </w:pPr>
            <w:r>
              <w:rPr>
                <w:b w:val="0"/>
                <w:i w:val="0"/>
                <w:sz w:val="20"/>
              </w:rPr>
              <w:t>78,0</w:t>
            </w:r>
          </w:p>
        </w:tc>
      </w:tr>
      <w:tr>
        <w:tc>
          <w:tcPr>
            <w:tcW w:type="dxa" w:w="907"/>
          </w:tcPr>
          <w:p>
            <w:pPr>
              <w:spacing w:after="0" w:line="240" w:lineRule="auto"/>
              <w:ind w:firstLine="0"/>
              <w:jc w:val="left"/>
            </w:pPr>
            <w:r>
              <w:rPr>
                <w:b w:val="0"/>
                <w:i w:val="0"/>
                <w:sz w:val="20"/>
              </w:rPr>
              <w:t>Nd₂O₃</w:t>
            </w:r>
          </w:p>
        </w:tc>
        <w:tc>
          <w:tcPr>
            <w:tcW w:type="dxa" w:w="907"/>
          </w:tcPr>
          <w:p>
            <w:pPr>
              <w:spacing w:after="0" w:line="240" w:lineRule="auto"/>
              <w:ind w:firstLine="0"/>
              <w:jc w:val="center"/>
            </w:pPr>
            <w:r>
              <w:rPr>
                <w:b w:val="0"/>
                <w:i w:val="0"/>
                <w:sz w:val="20"/>
              </w:rPr>
              <w:t>36,0</w:t>
            </w:r>
          </w:p>
        </w:tc>
        <w:tc>
          <w:tcPr>
            <w:tcW w:type="dxa" w:w="907"/>
          </w:tcPr>
          <w:p>
            <w:pPr>
              <w:spacing w:after="0" w:line="240" w:lineRule="auto"/>
              <w:ind w:firstLine="0"/>
              <w:jc w:val="center"/>
            </w:pPr>
            <w:r>
              <w:rPr>
                <w:b w:val="0"/>
                <w:i w:val="0"/>
                <w:sz w:val="20"/>
              </w:rPr>
              <w:t>50,0</w:t>
            </w:r>
          </w:p>
        </w:tc>
        <w:tc>
          <w:tcPr>
            <w:tcW w:type="dxa" w:w="907"/>
          </w:tcPr>
          <w:p>
            <w:pPr>
              <w:spacing w:after="0" w:line="240" w:lineRule="auto"/>
              <w:ind w:firstLine="0"/>
              <w:jc w:val="center"/>
            </w:pPr>
            <w:r>
              <w:rPr>
                <w:b w:val="0"/>
                <w:i w:val="0"/>
                <w:sz w:val="20"/>
              </w:rPr>
              <w:t>46,0</w:t>
            </w:r>
          </w:p>
        </w:tc>
        <w:tc>
          <w:tcPr>
            <w:tcW w:type="dxa" w:w="907"/>
          </w:tcPr>
          <w:p>
            <w:pPr>
              <w:spacing w:after="0" w:line="240" w:lineRule="auto"/>
              <w:ind w:firstLine="0"/>
              <w:jc w:val="center"/>
            </w:pPr>
            <w:r>
              <w:rPr>
                <w:b w:val="0"/>
                <w:i w:val="0"/>
                <w:sz w:val="20"/>
              </w:rPr>
              <w:t>45,0</w:t>
            </w:r>
          </w:p>
        </w:tc>
        <w:tc>
          <w:tcPr>
            <w:tcW w:type="dxa" w:w="907"/>
          </w:tcPr>
          <w:p>
            <w:pPr>
              <w:spacing w:after="0" w:line="240" w:lineRule="auto"/>
              <w:ind w:firstLine="0"/>
              <w:jc w:val="center"/>
            </w:pPr>
            <w:r>
              <w:rPr>
                <w:b w:val="0"/>
                <w:i w:val="0"/>
                <w:sz w:val="20"/>
              </w:rPr>
              <w:t>50,0</w:t>
            </w:r>
          </w:p>
        </w:tc>
        <w:tc>
          <w:tcPr>
            <w:tcW w:type="dxa" w:w="907"/>
          </w:tcPr>
          <w:p>
            <w:pPr>
              <w:spacing w:after="0" w:line="240" w:lineRule="auto"/>
              <w:ind w:firstLine="0"/>
              <w:jc w:val="center"/>
            </w:pPr>
            <w:r>
              <w:rPr>
                <w:b w:val="0"/>
                <w:i w:val="0"/>
                <w:sz w:val="20"/>
              </w:rPr>
              <w:t>88,0</w:t>
            </w:r>
          </w:p>
        </w:tc>
        <w:tc>
          <w:tcPr>
            <w:tcW w:type="dxa" w:w="907"/>
          </w:tcPr>
          <w:p>
            <w:pPr>
              <w:spacing w:after="0" w:line="240" w:lineRule="auto"/>
              <w:ind w:firstLine="0"/>
              <w:jc w:val="center"/>
            </w:pPr>
            <w:r>
              <w:rPr>
                <w:b w:val="0"/>
                <w:i w:val="0"/>
                <w:sz w:val="20"/>
              </w:rPr>
              <w:t>142,0</w:t>
            </w:r>
          </w:p>
        </w:tc>
        <w:tc>
          <w:tcPr>
            <w:tcW w:type="dxa" w:w="907"/>
          </w:tcPr>
          <w:p>
            <w:pPr>
              <w:spacing w:after="0" w:line="240" w:lineRule="auto"/>
              <w:ind w:firstLine="0"/>
              <w:jc w:val="center"/>
            </w:pPr>
            <w:r>
              <w:rPr>
                <w:b w:val="0"/>
                <w:i w:val="0"/>
                <w:sz w:val="20"/>
              </w:rPr>
              <w:t>76,0</w:t>
            </w:r>
          </w:p>
        </w:tc>
        <w:tc>
          <w:tcPr>
            <w:tcW w:type="dxa" w:w="907"/>
          </w:tcPr>
          <w:p>
            <w:pPr>
              <w:spacing w:after="0" w:line="240" w:lineRule="auto"/>
              <w:ind w:firstLine="0"/>
              <w:jc w:val="center"/>
            </w:pPr>
            <w:r>
              <w:rPr>
                <w:b w:val="0"/>
                <w:i w:val="0"/>
                <w:sz w:val="20"/>
              </w:rPr>
              <w:t>60,0</w:t>
            </w:r>
          </w:p>
        </w:tc>
        <w:tc>
          <w:tcPr>
            <w:tcW w:type="dxa" w:w="907"/>
          </w:tcPr>
          <w:p>
            <w:pPr>
              <w:spacing w:after="0" w:line="240" w:lineRule="auto"/>
              <w:ind w:firstLine="0"/>
              <w:jc w:val="center"/>
            </w:pPr>
            <w:r>
              <w:rPr>
                <w:b w:val="0"/>
                <w:i w:val="0"/>
                <w:sz w:val="20"/>
              </w:rPr>
              <w:t>76,0</w:t>
            </w:r>
          </w:p>
        </w:tc>
      </w:tr>
      <w:tr>
        <w:tc>
          <w:tcPr>
            <w:tcW w:type="dxa" w:w="907"/>
          </w:tcPr>
          <w:p>
            <w:pPr>
              <w:spacing w:after="0" w:line="240" w:lineRule="auto"/>
              <w:ind w:firstLine="0"/>
              <w:jc w:val="left"/>
            </w:pPr>
            <w:r>
              <w:rPr>
                <w:b w:val="0"/>
                <w:i w:val="0"/>
                <w:sz w:val="20"/>
              </w:rPr>
              <w:t>NdPr</w:t>
            </w:r>
          </w:p>
        </w:tc>
        <w:tc>
          <w:tcPr>
            <w:tcW w:type="dxa" w:w="907"/>
          </w:tcPr>
          <w:p>
            <w:pPr>
              <w:spacing w:after="0" w:line="240" w:lineRule="auto"/>
              <w:ind w:firstLine="0"/>
              <w:jc w:val="center"/>
            </w:pPr>
            <w:r>
              <w:rPr>
                <w:b w:val="0"/>
                <w:i w:val="0"/>
                <w:sz w:val="20"/>
              </w:rPr>
              <w:t>38,0</w:t>
            </w:r>
          </w:p>
        </w:tc>
        <w:tc>
          <w:tcPr>
            <w:tcW w:type="dxa" w:w="907"/>
          </w:tcPr>
          <w:p>
            <w:pPr>
              <w:spacing w:after="0" w:line="240" w:lineRule="auto"/>
              <w:ind w:firstLine="0"/>
              <w:jc w:val="center"/>
            </w:pPr>
            <w:r>
              <w:rPr>
                <w:b w:val="0"/>
                <w:i w:val="0"/>
                <w:sz w:val="20"/>
              </w:rPr>
              <w:t>52,0</w:t>
            </w:r>
          </w:p>
        </w:tc>
        <w:tc>
          <w:tcPr>
            <w:tcW w:type="dxa" w:w="907"/>
          </w:tcPr>
          <w:p>
            <w:pPr>
              <w:spacing w:after="0" w:line="240" w:lineRule="auto"/>
              <w:ind w:firstLine="0"/>
              <w:jc w:val="center"/>
            </w:pPr>
            <w:r>
              <w:rPr>
                <w:b w:val="0"/>
                <w:i w:val="0"/>
                <w:sz w:val="20"/>
              </w:rPr>
              <w:t>48,0</w:t>
            </w:r>
          </w:p>
        </w:tc>
        <w:tc>
          <w:tcPr>
            <w:tcW w:type="dxa" w:w="907"/>
          </w:tcPr>
          <w:p>
            <w:pPr>
              <w:spacing w:after="0" w:line="240" w:lineRule="auto"/>
              <w:ind w:firstLine="0"/>
              <w:jc w:val="center"/>
            </w:pPr>
            <w:r>
              <w:rPr>
                <w:b w:val="0"/>
                <w:i w:val="0"/>
                <w:sz w:val="20"/>
              </w:rPr>
              <w:t>46,0</w:t>
            </w:r>
          </w:p>
        </w:tc>
        <w:tc>
          <w:tcPr>
            <w:tcW w:type="dxa" w:w="907"/>
          </w:tcPr>
          <w:p>
            <w:pPr>
              <w:spacing w:after="0" w:line="240" w:lineRule="auto"/>
              <w:ind w:firstLine="0"/>
              <w:jc w:val="center"/>
            </w:pPr>
            <w:r>
              <w:rPr>
                <w:b w:val="0"/>
                <w:i w:val="0"/>
                <w:sz w:val="20"/>
              </w:rPr>
              <w:t>51,0</w:t>
            </w:r>
          </w:p>
        </w:tc>
        <w:tc>
          <w:tcPr>
            <w:tcW w:type="dxa" w:w="907"/>
          </w:tcPr>
          <w:p>
            <w:pPr>
              <w:spacing w:after="0" w:line="240" w:lineRule="auto"/>
              <w:ind w:firstLine="0"/>
              <w:jc w:val="center"/>
            </w:pPr>
            <w:r>
              <w:rPr>
                <w:b w:val="0"/>
                <w:i w:val="0"/>
                <w:sz w:val="20"/>
              </w:rPr>
              <w:t>89,0</w:t>
            </w:r>
          </w:p>
        </w:tc>
        <w:tc>
          <w:tcPr>
            <w:tcW w:type="dxa" w:w="907"/>
          </w:tcPr>
          <w:p>
            <w:pPr>
              <w:spacing w:after="0" w:line="240" w:lineRule="auto"/>
              <w:ind w:firstLine="0"/>
              <w:jc w:val="center"/>
            </w:pPr>
            <w:r>
              <w:rPr>
                <w:b w:val="0"/>
                <w:i w:val="0"/>
                <w:sz w:val="20"/>
              </w:rPr>
              <w:t>145,0</w:t>
            </w:r>
          </w:p>
        </w:tc>
        <w:tc>
          <w:tcPr>
            <w:tcW w:type="dxa" w:w="907"/>
          </w:tcPr>
          <w:p>
            <w:pPr>
              <w:spacing w:after="0" w:line="240" w:lineRule="auto"/>
              <w:ind w:firstLine="0"/>
              <w:jc w:val="center"/>
            </w:pPr>
            <w:r>
              <w:rPr>
                <w:b w:val="0"/>
                <w:i w:val="0"/>
                <w:sz w:val="20"/>
              </w:rPr>
              <w:t>77,0</w:t>
            </w:r>
          </w:p>
        </w:tc>
        <w:tc>
          <w:tcPr>
            <w:tcW w:type="dxa" w:w="907"/>
          </w:tcPr>
          <w:p>
            <w:pPr>
              <w:spacing w:after="0" w:line="240" w:lineRule="auto"/>
              <w:ind w:firstLine="0"/>
              <w:jc w:val="center"/>
            </w:pPr>
            <w:r>
              <w:rPr>
                <w:b w:val="0"/>
                <w:i w:val="0"/>
                <w:sz w:val="20"/>
              </w:rPr>
              <w:t>61,0</w:t>
            </w:r>
          </w:p>
        </w:tc>
        <w:tc>
          <w:tcPr>
            <w:tcW w:type="dxa" w:w="907"/>
          </w:tcPr>
          <w:p>
            <w:pPr>
              <w:spacing w:after="0" w:line="240" w:lineRule="auto"/>
              <w:ind w:firstLine="0"/>
              <w:jc w:val="center"/>
            </w:pPr>
            <w:r>
              <w:rPr>
                <w:b w:val="0"/>
                <w:i w:val="0"/>
                <w:sz w:val="20"/>
              </w:rPr>
              <w:t>77,0</w:t>
            </w:r>
          </w:p>
        </w:tc>
      </w:tr>
      <w:tr>
        <w:tc>
          <w:tcPr>
            <w:tcW w:type="dxa" w:w="907"/>
          </w:tcPr>
          <w:p>
            <w:pPr>
              <w:spacing w:after="0" w:line="240" w:lineRule="auto"/>
              <w:ind w:firstLine="0"/>
              <w:jc w:val="left"/>
            </w:pPr>
            <w:r>
              <w:rPr>
                <w:b w:val="0"/>
                <w:i w:val="0"/>
                <w:sz w:val="20"/>
              </w:rPr>
              <w:t>Sm₂O₃</w:t>
            </w:r>
          </w:p>
        </w:tc>
        <w:tc>
          <w:tcPr>
            <w:tcW w:type="dxa" w:w="907"/>
          </w:tcPr>
          <w:p>
            <w:pPr>
              <w:spacing w:after="0" w:line="240" w:lineRule="auto"/>
              <w:ind w:firstLine="0"/>
              <w:jc w:val="center"/>
            </w:pPr>
            <w:r>
              <w:rPr>
                <w:b w:val="0"/>
                <w:i w:val="0"/>
                <w:sz w:val="20"/>
              </w:rPr>
              <w:t>2,1</w:t>
            </w:r>
          </w:p>
        </w:tc>
        <w:tc>
          <w:tcPr>
            <w:tcW w:type="dxa" w:w="907"/>
          </w:tcPr>
          <w:p>
            <w:pPr>
              <w:spacing w:after="0" w:line="240" w:lineRule="auto"/>
              <w:ind w:firstLine="0"/>
              <w:jc w:val="center"/>
            </w:pPr>
            <w:r>
              <w:rPr>
                <w:b w:val="0"/>
                <w:i w:val="0"/>
                <w:sz w:val="20"/>
              </w:rPr>
              <w:t>2,2</w:t>
            </w:r>
          </w:p>
        </w:tc>
        <w:tc>
          <w:tcPr>
            <w:tcW w:type="dxa" w:w="907"/>
          </w:tcPr>
          <w:p>
            <w:pPr>
              <w:spacing w:after="0" w:line="240" w:lineRule="auto"/>
              <w:ind w:firstLine="0"/>
              <w:jc w:val="center"/>
            </w:pPr>
            <w:r>
              <w:rPr>
                <w:b w:val="0"/>
                <w:i w:val="0"/>
                <w:sz w:val="20"/>
              </w:rPr>
              <w:t>2,1</w:t>
            </w:r>
          </w:p>
        </w:tc>
        <w:tc>
          <w:tcPr>
            <w:tcW w:type="dxa" w:w="907"/>
          </w:tcPr>
          <w:p>
            <w:pPr>
              <w:spacing w:after="0" w:line="240" w:lineRule="auto"/>
              <w:ind w:firstLine="0"/>
              <w:jc w:val="center"/>
            </w:pPr>
            <w:r>
              <w:rPr>
                <w:b w:val="0"/>
                <w:i w:val="0"/>
                <w:sz w:val="20"/>
              </w:rPr>
              <w:t>2,0</w:t>
            </w:r>
          </w:p>
        </w:tc>
        <w:tc>
          <w:tcPr>
            <w:tcW w:type="dxa" w:w="907"/>
          </w:tcPr>
          <w:p>
            <w:pPr>
              <w:spacing w:after="0" w:line="240" w:lineRule="auto"/>
              <w:ind w:firstLine="0"/>
              <w:jc w:val="center"/>
            </w:pPr>
            <w:r>
              <w:rPr>
                <w:b w:val="0"/>
                <w:i w:val="0"/>
                <w:sz w:val="20"/>
              </w:rPr>
              <w:t>2,1</w:t>
            </w:r>
          </w:p>
        </w:tc>
        <w:tc>
          <w:tcPr>
            <w:tcW w:type="dxa" w:w="907"/>
          </w:tcPr>
          <w:p>
            <w:pPr>
              <w:spacing w:after="0" w:line="240" w:lineRule="auto"/>
              <w:ind w:firstLine="0"/>
              <w:jc w:val="center"/>
            </w:pPr>
            <w:r>
              <w:rPr>
                <w:b w:val="0"/>
                <w:i w:val="0"/>
                <w:sz w:val="20"/>
              </w:rPr>
              <w:t>2,2</w:t>
            </w:r>
          </w:p>
        </w:tc>
        <w:tc>
          <w:tcPr>
            <w:tcW w:type="dxa" w:w="907"/>
          </w:tcPr>
          <w:p>
            <w:pPr>
              <w:spacing w:after="0" w:line="240" w:lineRule="auto"/>
              <w:ind w:firstLine="0"/>
              <w:jc w:val="center"/>
            </w:pPr>
            <w:r>
              <w:rPr>
                <w:b w:val="0"/>
                <w:i w:val="0"/>
                <w:sz w:val="20"/>
              </w:rPr>
              <w:t>2,4</w:t>
            </w:r>
          </w:p>
        </w:tc>
        <w:tc>
          <w:tcPr>
            <w:tcW w:type="dxa" w:w="907"/>
          </w:tcPr>
          <w:p>
            <w:pPr>
              <w:spacing w:after="0" w:line="240" w:lineRule="auto"/>
              <w:ind w:firstLine="0"/>
              <w:jc w:val="center"/>
            </w:pPr>
            <w:r>
              <w:rPr>
                <w:b w:val="0"/>
                <w:i w:val="0"/>
                <w:sz w:val="20"/>
              </w:rPr>
              <w:t>2,1</w:t>
            </w:r>
          </w:p>
        </w:tc>
        <w:tc>
          <w:tcPr>
            <w:tcW w:type="dxa" w:w="907"/>
          </w:tcPr>
          <w:p>
            <w:pPr>
              <w:spacing w:after="0" w:line="240" w:lineRule="auto"/>
              <w:ind w:firstLine="0"/>
              <w:jc w:val="center"/>
            </w:pPr>
            <w:r>
              <w:rPr>
                <w:b w:val="0"/>
                <w:i w:val="0"/>
                <w:sz w:val="20"/>
              </w:rPr>
              <w:t>2,0</w:t>
            </w:r>
          </w:p>
        </w:tc>
        <w:tc>
          <w:tcPr>
            <w:tcW w:type="dxa" w:w="907"/>
          </w:tcPr>
          <w:p>
            <w:pPr>
              <w:spacing w:after="0" w:line="240" w:lineRule="auto"/>
              <w:ind w:firstLine="0"/>
              <w:jc w:val="center"/>
            </w:pPr>
            <w:r>
              <w:rPr>
                <w:b w:val="0"/>
                <w:i w:val="0"/>
                <w:sz w:val="20"/>
              </w:rPr>
              <w:t>12,0</w:t>
            </w:r>
          </w:p>
        </w:tc>
      </w:tr>
      <w:tr>
        <w:tc>
          <w:tcPr>
            <w:tcW w:type="dxa" w:w="907"/>
          </w:tcPr>
          <w:p>
            <w:pPr>
              <w:spacing w:after="0" w:line="240" w:lineRule="auto"/>
              <w:ind w:firstLine="0"/>
              <w:jc w:val="left"/>
            </w:pPr>
            <w:r>
              <w:rPr>
                <w:b w:val="0"/>
                <w:i w:val="0"/>
                <w:sz w:val="20"/>
              </w:rPr>
              <w:t>Eu₂O₃</w:t>
            </w:r>
          </w:p>
        </w:tc>
        <w:tc>
          <w:tcPr>
            <w:tcW w:type="dxa" w:w="907"/>
          </w:tcPr>
          <w:p>
            <w:pPr>
              <w:spacing w:after="0" w:line="240" w:lineRule="auto"/>
              <w:ind w:firstLine="0"/>
              <w:jc w:val="center"/>
            </w:pPr>
            <w:r>
              <w:rPr>
                <w:b w:val="0"/>
                <w:i w:val="0"/>
                <w:sz w:val="20"/>
              </w:rPr>
              <w:t>78,0</w:t>
            </w:r>
          </w:p>
        </w:tc>
        <w:tc>
          <w:tcPr>
            <w:tcW w:type="dxa" w:w="907"/>
          </w:tcPr>
          <w:p>
            <w:pPr>
              <w:spacing w:after="0" w:line="240" w:lineRule="auto"/>
              <w:ind w:firstLine="0"/>
              <w:jc w:val="center"/>
            </w:pPr>
            <w:r>
              <w:rPr>
                <w:b w:val="0"/>
                <w:i w:val="0"/>
                <w:sz w:val="20"/>
              </w:rPr>
              <w:t>52,0</w:t>
            </w:r>
          </w:p>
        </w:tc>
        <w:tc>
          <w:tcPr>
            <w:tcW w:type="dxa" w:w="907"/>
          </w:tcPr>
          <w:p>
            <w:pPr>
              <w:spacing w:after="0" w:line="240" w:lineRule="auto"/>
              <w:ind w:firstLine="0"/>
              <w:jc w:val="center"/>
            </w:pPr>
            <w:r>
              <w:rPr>
                <w:b w:val="0"/>
                <w:i w:val="0"/>
                <w:sz w:val="20"/>
              </w:rPr>
              <w:t>38,0</w:t>
            </w:r>
          </w:p>
        </w:tc>
        <w:tc>
          <w:tcPr>
            <w:tcW w:type="dxa" w:w="907"/>
          </w:tcPr>
          <w:p>
            <w:pPr>
              <w:spacing w:after="0" w:line="240" w:lineRule="auto"/>
              <w:ind w:firstLine="0"/>
              <w:jc w:val="center"/>
            </w:pPr>
            <w:r>
              <w:rPr>
                <w:b w:val="0"/>
                <w:i w:val="0"/>
                <w:sz w:val="20"/>
              </w:rPr>
              <w:t>32,0</w:t>
            </w:r>
          </w:p>
        </w:tc>
        <w:tc>
          <w:tcPr>
            <w:tcW w:type="dxa" w:w="907"/>
          </w:tcPr>
          <w:p>
            <w:pPr>
              <w:spacing w:after="0" w:line="240" w:lineRule="auto"/>
              <w:ind w:firstLine="0"/>
              <w:jc w:val="center"/>
            </w:pPr>
            <w:r>
              <w:rPr>
                <w:b w:val="0"/>
                <w:i w:val="0"/>
                <w:sz w:val="20"/>
              </w:rPr>
              <w:t>30,0</w:t>
            </w:r>
          </w:p>
        </w:tc>
        <w:tc>
          <w:tcPr>
            <w:tcW w:type="dxa" w:w="907"/>
          </w:tcPr>
          <w:p>
            <w:pPr>
              <w:spacing w:after="0" w:line="240" w:lineRule="auto"/>
              <w:ind w:firstLine="0"/>
              <w:jc w:val="center"/>
            </w:pPr>
            <w:r>
              <w:rPr>
                <w:b w:val="0"/>
                <w:i w:val="0"/>
                <w:sz w:val="20"/>
              </w:rPr>
              <w:t>30,0</w:t>
            </w:r>
          </w:p>
        </w:tc>
        <w:tc>
          <w:tcPr>
            <w:tcW w:type="dxa" w:w="907"/>
          </w:tcPr>
          <w:p>
            <w:pPr>
              <w:spacing w:after="0" w:line="240" w:lineRule="auto"/>
              <w:ind w:firstLine="0"/>
              <w:jc w:val="center"/>
            </w:pPr>
            <w:r>
              <w:rPr>
                <w:b w:val="0"/>
                <w:i w:val="0"/>
                <w:sz w:val="20"/>
              </w:rPr>
              <w:t>32,0</w:t>
            </w:r>
          </w:p>
        </w:tc>
        <w:tc>
          <w:tcPr>
            <w:tcW w:type="dxa" w:w="907"/>
          </w:tcPr>
          <w:p>
            <w:pPr>
              <w:spacing w:after="0" w:line="240" w:lineRule="auto"/>
              <w:ind w:firstLine="0"/>
              <w:jc w:val="center"/>
            </w:pPr>
            <w:r>
              <w:rPr>
                <w:b w:val="0"/>
                <w:i w:val="0"/>
                <w:sz w:val="20"/>
              </w:rPr>
              <w:t>28,0</w:t>
            </w:r>
          </w:p>
        </w:tc>
        <w:tc>
          <w:tcPr>
            <w:tcW w:type="dxa" w:w="907"/>
          </w:tcPr>
          <w:p>
            <w:pPr>
              <w:spacing w:after="0" w:line="240" w:lineRule="auto"/>
              <w:ind w:firstLine="0"/>
              <w:jc w:val="center"/>
            </w:pPr>
            <w:r>
              <w:rPr>
                <w:b w:val="0"/>
                <w:i w:val="0"/>
                <w:sz w:val="20"/>
              </w:rPr>
              <w:t>26,0</w:t>
            </w:r>
          </w:p>
        </w:tc>
        <w:tc>
          <w:tcPr>
            <w:tcW w:type="dxa" w:w="907"/>
          </w:tcPr>
          <w:p>
            <w:pPr>
              <w:spacing w:after="0" w:line="240" w:lineRule="auto"/>
              <w:ind w:firstLine="0"/>
              <w:jc w:val="center"/>
            </w:pPr>
            <w:r>
              <w:rPr>
                <w:b w:val="0"/>
                <w:i w:val="0"/>
                <w:sz w:val="20"/>
              </w:rPr>
              <w:t>31,0</w:t>
            </w:r>
          </w:p>
        </w:tc>
      </w:tr>
      <w:tr>
        <w:tc>
          <w:tcPr>
            <w:tcW w:type="dxa" w:w="907"/>
          </w:tcPr>
          <w:p>
            <w:pPr>
              <w:spacing w:after="0" w:line="240" w:lineRule="auto"/>
              <w:ind w:firstLine="0"/>
              <w:jc w:val="left"/>
            </w:pPr>
            <w:r>
              <w:rPr>
                <w:b w:val="0"/>
                <w:i w:val="0"/>
                <w:sz w:val="20"/>
              </w:rPr>
              <w:t>Gd₂O₃</w:t>
            </w:r>
          </w:p>
        </w:tc>
        <w:tc>
          <w:tcPr>
            <w:tcW w:type="dxa" w:w="907"/>
          </w:tcPr>
          <w:p>
            <w:pPr>
              <w:spacing w:after="0" w:line="240" w:lineRule="auto"/>
              <w:ind w:firstLine="0"/>
              <w:jc w:val="center"/>
            </w:pPr>
            <w:r>
              <w:rPr>
                <w:b w:val="0"/>
                <w:i w:val="0"/>
                <w:sz w:val="20"/>
              </w:rPr>
              <w:t>8,5</w:t>
            </w:r>
          </w:p>
        </w:tc>
        <w:tc>
          <w:tcPr>
            <w:tcW w:type="dxa" w:w="907"/>
          </w:tcPr>
          <w:p>
            <w:pPr>
              <w:spacing w:after="0" w:line="240" w:lineRule="auto"/>
              <w:ind w:firstLine="0"/>
              <w:jc w:val="center"/>
            </w:pPr>
            <w:r>
              <w:rPr>
                <w:b w:val="0"/>
                <w:i w:val="0"/>
                <w:sz w:val="20"/>
              </w:rPr>
              <w:t>12,0</w:t>
            </w:r>
          </w:p>
        </w:tc>
        <w:tc>
          <w:tcPr>
            <w:tcW w:type="dxa" w:w="907"/>
          </w:tcPr>
          <w:p>
            <w:pPr>
              <w:spacing w:after="0" w:line="240" w:lineRule="auto"/>
              <w:ind w:firstLine="0"/>
              <w:jc w:val="center"/>
            </w:pPr>
            <w:r>
              <w:rPr>
                <w:b w:val="0"/>
                <w:i w:val="0"/>
                <w:sz w:val="20"/>
              </w:rPr>
              <w:t>18,0</w:t>
            </w:r>
          </w:p>
        </w:tc>
        <w:tc>
          <w:tcPr>
            <w:tcW w:type="dxa" w:w="907"/>
          </w:tcPr>
          <w:p>
            <w:pPr>
              <w:spacing w:after="0" w:line="240" w:lineRule="auto"/>
              <w:ind w:firstLine="0"/>
              <w:jc w:val="center"/>
            </w:pPr>
            <w:r>
              <w:rPr>
                <w:b w:val="0"/>
                <w:i w:val="0"/>
                <w:sz w:val="20"/>
              </w:rPr>
              <w:t>22,0</w:t>
            </w:r>
          </w:p>
        </w:tc>
        <w:tc>
          <w:tcPr>
            <w:tcW w:type="dxa" w:w="907"/>
          </w:tcPr>
          <w:p>
            <w:pPr>
              <w:spacing w:after="0" w:line="240" w:lineRule="auto"/>
              <w:ind w:firstLine="0"/>
              <w:jc w:val="center"/>
            </w:pPr>
            <w:r>
              <w:rPr>
                <w:b w:val="0"/>
                <w:i w:val="0"/>
                <w:sz w:val="20"/>
              </w:rPr>
              <w:t>26,0</w:t>
            </w:r>
          </w:p>
        </w:tc>
        <w:tc>
          <w:tcPr>
            <w:tcW w:type="dxa" w:w="907"/>
          </w:tcPr>
          <w:p>
            <w:pPr>
              <w:spacing w:after="0" w:line="240" w:lineRule="auto"/>
              <w:ind w:firstLine="0"/>
              <w:jc w:val="center"/>
            </w:pPr>
            <w:r>
              <w:rPr>
                <w:b w:val="0"/>
                <w:i w:val="0"/>
                <w:sz w:val="20"/>
              </w:rPr>
              <w:t>42,0</w:t>
            </w:r>
          </w:p>
        </w:tc>
        <w:tc>
          <w:tcPr>
            <w:tcW w:type="dxa" w:w="907"/>
          </w:tcPr>
          <w:p>
            <w:pPr>
              <w:spacing w:after="0" w:line="240" w:lineRule="auto"/>
              <w:ind w:firstLine="0"/>
              <w:jc w:val="center"/>
            </w:pPr>
            <w:r>
              <w:rPr>
                <w:b w:val="0"/>
                <w:i w:val="0"/>
                <w:sz w:val="20"/>
              </w:rPr>
              <w:t>48,0</w:t>
            </w:r>
          </w:p>
        </w:tc>
        <w:tc>
          <w:tcPr>
            <w:tcW w:type="dxa" w:w="907"/>
          </w:tcPr>
          <w:p>
            <w:pPr>
              <w:spacing w:after="0" w:line="240" w:lineRule="auto"/>
              <w:ind w:firstLine="0"/>
              <w:jc w:val="center"/>
            </w:pPr>
            <w:r>
              <w:rPr>
                <w:b w:val="0"/>
                <w:i w:val="0"/>
                <w:sz w:val="20"/>
              </w:rPr>
              <w:t>36,0</w:t>
            </w:r>
          </w:p>
        </w:tc>
        <w:tc>
          <w:tcPr>
            <w:tcW w:type="dxa" w:w="907"/>
          </w:tcPr>
          <w:p>
            <w:pPr>
              <w:spacing w:after="0" w:line="240" w:lineRule="auto"/>
              <w:ind w:firstLine="0"/>
              <w:jc w:val="center"/>
            </w:pPr>
            <w:r>
              <w:rPr>
                <w:b w:val="0"/>
                <w:i w:val="0"/>
                <w:sz w:val="20"/>
              </w:rPr>
              <w:t>32,0</w:t>
            </w:r>
          </w:p>
        </w:tc>
        <w:tc>
          <w:tcPr>
            <w:tcW w:type="dxa" w:w="907"/>
          </w:tcPr>
          <w:p>
            <w:pPr>
              <w:spacing w:after="0" w:line="240" w:lineRule="auto"/>
              <w:ind w:firstLine="0"/>
              <w:jc w:val="center"/>
            </w:pPr>
            <w:r>
              <w:rPr>
                <w:b w:val="0"/>
                <w:i w:val="0"/>
                <w:sz w:val="20"/>
              </w:rPr>
              <w:t>62,0</w:t>
            </w:r>
          </w:p>
        </w:tc>
      </w:tr>
      <w:tr>
        <w:tc>
          <w:tcPr>
            <w:tcW w:type="dxa" w:w="907"/>
          </w:tcPr>
          <w:p>
            <w:pPr>
              <w:spacing w:after="0" w:line="240" w:lineRule="auto"/>
              <w:ind w:firstLine="0"/>
              <w:jc w:val="left"/>
            </w:pPr>
            <w:r>
              <w:rPr>
                <w:b w:val="0"/>
                <w:i w:val="0"/>
                <w:sz w:val="20"/>
              </w:rPr>
              <w:t>Tb₄O₇</w:t>
            </w:r>
          </w:p>
        </w:tc>
        <w:tc>
          <w:tcPr>
            <w:tcW w:type="dxa" w:w="907"/>
          </w:tcPr>
          <w:p>
            <w:pPr>
              <w:spacing w:after="0" w:line="240" w:lineRule="auto"/>
              <w:ind w:firstLine="0"/>
              <w:jc w:val="center"/>
            </w:pPr>
            <w:r>
              <w:rPr>
                <w:b w:val="0"/>
                <w:i w:val="0"/>
                <w:sz w:val="20"/>
              </w:rPr>
              <w:t>420,0</w:t>
            </w:r>
          </w:p>
        </w:tc>
        <w:tc>
          <w:tcPr>
            <w:tcW w:type="dxa" w:w="907"/>
          </w:tcPr>
          <w:p>
            <w:pPr>
              <w:spacing w:after="0" w:line="240" w:lineRule="auto"/>
              <w:ind w:firstLine="0"/>
              <w:jc w:val="center"/>
            </w:pPr>
            <w:r>
              <w:rPr>
                <w:b w:val="0"/>
                <w:i w:val="0"/>
                <w:sz w:val="20"/>
              </w:rPr>
              <w:t>480,0</w:t>
            </w:r>
          </w:p>
        </w:tc>
        <w:tc>
          <w:tcPr>
            <w:tcW w:type="dxa" w:w="907"/>
          </w:tcPr>
          <w:p>
            <w:pPr>
              <w:spacing w:after="0" w:line="240" w:lineRule="auto"/>
              <w:ind w:firstLine="0"/>
              <w:jc w:val="center"/>
            </w:pPr>
            <w:r>
              <w:rPr>
                <w:b w:val="0"/>
                <w:i w:val="0"/>
                <w:sz w:val="20"/>
              </w:rPr>
              <w:t>490,0</w:t>
            </w:r>
          </w:p>
        </w:tc>
        <w:tc>
          <w:tcPr>
            <w:tcW w:type="dxa" w:w="907"/>
          </w:tcPr>
          <w:p>
            <w:pPr>
              <w:spacing w:after="0" w:line="240" w:lineRule="auto"/>
              <w:ind w:firstLine="0"/>
              <w:jc w:val="center"/>
            </w:pPr>
            <w:r>
              <w:rPr>
                <w:b w:val="0"/>
                <w:i w:val="0"/>
                <w:sz w:val="20"/>
              </w:rPr>
              <w:t>520,0</w:t>
            </w:r>
          </w:p>
        </w:tc>
        <w:tc>
          <w:tcPr>
            <w:tcW w:type="dxa" w:w="907"/>
          </w:tcPr>
          <w:p>
            <w:pPr>
              <w:spacing w:after="0" w:line="240" w:lineRule="auto"/>
              <w:ind w:firstLine="0"/>
              <w:jc w:val="center"/>
            </w:pPr>
            <w:r>
              <w:rPr>
                <w:b w:val="0"/>
                <w:i w:val="0"/>
                <w:sz w:val="20"/>
              </w:rPr>
              <w:t>680,0</w:t>
            </w:r>
          </w:p>
        </w:tc>
        <w:tc>
          <w:tcPr>
            <w:tcW w:type="dxa" w:w="907"/>
          </w:tcPr>
          <w:p>
            <w:pPr>
              <w:spacing w:after="0" w:line="240" w:lineRule="auto"/>
              <w:ind w:firstLine="0"/>
              <w:jc w:val="center"/>
            </w:pPr>
            <w:r>
              <w:rPr>
                <w:b w:val="0"/>
                <w:i w:val="0"/>
                <w:sz w:val="20"/>
              </w:rPr>
              <w:t>1 350,0</w:t>
            </w:r>
          </w:p>
        </w:tc>
        <w:tc>
          <w:tcPr>
            <w:tcW w:type="dxa" w:w="907"/>
          </w:tcPr>
          <w:p>
            <w:pPr>
              <w:spacing w:after="0" w:line="240" w:lineRule="auto"/>
              <w:ind w:firstLine="0"/>
              <w:jc w:val="center"/>
            </w:pPr>
            <w:r>
              <w:rPr>
                <w:b w:val="0"/>
                <w:i w:val="0"/>
                <w:sz w:val="20"/>
              </w:rPr>
              <w:t>1 950,0</w:t>
            </w:r>
          </w:p>
        </w:tc>
        <w:tc>
          <w:tcPr>
            <w:tcW w:type="dxa" w:w="907"/>
          </w:tcPr>
          <w:p>
            <w:pPr>
              <w:spacing w:after="0" w:line="240" w:lineRule="auto"/>
              <w:ind w:firstLine="0"/>
              <w:jc w:val="center"/>
            </w:pPr>
            <w:r>
              <w:rPr>
                <w:b w:val="0"/>
                <w:i w:val="0"/>
                <w:sz w:val="20"/>
              </w:rPr>
              <w:t>1 020,0</w:t>
            </w:r>
          </w:p>
        </w:tc>
        <w:tc>
          <w:tcPr>
            <w:tcW w:type="dxa" w:w="907"/>
          </w:tcPr>
          <w:p>
            <w:pPr>
              <w:spacing w:after="0" w:line="240" w:lineRule="auto"/>
              <w:ind w:firstLine="0"/>
              <w:jc w:val="center"/>
            </w:pPr>
            <w:r>
              <w:rPr>
                <w:b w:val="0"/>
                <w:i w:val="0"/>
                <w:sz w:val="20"/>
              </w:rPr>
              <w:t>830,0</w:t>
            </w:r>
          </w:p>
        </w:tc>
        <w:tc>
          <w:tcPr>
            <w:tcW w:type="dxa" w:w="907"/>
          </w:tcPr>
          <w:p>
            <w:pPr>
              <w:spacing w:after="0" w:line="240" w:lineRule="auto"/>
              <w:ind w:firstLine="0"/>
              <w:jc w:val="center"/>
            </w:pPr>
            <w:r>
              <w:rPr>
                <w:b w:val="0"/>
                <w:i w:val="0"/>
                <w:sz w:val="20"/>
              </w:rPr>
              <w:t>1 150,0</w:t>
            </w:r>
          </w:p>
        </w:tc>
      </w:tr>
      <w:tr>
        <w:tc>
          <w:tcPr>
            <w:tcW w:type="dxa" w:w="907"/>
          </w:tcPr>
          <w:p>
            <w:pPr>
              <w:spacing w:after="0" w:line="240" w:lineRule="auto"/>
              <w:ind w:firstLine="0"/>
              <w:jc w:val="left"/>
            </w:pPr>
            <w:r>
              <w:rPr>
                <w:b w:val="0"/>
                <w:i w:val="0"/>
                <w:sz w:val="20"/>
              </w:rPr>
              <w:t>Dy₂O₃</w:t>
            </w:r>
          </w:p>
        </w:tc>
        <w:tc>
          <w:tcPr>
            <w:tcW w:type="dxa" w:w="907"/>
          </w:tcPr>
          <w:p>
            <w:pPr>
              <w:spacing w:after="0" w:line="240" w:lineRule="auto"/>
              <w:ind w:firstLine="0"/>
              <w:jc w:val="center"/>
            </w:pPr>
            <w:r>
              <w:rPr>
                <w:b w:val="0"/>
                <w:i w:val="0"/>
                <w:sz w:val="20"/>
              </w:rPr>
              <w:t>190,0</w:t>
            </w:r>
          </w:p>
        </w:tc>
        <w:tc>
          <w:tcPr>
            <w:tcW w:type="dxa" w:w="907"/>
          </w:tcPr>
          <w:p>
            <w:pPr>
              <w:spacing w:after="0" w:line="240" w:lineRule="auto"/>
              <w:ind w:firstLine="0"/>
              <w:jc w:val="center"/>
            </w:pPr>
            <w:r>
              <w:rPr>
                <w:b w:val="0"/>
                <w:i w:val="0"/>
                <w:sz w:val="20"/>
              </w:rPr>
              <w:t>175,0</w:t>
            </w:r>
          </w:p>
        </w:tc>
        <w:tc>
          <w:tcPr>
            <w:tcW w:type="dxa" w:w="907"/>
          </w:tcPr>
          <w:p>
            <w:pPr>
              <w:spacing w:after="0" w:line="240" w:lineRule="auto"/>
              <w:ind w:firstLine="0"/>
              <w:jc w:val="center"/>
            </w:pPr>
            <w:r>
              <w:rPr>
                <w:b w:val="0"/>
                <w:i w:val="0"/>
                <w:sz w:val="20"/>
              </w:rPr>
              <w:t>190,0</w:t>
            </w:r>
          </w:p>
        </w:tc>
        <w:tc>
          <w:tcPr>
            <w:tcW w:type="dxa" w:w="907"/>
          </w:tcPr>
          <w:p>
            <w:pPr>
              <w:spacing w:after="0" w:line="240" w:lineRule="auto"/>
              <w:ind w:firstLine="0"/>
              <w:jc w:val="center"/>
            </w:pPr>
            <w:r>
              <w:rPr>
                <w:b w:val="0"/>
                <w:i w:val="0"/>
                <w:sz w:val="20"/>
              </w:rPr>
              <w:t>245,0</w:t>
            </w:r>
          </w:p>
        </w:tc>
        <w:tc>
          <w:tcPr>
            <w:tcW w:type="dxa" w:w="907"/>
          </w:tcPr>
          <w:p>
            <w:pPr>
              <w:spacing w:after="0" w:line="240" w:lineRule="auto"/>
              <w:ind w:firstLine="0"/>
              <w:jc w:val="center"/>
            </w:pPr>
            <w:r>
              <w:rPr>
                <w:b w:val="0"/>
                <w:i w:val="0"/>
                <w:sz w:val="20"/>
              </w:rPr>
              <w:t>265,0</w:t>
            </w:r>
          </w:p>
        </w:tc>
        <w:tc>
          <w:tcPr>
            <w:tcW w:type="dxa" w:w="907"/>
          </w:tcPr>
          <w:p>
            <w:pPr>
              <w:spacing w:after="0" w:line="240" w:lineRule="auto"/>
              <w:ind w:firstLine="0"/>
              <w:jc w:val="center"/>
            </w:pPr>
            <w:r>
              <w:rPr>
                <w:b w:val="0"/>
                <w:i w:val="0"/>
                <w:sz w:val="20"/>
              </w:rPr>
              <w:t>400,0</w:t>
            </w:r>
          </w:p>
        </w:tc>
        <w:tc>
          <w:tcPr>
            <w:tcW w:type="dxa" w:w="907"/>
          </w:tcPr>
          <w:p>
            <w:pPr>
              <w:spacing w:after="0" w:line="240" w:lineRule="auto"/>
              <w:ind w:firstLine="0"/>
              <w:jc w:val="center"/>
            </w:pPr>
            <w:r>
              <w:rPr>
                <w:b w:val="0"/>
                <w:i w:val="0"/>
                <w:sz w:val="20"/>
              </w:rPr>
              <w:t>400,0</w:t>
            </w:r>
          </w:p>
        </w:tc>
        <w:tc>
          <w:tcPr>
            <w:tcW w:type="dxa" w:w="907"/>
          </w:tcPr>
          <w:p>
            <w:pPr>
              <w:spacing w:after="0" w:line="240" w:lineRule="auto"/>
              <w:ind w:firstLine="0"/>
              <w:jc w:val="center"/>
            </w:pPr>
            <w:r>
              <w:rPr>
                <w:b w:val="0"/>
                <w:i w:val="0"/>
                <w:sz w:val="20"/>
              </w:rPr>
              <w:t>300,0</w:t>
            </w:r>
          </w:p>
        </w:tc>
        <w:tc>
          <w:tcPr>
            <w:tcW w:type="dxa" w:w="907"/>
          </w:tcPr>
          <w:p>
            <w:pPr>
              <w:spacing w:after="0" w:line="240" w:lineRule="auto"/>
              <w:ind w:firstLine="0"/>
              <w:jc w:val="center"/>
            </w:pPr>
            <w:r>
              <w:rPr>
                <w:b w:val="0"/>
                <w:i w:val="0"/>
                <w:sz w:val="20"/>
              </w:rPr>
              <w:t>245,0</w:t>
            </w:r>
          </w:p>
        </w:tc>
        <w:tc>
          <w:tcPr>
            <w:tcW w:type="dxa" w:w="907"/>
          </w:tcPr>
          <w:p>
            <w:pPr>
              <w:spacing w:after="0" w:line="240" w:lineRule="auto"/>
              <w:ind w:firstLine="0"/>
              <w:jc w:val="center"/>
            </w:pPr>
            <w:r>
              <w:rPr>
                <w:b w:val="0"/>
                <w:i w:val="0"/>
                <w:sz w:val="20"/>
              </w:rPr>
              <w:t>340,0</w:t>
            </w:r>
          </w:p>
        </w:tc>
      </w:tr>
      <w:tr>
        <w:tc>
          <w:tcPr>
            <w:tcW w:type="dxa" w:w="907"/>
          </w:tcPr>
          <w:p>
            <w:pPr>
              <w:spacing w:after="0" w:line="240" w:lineRule="auto"/>
              <w:ind w:firstLine="0"/>
              <w:jc w:val="left"/>
            </w:pPr>
            <w:r>
              <w:rPr>
                <w:b w:val="0"/>
                <w:i w:val="0"/>
                <w:sz w:val="20"/>
              </w:rPr>
              <w:t>Y₂O₃</w:t>
            </w:r>
          </w:p>
        </w:tc>
        <w:tc>
          <w:tcPr>
            <w:tcW w:type="dxa" w:w="907"/>
          </w:tcPr>
          <w:p>
            <w:pPr>
              <w:spacing w:after="0" w:line="240" w:lineRule="auto"/>
              <w:ind w:firstLine="0"/>
              <w:jc w:val="center"/>
            </w:pPr>
            <w:r>
              <w:rPr>
                <w:b w:val="0"/>
                <w:i w:val="0"/>
                <w:sz w:val="20"/>
              </w:rPr>
              <w:t>4,2</w:t>
            </w:r>
          </w:p>
        </w:tc>
        <w:tc>
          <w:tcPr>
            <w:tcW w:type="dxa" w:w="907"/>
          </w:tcPr>
          <w:p>
            <w:pPr>
              <w:spacing w:after="0" w:line="240" w:lineRule="auto"/>
              <w:ind w:firstLine="0"/>
              <w:jc w:val="center"/>
            </w:pPr>
            <w:r>
              <w:rPr>
                <w:b w:val="0"/>
                <w:i w:val="0"/>
                <w:sz w:val="20"/>
              </w:rPr>
              <w:t>3,8</w:t>
            </w:r>
          </w:p>
        </w:tc>
        <w:tc>
          <w:tcPr>
            <w:tcW w:type="dxa" w:w="907"/>
          </w:tcPr>
          <w:p>
            <w:pPr>
              <w:spacing w:after="0" w:line="240" w:lineRule="auto"/>
              <w:ind w:firstLine="0"/>
              <w:jc w:val="center"/>
            </w:pPr>
            <w:r>
              <w:rPr>
                <w:b w:val="0"/>
                <w:i w:val="0"/>
                <w:sz w:val="20"/>
              </w:rPr>
              <w:t>3,6</w:t>
            </w:r>
          </w:p>
        </w:tc>
        <w:tc>
          <w:tcPr>
            <w:tcW w:type="dxa" w:w="907"/>
          </w:tcPr>
          <w:p>
            <w:pPr>
              <w:spacing w:after="0" w:line="240" w:lineRule="auto"/>
              <w:ind w:firstLine="0"/>
              <w:jc w:val="center"/>
            </w:pPr>
            <w:r>
              <w:rPr>
                <w:b w:val="0"/>
                <w:i w:val="0"/>
                <w:sz w:val="20"/>
              </w:rPr>
              <w:t>4,0</w:t>
            </w:r>
          </w:p>
        </w:tc>
        <w:tc>
          <w:tcPr>
            <w:tcW w:type="dxa" w:w="907"/>
          </w:tcPr>
          <w:p>
            <w:pPr>
              <w:spacing w:after="0" w:line="240" w:lineRule="auto"/>
              <w:ind w:firstLine="0"/>
              <w:jc w:val="center"/>
            </w:pPr>
            <w:r>
              <w:rPr>
                <w:b w:val="0"/>
                <w:i w:val="0"/>
                <w:sz w:val="20"/>
              </w:rPr>
              <w:t>4,5</w:t>
            </w:r>
          </w:p>
        </w:tc>
        <w:tc>
          <w:tcPr>
            <w:tcW w:type="dxa" w:w="907"/>
          </w:tcPr>
          <w:p>
            <w:pPr>
              <w:spacing w:after="0" w:line="240" w:lineRule="auto"/>
              <w:ind w:firstLine="0"/>
              <w:jc w:val="center"/>
            </w:pPr>
            <w:r>
              <w:rPr>
                <w:b w:val="0"/>
                <w:i w:val="0"/>
                <w:sz w:val="20"/>
              </w:rPr>
              <w:t>8,0</w:t>
            </w:r>
          </w:p>
        </w:tc>
        <w:tc>
          <w:tcPr>
            <w:tcW w:type="dxa" w:w="907"/>
          </w:tcPr>
          <w:p>
            <w:pPr>
              <w:spacing w:after="0" w:line="240" w:lineRule="auto"/>
              <w:ind w:firstLine="0"/>
              <w:jc w:val="center"/>
            </w:pPr>
            <w:r>
              <w:rPr>
                <w:b w:val="0"/>
                <w:i w:val="0"/>
                <w:sz w:val="20"/>
              </w:rPr>
              <w:t>9,5</w:t>
            </w:r>
          </w:p>
        </w:tc>
        <w:tc>
          <w:tcPr>
            <w:tcW w:type="dxa" w:w="907"/>
          </w:tcPr>
          <w:p>
            <w:pPr>
              <w:spacing w:after="0" w:line="240" w:lineRule="auto"/>
              <w:ind w:firstLine="0"/>
              <w:jc w:val="center"/>
            </w:pPr>
            <w:r>
              <w:rPr>
                <w:b w:val="0"/>
                <w:i w:val="0"/>
                <w:sz w:val="20"/>
              </w:rPr>
              <w:t>7,5</w:t>
            </w:r>
          </w:p>
        </w:tc>
        <w:tc>
          <w:tcPr>
            <w:tcW w:type="dxa" w:w="907"/>
          </w:tcPr>
          <w:p>
            <w:pPr>
              <w:spacing w:after="0" w:line="240" w:lineRule="auto"/>
              <w:ind w:firstLine="0"/>
              <w:jc w:val="center"/>
            </w:pPr>
            <w:r>
              <w:rPr>
                <w:b w:val="0"/>
                <w:i w:val="0"/>
                <w:sz w:val="20"/>
              </w:rPr>
              <w:t>7,0</w:t>
            </w:r>
          </w:p>
        </w:tc>
        <w:tc>
          <w:tcPr>
            <w:tcW w:type="dxa" w:w="907"/>
          </w:tcPr>
          <w:p>
            <w:pPr>
              <w:spacing w:after="0" w:line="240" w:lineRule="auto"/>
              <w:ind w:firstLine="0"/>
              <w:jc w:val="center"/>
            </w:pPr>
            <w:r>
              <w:rPr>
                <w:b w:val="0"/>
                <w:i w:val="0"/>
                <w:sz w:val="20"/>
              </w:rPr>
              <w:t>14,0</w:t>
            </w:r>
          </w:p>
        </w:tc>
      </w:tr>
      <w:tr>
        <w:tc>
          <w:tcPr>
            <w:tcW w:type="dxa" w:w="907"/>
          </w:tcPr>
          <w:p>
            <w:pPr>
              <w:spacing w:after="0" w:line="240" w:lineRule="auto"/>
              <w:ind w:firstLine="0"/>
              <w:jc w:val="left"/>
            </w:pPr>
            <w:r>
              <w:rPr>
                <w:b w:val="0"/>
                <w:i w:val="0"/>
                <w:sz w:val="20"/>
              </w:rPr>
              <w:t>Sc₂O₃</w:t>
            </w:r>
          </w:p>
        </w:tc>
        <w:tc>
          <w:tcPr>
            <w:tcW w:type="dxa" w:w="907"/>
          </w:tcPr>
          <w:p>
            <w:pPr>
              <w:spacing w:after="0" w:line="240" w:lineRule="auto"/>
              <w:ind w:firstLine="0"/>
              <w:jc w:val="center"/>
            </w:pPr>
            <w:r>
              <w:rPr>
                <w:b w:val="0"/>
                <w:i w:val="0"/>
                <w:sz w:val="20"/>
              </w:rPr>
              <w:t>2 900</w:t>
            </w:r>
          </w:p>
        </w:tc>
        <w:tc>
          <w:tcPr>
            <w:tcW w:type="dxa" w:w="907"/>
          </w:tcPr>
          <w:p>
            <w:pPr>
              <w:spacing w:after="0" w:line="240" w:lineRule="auto"/>
              <w:ind w:firstLine="0"/>
              <w:jc w:val="center"/>
            </w:pPr>
            <w:r>
              <w:rPr>
                <w:b w:val="0"/>
                <w:i w:val="0"/>
                <w:sz w:val="20"/>
              </w:rPr>
              <w:t>2 400</w:t>
            </w:r>
          </w:p>
        </w:tc>
        <w:tc>
          <w:tcPr>
            <w:tcW w:type="dxa" w:w="907"/>
          </w:tcPr>
          <w:p>
            <w:pPr>
              <w:spacing w:after="0" w:line="240" w:lineRule="auto"/>
              <w:ind w:firstLine="0"/>
              <w:jc w:val="center"/>
            </w:pPr>
            <w:r>
              <w:rPr>
                <w:b w:val="0"/>
                <w:i w:val="0"/>
                <w:sz w:val="20"/>
              </w:rPr>
              <w:t>2 100</w:t>
            </w:r>
          </w:p>
        </w:tc>
        <w:tc>
          <w:tcPr>
            <w:tcW w:type="dxa" w:w="907"/>
          </w:tcPr>
          <w:p>
            <w:pPr>
              <w:spacing w:after="0" w:line="240" w:lineRule="auto"/>
              <w:ind w:firstLine="0"/>
              <w:jc w:val="center"/>
            </w:pPr>
            <w:r>
              <w:rPr>
                <w:b w:val="0"/>
                <w:i w:val="0"/>
                <w:sz w:val="20"/>
              </w:rPr>
              <w:t>1 900</w:t>
            </w:r>
          </w:p>
        </w:tc>
        <w:tc>
          <w:tcPr>
            <w:tcW w:type="dxa" w:w="907"/>
          </w:tcPr>
          <w:p>
            <w:pPr>
              <w:spacing w:after="0" w:line="240" w:lineRule="auto"/>
              <w:ind w:firstLine="0"/>
              <w:jc w:val="center"/>
            </w:pPr>
            <w:r>
              <w:rPr>
                <w:b w:val="0"/>
                <w:i w:val="0"/>
                <w:sz w:val="20"/>
              </w:rPr>
              <w:t>1 700</w:t>
            </w:r>
          </w:p>
        </w:tc>
        <w:tc>
          <w:tcPr>
            <w:tcW w:type="dxa" w:w="907"/>
          </w:tcPr>
          <w:p>
            <w:pPr>
              <w:spacing w:after="0" w:line="240" w:lineRule="auto"/>
              <w:ind w:firstLine="0"/>
              <w:jc w:val="center"/>
            </w:pPr>
            <w:r>
              <w:rPr>
                <w:b w:val="0"/>
                <w:i w:val="0"/>
                <w:sz w:val="20"/>
              </w:rPr>
              <w:t>1 500</w:t>
            </w:r>
          </w:p>
        </w:tc>
        <w:tc>
          <w:tcPr>
            <w:tcW w:type="dxa" w:w="907"/>
          </w:tcPr>
          <w:p>
            <w:pPr>
              <w:spacing w:after="0" w:line="240" w:lineRule="auto"/>
              <w:ind w:firstLine="0"/>
              <w:jc w:val="center"/>
            </w:pPr>
            <w:r>
              <w:rPr>
                <w:b w:val="0"/>
                <w:i w:val="0"/>
                <w:sz w:val="20"/>
              </w:rPr>
              <w:t>1 400</w:t>
            </w:r>
          </w:p>
        </w:tc>
        <w:tc>
          <w:tcPr>
            <w:tcW w:type="dxa" w:w="907"/>
          </w:tcPr>
          <w:p>
            <w:pPr>
              <w:spacing w:after="0" w:line="240" w:lineRule="auto"/>
              <w:ind w:firstLine="0"/>
              <w:jc w:val="center"/>
            </w:pPr>
            <w:r>
              <w:rPr>
                <w:b w:val="0"/>
                <w:i w:val="0"/>
                <w:sz w:val="20"/>
              </w:rPr>
              <w:t>1 250</w:t>
            </w:r>
          </w:p>
        </w:tc>
        <w:tc>
          <w:tcPr>
            <w:tcW w:type="dxa" w:w="907"/>
          </w:tcPr>
          <w:p>
            <w:pPr>
              <w:spacing w:after="0" w:line="240" w:lineRule="auto"/>
              <w:ind w:firstLine="0"/>
              <w:jc w:val="center"/>
            </w:pPr>
            <w:r>
              <w:rPr>
                <w:b w:val="0"/>
                <w:i w:val="0"/>
                <w:sz w:val="20"/>
              </w:rPr>
              <w:t>1 150</w:t>
            </w:r>
          </w:p>
        </w:tc>
        <w:tc>
          <w:tcPr>
            <w:tcW w:type="dxa" w:w="907"/>
          </w:tcPr>
          <w:p>
            <w:pPr>
              <w:spacing w:after="0" w:line="240" w:lineRule="auto"/>
              <w:ind w:firstLine="0"/>
              <w:jc w:val="center"/>
            </w:pPr>
            <w:r>
              <w:rPr>
                <w:b w:val="0"/>
                <w:i w:val="0"/>
                <w:sz w:val="20"/>
              </w:rPr>
              <w:t>1 900</w:t>
            </w:r>
          </w:p>
        </w:tc>
      </w:tr>
    </w:tbl>
    <w:p>
      <w:pPr>
        <w:spacing w:after="180"/>
        <w:ind w:firstLine="0"/>
      </w:pPr>
      <w:r>
        <w:rPr>
          <w:i/>
          <w:sz w:val="20"/>
        </w:rPr>
        <w:t>Источник: аналитический центр по данным ценовых агентств</w:t>
      </w:r>
    </w:p>
    <w:p>
      <w:pPr>
        <w:keepNext/>
        <w:spacing w:before="160" w:after="60"/>
        <w:ind w:firstLine="0"/>
        <w:jc w:val="left"/>
      </w:pPr>
      <w:r>
        <w:rPr>
          <w:b/>
          <w:sz w:val="22"/>
        </w:rPr>
        <w:t>Таблица 151. Сводные показатели редкоземельной отрасли Российской Федерации, 2015–2025 гг.</w:t>
      </w:r>
    </w:p>
    <w:tbl>
      <w:tblPr>
        <w:tblStyle w:val="TableGrid"/>
        <w:tblW w:type="auto" w:w="0"/>
        <w:jc w:val="center"/>
        <w:tblLook w:firstColumn="1" w:firstRow="1" w:lastColumn="0" w:lastRow="0" w:noHBand="0" w:noVBand="1" w:val="04A0"/>
      </w:tblPr>
      <w:tblGrid>
        <w:gridCol w:w="1247"/>
        <w:gridCol w:w="1247"/>
        <w:gridCol w:w="1247"/>
        <w:gridCol w:w="1247"/>
        <w:gridCol w:w="1247"/>
        <w:gridCol w:w="1247"/>
        <w:gridCol w:w="1247"/>
        <w:gridCol w:w="1247"/>
      </w:tblGrid>
      <w:tr>
        <w:tc>
          <w:tcPr>
            <w:tcW w:type="dxa" w:w="1247"/>
            <w:shd w:val="clear" w:fill="DCE6F1"/>
          </w:tcPr>
          <w:p>
            <w:pPr>
              <w:spacing w:after="0" w:line="240" w:lineRule="auto"/>
              <w:ind w:firstLine="0"/>
              <w:jc w:val="center"/>
            </w:pPr>
            <w:r>
              <w:rPr>
                <w:b/>
                <w:i w:val="0"/>
                <w:sz w:val="20"/>
              </w:rPr>
              <w:t>Показатель</w:t>
            </w:r>
          </w:p>
        </w:tc>
        <w:tc>
          <w:tcPr>
            <w:tcW w:type="dxa" w:w="1247"/>
            <w:shd w:val="clear" w:fill="DCE6F1"/>
          </w:tcPr>
          <w:p>
            <w:pPr>
              <w:spacing w:after="0" w:line="240" w:lineRule="auto"/>
              <w:ind w:firstLine="0"/>
              <w:jc w:val="center"/>
            </w:pPr>
            <w:r>
              <w:rPr>
                <w:b/>
                <w:i w:val="0"/>
                <w:sz w:val="20"/>
              </w:rPr>
              <w:t>2015</w:t>
            </w:r>
          </w:p>
        </w:tc>
        <w:tc>
          <w:tcPr>
            <w:tcW w:type="dxa" w:w="1247"/>
            <w:shd w:val="clear" w:fill="DCE6F1"/>
          </w:tcPr>
          <w:p>
            <w:pPr>
              <w:spacing w:after="0" w:line="240" w:lineRule="auto"/>
              <w:ind w:firstLine="0"/>
              <w:jc w:val="center"/>
            </w:pPr>
            <w:r>
              <w:rPr>
                <w:b/>
                <w:i w:val="0"/>
                <w:sz w:val="20"/>
              </w:rPr>
              <w:t>2017</w:t>
            </w:r>
          </w:p>
        </w:tc>
        <w:tc>
          <w:tcPr>
            <w:tcW w:type="dxa" w:w="1247"/>
            <w:shd w:val="clear" w:fill="DCE6F1"/>
          </w:tcPr>
          <w:p>
            <w:pPr>
              <w:spacing w:after="0" w:line="240" w:lineRule="auto"/>
              <w:ind w:firstLine="0"/>
              <w:jc w:val="center"/>
            </w:pPr>
            <w:r>
              <w:rPr>
                <w:b/>
                <w:i w:val="0"/>
                <w:sz w:val="20"/>
              </w:rPr>
              <w:t>2019</w:t>
            </w:r>
          </w:p>
        </w:tc>
        <w:tc>
          <w:tcPr>
            <w:tcW w:type="dxa" w:w="1247"/>
            <w:shd w:val="clear" w:fill="DCE6F1"/>
          </w:tcPr>
          <w:p>
            <w:pPr>
              <w:spacing w:after="0" w:line="240" w:lineRule="auto"/>
              <w:ind w:firstLine="0"/>
              <w:jc w:val="center"/>
            </w:pPr>
            <w:r>
              <w:rPr>
                <w:b/>
                <w:i w:val="0"/>
                <w:sz w:val="20"/>
              </w:rPr>
              <w:t>2021</w:t>
            </w:r>
          </w:p>
        </w:tc>
        <w:tc>
          <w:tcPr>
            <w:tcW w:type="dxa" w:w="1247"/>
            <w:shd w:val="clear" w:fill="DCE6F1"/>
          </w:tcPr>
          <w:p>
            <w:pPr>
              <w:spacing w:after="0" w:line="240" w:lineRule="auto"/>
              <w:ind w:firstLine="0"/>
              <w:jc w:val="center"/>
            </w:pPr>
            <w:r>
              <w:rPr>
                <w:b/>
                <w:i w:val="0"/>
                <w:sz w:val="20"/>
              </w:rPr>
              <w:t>2023</w:t>
            </w:r>
          </w:p>
        </w:tc>
        <w:tc>
          <w:tcPr>
            <w:tcW w:type="dxa" w:w="1247"/>
            <w:shd w:val="clear" w:fill="DCE6F1"/>
          </w:tcPr>
          <w:p>
            <w:pPr>
              <w:spacing w:after="0" w:line="240" w:lineRule="auto"/>
              <w:ind w:firstLine="0"/>
              <w:jc w:val="center"/>
            </w:pPr>
            <w:r>
              <w:rPr>
                <w:b/>
                <w:i w:val="0"/>
                <w:sz w:val="20"/>
              </w:rPr>
              <w:t>2024</w:t>
            </w:r>
          </w:p>
        </w:tc>
        <w:tc>
          <w:tcPr>
            <w:tcW w:type="dxa" w:w="1247"/>
            <w:shd w:val="clear" w:fill="DCE6F1"/>
          </w:tcPr>
          <w:p>
            <w:pPr>
              <w:spacing w:after="0" w:line="240" w:lineRule="auto"/>
              <w:ind w:firstLine="0"/>
              <w:jc w:val="center"/>
            </w:pPr>
            <w:r>
              <w:rPr>
                <w:b/>
                <w:i w:val="0"/>
                <w:sz w:val="20"/>
              </w:rPr>
              <w:t>2025</w:t>
            </w:r>
          </w:p>
        </w:tc>
      </w:tr>
      <w:tr>
        <w:tc>
          <w:tcPr>
            <w:tcW w:type="dxa" w:w="1247"/>
          </w:tcPr>
          <w:p>
            <w:pPr>
              <w:spacing w:after="0" w:line="240" w:lineRule="auto"/>
              <w:ind w:firstLine="0"/>
              <w:jc w:val="left"/>
            </w:pPr>
            <w:r>
              <w:rPr>
                <w:b w:val="0"/>
                <w:i w:val="0"/>
                <w:sz w:val="20"/>
              </w:rPr>
              <w:t>Производство TREO, т</w:t>
            </w:r>
          </w:p>
        </w:tc>
        <w:tc>
          <w:tcPr>
            <w:tcW w:type="dxa" w:w="1247"/>
          </w:tcPr>
          <w:p>
            <w:pPr>
              <w:spacing w:after="0" w:line="240" w:lineRule="auto"/>
              <w:ind w:firstLine="0"/>
              <w:jc w:val="center"/>
            </w:pPr>
            <w:r>
              <w:rPr>
                <w:b w:val="0"/>
                <w:i w:val="0"/>
                <w:sz w:val="20"/>
              </w:rPr>
              <w:t>2 170</w:t>
            </w:r>
          </w:p>
        </w:tc>
        <w:tc>
          <w:tcPr>
            <w:tcW w:type="dxa" w:w="1247"/>
          </w:tcPr>
          <w:p>
            <w:pPr>
              <w:spacing w:after="0" w:line="240" w:lineRule="auto"/>
              <w:ind w:firstLine="0"/>
              <w:jc w:val="center"/>
            </w:pPr>
            <w:r>
              <w:rPr>
                <w:b w:val="0"/>
                <w:i w:val="0"/>
                <w:sz w:val="20"/>
              </w:rPr>
              <w:t>2 250</w:t>
            </w:r>
          </w:p>
        </w:tc>
        <w:tc>
          <w:tcPr>
            <w:tcW w:type="dxa" w:w="1247"/>
          </w:tcPr>
          <w:p>
            <w:pPr>
              <w:spacing w:after="0" w:line="240" w:lineRule="auto"/>
              <w:ind w:firstLine="0"/>
              <w:jc w:val="center"/>
            </w:pPr>
            <w:r>
              <w:rPr>
                <w:b w:val="0"/>
                <w:i w:val="0"/>
                <w:sz w:val="20"/>
              </w:rPr>
              <w:t>2 260</w:t>
            </w:r>
          </w:p>
        </w:tc>
        <w:tc>
          <w:tcPr>
            <w:tcW w:type="dxa" w:w="1247"/>
          </w:tcPr>
          <w:p>
            <w:pPr>
              <w:spacing w:after="0" w:line="240" w:lineRule="auto"/>
              <w:ind w:firstLine="0"/>
              <w:jc w:val="center"/>
            </w:pPr>
            <w:r>
              <w:rPr>
                <w:b w:val="0"/>
                <w:i w:val="0"/>
                <w:sz w:val="20"/>
              </w:rPr>
              <w:t>2 210</w:t>
            </w:r>
          </w:p>
        </w:tc>
        <w:tc>
          <w:tcPr>
            <w:tcW w:type="dxa" w:w="1247"/>
          </w:tcPr>
          <w:p>
            <w:pPr>
              <w:spacing w:after="0" w:line="240" w:lineRule="auto"/>
              <w:ind w:firstLine="0"/>
              <w:jc w:val="center"/>
            </w:pPr>
            <w:r>
              <w:rPr>
                <w:b w:val="0"/>
                <w:i w:val="0"/>
                <w:sz w:val="20"/>
              </w:rPr>
              <w:t>2 210</w:t>
            </w:r>
          </w:p>
        </w:tc>
        <w:tc>
          <w:tcPr>
            <w:tcW w:type="dxa" w:w="1247"/>
          </w:tcPr>
          <w:p>
            <w:pPr>
              <w:spacing w:after="0" w:line="240" w:lineRule="auto"/>
              <w:ind w:firstLine="0"/>
              <w:jc w:val="center"/>
            </w:pPr>
            <w:r>
              <w:rPr>
                <w:b w:val="0"/>
                <w:i w:val="0"/>
                <w:sz w:val="20"/>
              </w:rPr>
              <w:t>2 430</w:t>
            </w:r>
          </w:p>
        </w:tc>
        <w:tc>
          <w:tcPr>
            <w:tcW w:type="dxa" w:w="1247"/>
          </w:tcPr>
          <w:p>
            <w:pPr>
              <w:spacing w:after="0" w:line="240" w:lineRule="auto"/>
              <w:ind w:firstLine="0"/>
              <w:jc w:val="center"/>
            </w:pPr>
            <w:r>
              <w:rPr>
                <w:b w:val="0"/>
                <w:i w:val="0"/>
                <w:sz w:val="20"/>
              </w:rPr>
              <w:t>2 650</w:t>
            </w:r>
          </w:p>
        </w:tc>
      </w:tr>
      <w:tr>
        <w:tc>
          <w:tcPr>
            <w:tcW w:type="dxa" w:w="1247"/>
          </w:tcPr>
          <w:p>
            <w:pPr>
              <w:spacing w:after="0" w:line="240" w:lineRule="auto"/>
              <w:ind w:firstLine="0"/>
              <w:jc w:val="left"/>
            </w:pPr>
            <w:r>
              <w:rPr>
                <w:b w:val="0"/>
                <w:i w:val="0"/>
                <w:sz w:val="20"/>
              </w:rPr>
              <w:t>Экспорт, т TREO</w:t>
            </w:r>
          </w:p>
        </w:tc>
        <w:tc>
          <w:tcPr>
            <w:tcW w:type="dxa" w:w="1247"/>
          </w:tcPr>
          <w:p>
            <w:pPr>
              <w:spacing w:after="0" w:line="240" w:lineRule="auto"/>
              <w:ind w:firstLine="0"/>
              <w:jc w:val="center"/>
            </w:pPr>
            <w:r>
              <w:rPr>
                <w:b w:val="0"/>
                <w:i w:val="0"/>
                <w:sz w:val="20"/>
              </w:rPr>
              <w:t>2 120</w:t>
            </w:r>
          </w:p>
        </w:tc>
        <w:tc>
          <w:tcPr>
            <w:tcW w:type="dxa" w:w="1247"/>
          </w:tcPr>
          <w:p>
            <w:pPr>
              <w:spacing w:after="0" w:line="240" w:lineRule="auto"/>
              <w:ind w:firstLine="0"/>
              <w:jc w:val="center"/>
            </w:pPr>
            <w:r>
              <w:rPr>
                <w:b w:val="0"/>
                <w:i w:val="0"/>
                <w:sz w:val="20"/>
              </w:rPr>
              <w:t>2 090</w:t>
            </w:r>
          </w:p>
        </w:tc>
        <w:tc>
          <w:tcPr>
            <w:tcW w:type="dxa" w:w="1247"/>
          </w:tcPr>
          <w:p>
            <w:pPr>
              <w:spacing w:after="0" w:line="240" w:lineRule="auto"/>
              <w:ind w:firstLine="0"/>
              <w:jc w:val="center"/>
            </w:pPr>
            <w:r>
              <w:rPr>
                <w:b w:val="0"/>
                <w:i w:val="0"/>
                <w:sz w:val="20"/>
              </w:rPr>
              <w:t>1 990</w:t>
            </w:r>
          </w:p>
        </w:tc>
        <w:tc>
          <w:tcPr>
            <w:tcW w:type="dxa" w:w="1247"/>
          </w:tcPr>
          <w:p>
            <w:pPr>
              <w:spacing w:after="0" w:line="240" w:lineRule="auto"/>
              <w:ind w:firstLine="0"/>
              <w:jc w:val="center"/>
            </w:pPr>
            <w:r>
              <w:rPr>
                <w:b w:val="0"/>
                <w:i w:val="0"/>
                <w:sz w:val="20"/>
              </w:rPr>
              <w:t>1 850</w:t>
            </w:r>
          </w:p>
        </w:tc>
        <w:tc>
          <w:tcPr>
            <w:tcW w:type="dxa" w:w="1247"/>
          </w:tcPr>
          <w:p>
            <w:pPr>
              <w:spacing w:after="0" w:line="240" w:lineRule="auto"/>
              <w:ind w:firstLine="0"/>
              <w:jc w:val="center"/>
            </w:pPr>
            <w:r>
              <w:rPr>
                <w:b w:val="0"/>
                <w:i w:val="0"/>
                <w:sz w:val="20"/>
              </w:rPr>
              <w:t>1 450</w:t>
            </w:r>
          </w:p>
        </w:tc>
        <w:tc>
          <w:tcPr>
            <w:tcW w:type="dxa" w:w="1247"/>
          </w:tcPr>
          <w:p>
            <w:pPr>
              <w:spacing w:after="0" w:line="240" w:lineRule="auto"/>
              <w:ind w:firstLine="0"/>
              <w:jc w:val="center"/>
            </w:pPr>
            <w:r>
              <w:rPr>
                <w:b w:val="0"/>
                <w:i w:val="0"/>
                <w:sz w:val="20"/>
              </w:rPr>
              <w:t>1 550</w:t>
            </w:r>
          </w:p>
        </w:tc>
        <w:tc>
          <w:tcPr>
            <w:tcW w:type="dxa" w:w="1247"/>
          </w:tcPr>
          <w:p>
            <w:pPr>
              <w:spacing w:after="0" w:line="240" w:lineRule="auto"/>
              <w:ind w:firstLine="0"/>
              <w:jc w:val="center"/>
            </w:pPr>
            <w:r>
              <w:rPr>
                <w:b w:val="0"/>
                <w:i w:val="0"/>
                <w:sz w:val="20"/>
              </w:rPr>
              <w:t>1 620</w:t>
            </w:r>
          </w:p>
        </w:tc>
      </w:tr>
      <w:tr>
        <w:tc>
          <w:tcPr>
            <w:tcW w:type="dxa" w:w="1247"/>
          </w:tcPr>
          <w:p>
            <w:pPr>
              <w:spacing w:after="0" w:line="240" w:lineRule="auto"/>
              <w:ind w:firstLine="0"/>
              <w:jc w:val="left"/>
            </w:pPr>
            <w:r>
              <w:rPr>
                <w:b w:val="0"/>
                <w:i w:val="0"/>
                <w:sz w:val="20"/>
              </w:rPr>
              <w:t>Импорт (первичн.), т TREO</w:t>
            </w:r>
          </w:p>
        </w:tc>
        <w:tc>
          <w:tcPr>
            <w:tcW w:type="dxa" w:w="1247"/>
          </w:tcPr>
          <w:p>
            <w:pPr>
              <w:spacing w:after="0" w:line="240" w:lineRule="auto"/>
              <w:ind w:firstLine="0"/>
              <w:jc w:val="center"/>
            </w:pPr>
            <w:r>
              <w:rPr>
                <w:b w:val="0"/>
                <w:i w:val="0"/>
                <w:sz w:val="20"/>
              </w:rPr>
              <w:t>1 320</w:t>
            </w:r>
          </w:p>
        </w:tc>
        <w:tc>
          <w:tcPr>
            <w:tcW w:type="dxa" w:w="1247"/>
          </w:tcPr>
          <w:p>
            <w:pPr>
              <w:spacing w:after="0" w:line="240" w:lineRule="auto"/>
              <w:ind w:firstLine="0"/>
              <w:jc w:val="center"/>
            </w:pPr>
            <w:r>
              <w:rPr>
                <w:b w:val="0"/>
                <w:i w:val="0"/>
                <w:sz w:val="20"/>
              </w:rPr>
              <w:t>1 450</w:t>
            </w:r>
          </w:p>
        </w:tc>
        <w:tc>
          <w:tcPr>
            <w:tcW w:type="dxa" w:w="1247"/>
          </w:tcPr>
          <w:p>
            <w:pPr>
              <w:spacing w:after="0" w:line="240" w:lineRule="auto"/>
              <w:ind w:firstLine="0"/>
              <w:jc w:val="center"/>
            </w:pPr>
            <w:r>
              <w:rPr>
                <w:b w:val="0"/>
                <w:i w:val="0"/>
                <w:sz w:val="20"/>
              </w:rPr>
              <w:t>1 620</w:t>
            </w:r>
          </w:p>
        </w:tc>
        <w:tc>
          <w:tcPr>
            <w:tcW w:type="dxa" w:w="1247"/>
          </w:tcPr>
          <w:p>
            <w:pPr>
              <w:spacing w:after="0" w:line="240" w:lineRule="auto"/>
              <w:ind w:firstLine="0"/>
              <w:jc w:val="center"/>
            </w:pPr>
            <w:r>
              <w:rPr>
                <w:b w:val="0"/>
                <w:i w:val="0"/>
                <w:sz w:val="20"/>
              </w:rPr>
              <w:t>1 780</w:t>
            </w:r>
          </w:p>
        </w:tc>
        <w:tc>
          <w:tcPr>
            <w:tcW w:type="dxa" w:w="1247"/>
          </w:tcPr>
          <w:p>
            <w:pPr>
              <w:spacing w:after="0" w:line="240" w:lineRule="auto"/>
              <w:ind w:firstLine="0"/>
              <w:jc w:val="center"/>
            </w:pPr>
            <w:r>
              <w:rPr>
                <w:b w:val="0"/>
                <w:i w:val="0"/>
                <w:sz w:val="20"/>
              </w:rPr>
              <w:t>1 690</w:t>
            </w:r>
          </w:p>
        </w:tc>
        <w:tc>
          <w:tcPr>
            <w:tcW w:type="dxa" w:w="1247"/>
          </w:tcPr>
          <w:p>
            <w:pPr>
              <w:spacing w:after="0" w:line="240" w:lineRule="auto"/>
              <w:ind w:firstLine="0"/>
              <w:jc w:val="center"/>
            </w:pPr>
            <w:r>
              <w:rPr>
                <w:b w:val="0"/>
                <w:i w:val="0"/>
                <w:sz w:val="20"/>
              </w:rPr>
              <w:t>1 850</w:t>
            </w:r>
          </w:p>
        </w:tc>
        <w:tc>
          <w:tcPr>
            <w:tcW w:type="dxa" w:w="1247"/>
          </w:tcPr>
          <w:p>
            <w:pPr>
              <w:spacing w:after="0" w:line="240" w:lineRule="auto"/>
              <w:ind w:firstLine="0"/>
              <w:jc w:val="center"/>
            </w:pPr>
            <w:r>
              <w:rPr>
                <w:b w:val="0"/>
                <w:i w:val="0"/>
                <w:sz w:val="20"/>
              </w:rPr>
              <w:t>2 020</w:t>
            </w:r>
          </w:p>
        </w:tc>
      </w:tr>
      <w:tr>
        <w:tc>
          <w:tcPr>
            <w:tcW w:type="dxa" w:w="1247"/>
          </w:tcPr>
          <w:p>
            <w:pPr>
              <w:spacing w:after="0" w:line="240" w:lineRule="auto"/>
              <w:ind w:firstLine="0"/>
              <w:jc w:val="left"/>
            </w:pPr>
            <w:r>
              <w:rPr>
                <w:b w:val="0"/>
                <w:i w:val="0"/>
                <w:sz w:val="20"/>
              </w:rPr>
              <w:t>Потребление, т TREO</w:t>
            </w:r>
          </w:p>
        </w:tc>
        <w:tc>
          <w:tcPr>
            <w:tcW w:type="dxa" w:w="1247"/>
          </w:tcPr>
          <w:p>
            <w:pPr>
              <w:spacing w:after="0" w:line="240" w:lineRule="auto"/>
              <w:ind w:firstLine="0"/>
              <w:jc w:val="center"/>
            </w:pPr>
            <w:r>
              <w:rPr>
                <w:b w:val="0"/>
                <w:i w:val="0"/>
                <w:sz w:val="20"/>
              </w:rPr>
              <w:t>1 370</w:t>
            </w:r>
          </w:p>
        </w:tc>
        <w:tc>
          <w:tcPr>
            <w:tcW w:type="dxa" w:w="1247"/>
          </w:tcPr>
          <w:p>
            <w:pPr>
              <w:spacing w:after="0" w:line="240" w:lineRule="auto"/>
              <w:ind w:firstLine="0"/>
              <w:jc w:val="center"/>
            </w:pPr>
            <w:r>
              <w:rPr>
                <w:b w:val="0"/>
                <w:i w:val="0"/>
                <w:sz w:val="20"/>
              </w:rPr>
              <w:t>1 610</w:t>
            </w:r>
          </w:p>
        </w:tc>
        <w:tc>
          <w:tcPr>
            <w:tcW w:type="dxa" w:w="1247"/>
          </w:tcPr>
          <w:p>
            <w:pPr>
              <w:spacing w:after="0" w:line="240" w:lineRule="auto"/>
              <w:ind w:firstLine="0"/>
              <w:jc w:val="center"/>
            </w:pPr>
            <w:r>
              <w:rPr>
                <w:b w:val="0"/>
                <w:i w:val="0"/>
                <w:sz w:val="20"/>
              </w:rPr>
              <w:t>1 890</w:t>
            </w:r>
          </w:p>
        </w:tc>
        <w:tc>
          <w:tcPr>
            <w:tcW w:type="dxa" w:w="1247"/>
          </w:tcPr>
          <w:p>
            <w:pPr>
              <w:spacing w:after="0" w:line="240" w:lineRule="auto"/>
              <w:ind w:firstLine="0"/>
              <w:jc w:val="center"/>
            </w:pPr>
            <w:r>
              <w:rPr>
                <w:b w:val="0"/>
                <w:i w:val="0"/>
                <w:sz w:val="20"/>
              </w:rPr>
              <w:t>2 140</w:t>
            </w:r>
          </w:p>
        </w:tc>
        <w:tc>
          <w:tcPr>
            <w:tcW w:type="dxa" w:w="1247"/>
          </w:tcPr>
          <w:p>
            <w:pPr>
              <w:spacing w:after="0" w:line="240" w:lineRule="auto"/>
              <w:ind w:firstLine="0"/>
              <w:jc w:val="center"/>
            </w:pPr>
            <w:r>
              <w:rPr>
                <w:b w:val="0"/>
                <w:i w:val="0"/>
                <w:sz w:val="20"/>
              </w:rPr>
              <w:t>2 450</w:t>
            </w:r>
          </w:p>
        </w:tc>
        <w:tc>
          <w:tcPr>
            <w:tcW w:type="dxa" w:w="1247"/>
          </w:tcPr>
          <w:p>
            <w:pPr>
              <w:spacing w:after="0" w:line="240" w:lineRule="auto"/>
              <w:ind w:firstLine="0"/>
              <w:jc w:val="center"/>
            </w:pPr>
            <w:r>
              <w:rPr>
                <w:b w:val="0"/>
                <w:i w:val="0"/>
                <w:sz w:val="20"/>
              </w:rPr>
              <w:t>2 730</w:t>
            </w:r>
          </w:p>
        </w:tc>
        <w:tc>
          <w:tcPr>
            <w:tcW w:type="dxa" w:w="1247"/>
          </w:tcPr>
          <w:p>
            <w:pPr>
              <w:spacing w:after="0" w:line="240" w:lineRule="auto"/>
              <w:ind w:firstLine="0"/>
              <w:jc w:val="center"/>
            </w:pPr>
            <w:r>
              <w:rPr>
                <w:b w:val="0"/>
                <w:i w:val="0"/>
                <w:sz w:val="20"/>
              </w:rPr>
              <w:t>3 050</w:t>
            </w:r>
          </w:p>
        </w:tc>
      </w:tr>
      <w:tr>
        <w:tc>
          <w:tcPr>
            <w:tcW w:type="dxa" w:w="1247"/>
          </w:tcPr>
          <w:p>
            <w:pPr>
              <w:spacing w:after="0" w:line="240" w:lineRule="auto"/>
              <w:ind w:firstLine="0"/>
              <w:jc w:val="left"/>
            </w:pPr>
            <w:r>
              <w:rPr>
                <w:b w:val="0"/>
                <w:i w:val="0"/>
                <w:sz w:val="20"/>
              </w:rPr>
              <w:t>Доля в мировом произв., %</w:t>
            </w:r>
          </w:p>
        </w:tc>
        <w:tc>
          <w:tcPr>
            <w:tcW w:type="dxa" w:w="1247"/>
          </w:tcPr>
          <w:p>
            <w:pPr>
              <w:spacing w:after="0" w:line="240" w:lineRule="auto"/>
              <w:ind w:firstLine="0"/>
              <w:jc w:val="center"/>
            </w:pPr>
            <w:r>
              <w:rPr>
                <w:b w:val="0"/>
                <w:i w:val="0"/>
                <w:sz w:val="20"/>
              </w:rPr>
              <w:t>1,7</w:t>
            </w:r>
          </w:p>
        </w:tc>
        <w:tc>
          <w:tcPr>
            <w:tcW w:type="dxa" w:w="1247"/>
          </w:tcPr>
          <w:p>
            <w:pPr>
              <w:spacing w:after="0" w:line="240" w:lineRule="auto"/>
              <w:ind w:firstLine="0"/>
              <w:jc w:val="center"/>
            </w:pPr>
            <w:r>
              <w:rPr>
                <w:b w:val="0"/>
                <w:i w:val="0"/>
                <w:sz w:val="20"/>
              </w:rPr>
              <w:t>1,6</w:t>
            </w:r>
          </w:p>
        </w:tc>
        <w:tc>
          <w:tcPr>
            <w:tcW w:type="dxa" w:w="1247"/>
          </w:tcPr>
          <w:p>
            <w:pPr>
              <w:spacing w:after="0" w:line="240" w:lineRule="auto"/>
              <w:ind w:firstLine="0"/>
              <w:jc w:val="center"/>
            </w:pPr>
            <w:r>
              <w:rPr>
                <w:b w:val="0"/>
                <w:i w:val="0"/>
                <w:sz w:val="20"/>
              </w:rPr>
              <w:t>1,0</w:t>
            </w:r>
          </w:p>
        </w:tc>
        <w:tc>
          <w:tcPr>
            <w:tcW w:type="dxa" w:w="1247"/>
          </w:tcPr>
          <w:p>
            <w:pPr>
              <w:spacing w:after="0" w:line="240" w:lineRule="auto"/>
              <w:ind w:firstLine="0"/>
              <w:jc w:val="center"/>
            </w:pPr>
            <w:r>
              <w:rPr>
                <w:b w:val="0"/>
                <w:i w:val="0"/>
                <w:sz w:val="20"/>
              </w:rPr>
              <w:t>0,8</w:t>
            </w:r>
          </w:p>
        </w:tc>
        <w:tc>
          <w:tcPr>
            <w:tcW w:type="dxa" w:w="1247"/>
          </w:tcPr>
          <w:p>
            <w:pPr>
              <w:spacing w:after="0" w:line="240" w:lineRule="auto"/>
              <w:ind w:firstLine="0"/>
              <w:jc w:val="center"/>
            </w:pPr>
            <w:r>
              <w:rPr>
                <w:b w:val="0"/>
                <w:i w:val="0"/>
                <w:sz w:val="20"/>
              </w:rPr>
              <w:t>0,6</w:t>
            </w:r>
          </w:p>
        </w:tc>
        <w:tc>
          <w:tcPr>
            <w:tcW w:type="dxa" w:w="1247"/>
          </w:tcPr>
          <w:p>
            <w:pPr>
              <w:spacing w:after="0" w:line="240" w:lineRule="auto"/>
              <w:ind w:firstLine="0"/>
              <w:jc w:val="center"/>
            </w:pPr>
            <w:r>
              <w:rPr>
                <w:b w:val="0"/>
                <w:i w:val="0"/>
                <w:sz w:val="20"/>
              </w:rPr>
              <w:t>0,6</w:t>
            </w:r>
          </w:p>
        </w:tc>
        <w:tc>
          <w:tcPr>
            <w:tcW w:type="dxa" w:w="1247"/>
          </w:tcPr>
          <w:p>
            <w:pPr>
              <w:spacing w:after="0" w:line="240" w:lineRule="auto"/>
              <w:ind w:firstLine="0"/>
              <w:jc w:val="center"/>
            </w:pPr>
            <w:r>
              <w:rPr>
                <w:b w:val="0"/>
                <w:i w:val="0"/>
                <w:sz w:val="20"/>
              </w:rPr>
              <w:t>0,6</w:t>
            </w:r>
          </w:p>
        </w:tc>
      </w:tr>
      <w:tr>
        <w:tc>
          <w:tcPr>
            <w:tcW w:type="dxa" w:w="1247"/>
          </w:tcPr>
          <w:p>
            <w:pPr>
              <w:spacing w:after="0" w:line="240" w:lineRule="auto"/>
              <w:ind w:firstLine="0"/>
              <w:jc w:val="left"/>
            </w:pPr>
            <w:r>
              <w:rPr>
                <w:b w:val="0"/>
                <w:i w:val="0"/>
                <w:sz w:val="20"/>
              </w:rPr>
              <w:t>Экспорт, млн $</w:t>
            </w:r>
          </w:p>
        </w:tc>
        <w:tc>
          <w:tcPr>
            <w:tcW w:type="dxa" w:w="1247"/>
          </w:tcPr>
          <w:p>
            <w:pPr>
              <w:spacing w:after="0" w:line="240" w:lineRule="auto"/>
              <w:ind w:firstLine="0"/>
              <w:jc w:val="center"/>
            </w:pPr>
            <w:r>
              <w:rPr>
                <w:b w:val="0"/>
                <w:i w:val="0"/>
                <w:sz w:val="20"/>
              </w:rPr>
              <w:t>21,3</w:t>
            </w:r>
          </w:p>
        </w:tc>
        <w:tc>
          <w:tcPr>
            <w:tcW w:type="dxa" w:w="1247"/>
          </w:tcPr>
          <w:p>
            <w:pPr>
              <w:spacing w:after="0" w:line="240" w:lineRule="auto"/>
              <w:ind w:firstLine="0"/>
              <w:jc w:val="center"/>
            </w:pPr>
            <w:r>
              <w:rPr>
                <w:b w:val="0"/>
                <w:i w:val="0"/>
                <w:sz w:val="20"/>
              </w:rPr>
              <w:t>23,8</w:t>
            </w:r>
          </w:p>
        </w:tc>
        <w:tc>
          <w:tcPr>
            <w:tcW w:type="dxa" w:w="1247"/>
          </w:tcPr>
          <w:p>
            <w:pPr>
              <w:spacing w:after="0" w:line="240" w:lineRule="auto"/>
              <w:ind w:firstLine="0"/>
              <w:jc w:val="center"/>
            </w:pPr>
            <w:r>
              <w:rPr>
                <w:b w:val="0"/>
                <w:i w:val="0"/>
                <w:sz w:val="20"/>
              </w:rPr>
              <w:t>22,4</w:t>
            </w:r>
          </w:p>
        </w:tc>
        <w:tc>
          <w:tcPr>
            <w:tcW w:type="dxa" w:w="1247"/>
          </w:tcPr>
          <w:p>
            <w:pPr>
              <w:spacing w:after="0" w:line="240" w:lineRule="auto"/>
              <w:ind w:firstLine="0"/>
              <w:jc w:val="center"/>
            </w:pPr>
            <w:r>
              <w:rPr>
                <w:b w:val="0"/>
                <w:i w:val="0"/>
                <w:sz w:val="20"/>
              </w:rPr>
              <w:t>28,1</w:t>
            </w:r>
          </w:p>
        </w:tc>
        <w:tc>
          <w:tcPr>
            <w:tcW w:type="dxa" w:w="1247"/>
          </w:tcPr>
          <w:p>
            <w:pPr>
              <w:spacing w:after="0" w:line="240" w:lineRule="auto"/>
              <w:ind w:firstLine="0"/>
              <w:jc w:val="center"/>
            </w:pPr>
            <w:r>
              <w:rPr>
                <w:b w:val="0"/>
                <w:i w:val="0"/>
                <w:sz w:val="20"/>
              </w:rPr>
              <w:t>19,4</w:t>
            </w:r>
          </w:p>
        </w:tc>
        <w:tc>
          <w:tcPr>
            <w:tcW w:type="dxa" w:w="1247"/>
          </w:tcPr>
          <w:p>
            <w:pPr>
              <w:spacing w:after="0" w:line="240" w:lineRule="auto"/>
              <w:ind w:firstLine="0"/>
              <w:jc w:val="center"/>
            </w:pPr>
            <w:r>
              <w:rPr>
                <w:b w:val="0"/>
                <w:i w:val="0"/>
                <w:sz w:val="20"/>
              </w:rPr>
              <w:t>18,6</w:t>
            </w:r>
          </w:p>
        </w:tc>
        <w:tc>
          <w:tcPr>
            <w:tcW w:type="dxa" w:w="1247"/>
          </w:tcPr>
          <w:p>
            <w:pPr>
              <w:spacing w:after="0" w:line="240" w:lineRule="auto"/>
              <w:ind w:firstLine="0"/>
              <w:jc w:val="center"/>
            </w:pPr>
            <w:r>
              <w:rPr>
                <w:b w:val="0"/>
                <w:i w:val="0"/>
                <w:sz w:val="20"/>
              </w:rPr>
              <w:t>22,4</w:t>
            </w:r>
          </w:p>
        </w:tc>
      </w:tr>
      <w:tr>
        <w:tc>
          <w:tcPr>
            <w:tcW w:type="dxa" w:w="1247"/>
          </w:tcPr>
          <w:p>
            <w:pPr>
              <w:spacing w:after="0" w:line="240" w:lineRule="auto"/>
              <w:ind w:firstLine="0"/>
              <w:jc w:val="left"/>
            </w:pPr>
            <w:r>
              <w:rPr>
                <w:b w:val="0"/>
                <w:i w:val="0"/>
                <w:sz w:val="20"/>
              </w:rPr>
              <w:t>Импорт, млн $</w:t>
            </w:r>
          </w:p>
        </w:tc>
        <w:tc>
          <w:tcPr>
            <w:tcW w:type="dxa" w:w="1247"/>
          </w:tcPr>
          <w:p>
            <w:pPr>
              <w:spacing w:after="0" w:line="240" w:lineRule="auto"/>
              <w:ind w:firstLine="0"/>
              <w:jc w:val="center"/>
            </w:pPr>
            <w:r>
              <w:rPr>
                <w:b w:val="0"/>
                <w:i w:val="0"/>
                <w:sz w:val="20"/>
              </w:rPr>
              <w:t>195,0</w:t>
            </w:r>
          </w:p>
        </w:tc>
        <w:tc>
          <w:tcPr>
            <w:tcW w:type="dxa" w:w="1247"/>
          </w:tcPr>
          <w:p>
            <w:pPr>
              <w:spacing w:after="0" w:line="240" w:lineRule="auto"/>
              <w:ind w:firstLine="0"/>
              <w:jc w:val="center"/>
            </w:pPr>
            <w:r>
              <w:rPr>
                <w:b w:val="0"/>
                <w:i w:val="0"/>
                <w:sz w:val="20"/>
              </w:rPr>
              <w:t>218,0</w:t>
            </w:r>
          </w:p>
        </w:tc>
        <w:tc>
          <w:tcPr>
            <w:tcW w:type="dxa" w:w="1247"/>
          </w:tcPr>
          <w:p>
            <w:pPr>
              <w:spacing w:after="0" w:line="240" w:lineRule="auto"/>
              <w:ind w:firstLine="0"/>
              <w:jc w:val="center"/>
            </w:pPr>
            <w:r>
              <w:rPr>
                <w:b w:val="0"/>
                <w:i w:val="0"/>
                <w:sz w:val="20"/>
              </w:rPr>
              <w:t>255,0</w:t>
            </w:r>
          </w:p>
        </w:tc>
        <w:tc>
          <w:tcPr>
            <w:tcW w:type="dxa" w:w="1247"/>
          </w:tcPr>
          <w:p>
            <w:pPr>
              <w:spacing w:after="0" w:line="240" w:lineRule="auto"/>
              <w:ind w:firstLine="0"/>
              <w:jc w:val="center"/>
            </w:pPr>
            <w:r>
              <w:rPr>
                <w:b w:val="0"/>
                <w:i w:val="0"/>
                <w:sz w:val="20"/>
              </w:rPr>
              <w:t>345,9</w:t>
            </w:r>
          </w:p>
        </w:tc>
        <w:tc>
          <w:tcPr>
            <w:tcW w:type="dxa" w:w="1247"/>
          </w:tcPr>
          <w:p>
            <w:pPr>
              <w:spacing w:after="0" w:line="240" w:lineRule="auto"/>
              <w:ind w:firstLine="0"/>
              <w:jc w:val="center"/>
            </w:pPr>
            <w:r>
              <w:rPr>
                <w:b w:val="0"/>
                <w:i w:val="0"/>
                <w:sz w:val="20"/>
              </w:rPr>
              <w:t>336,6</w:t>
            </w:r>
          </w:p>
        </w:tc>
        <w:tc>
          <w:tcPr>
            <w:tcW w:type="dxa" w:w="1247"/>
          </w:tcPr>
          <w:p>
            <w:pPr>
              <w:spacing w:after="0" w:line="240" w:lineRule="auto"/>
              <w:ind w:firstLine="0"/>
              <w:jc w:val="center"/>
            </w:pPr>
            <w:r>
              <w:rPr>
                <w:b w:val="0"/>
                <w:i w:val="0"/>
                <w:sz w:val="20"/>
              </w:rPr>
              <w:t>392,0</w:t>
            </w:r>
          </w:p>
        </w:tc>
        <w:tc>
          <w:tcPr>
            <w:tcW w:type="dxa" w:w="1247"/>
          </w:tcPr>
          <w:p>
            <w:pPr>
              <w:spacing w:after="0" w:line="240" w:lineRule="auto"/>
              <w:ind w:firstLine="0"/>
              <w:jc w:val="center"/>
            </w:pPr>
            <w:r>
              <w:rPr>
                <w:b w:val="0"/>
                <w:i w:val="0"/>
                <w:sz w:val="20"/>
              </w:rPr>
              <w:t>461,6</w:t>
            </w:r>
          </w:p>
        </w:tc>
      </w:tr>
      <w:tr>
        <w:tc>
          <w:tcPr>
            <w:tcW w:type="dxa" w:w="1247"/>
          </w:tcPr>
          <w:p>
            <w:pPr>
              <w:spacing w:after="0" w:line="240" w:lineRule="auto"/>
              <w:ind w:firstLine="0"/>
              <w:jc w:val="left"/>
            </w:pPr>
            <w:r>
              <w:rPr>
                <w:b w:val="0"/>
                <w:i w:val="0"/>
                <w:sz w:val="20"/>
              </w:rPr>
              <w:t>Сальдо, млн $</w:t>
            </w:r>
          </w:p>
        </w:tc>
        <w:tc>
          <w:tcPr>
            <w:tcW w:type="dxa" w:w="1247"/>
          </w:tcPr>
          <w:p>
            <w:pPr>
              <w:spacing w:after="0" w:line="240" w:lineRule="auto"/>
              <w:ind w:firstLine="0"/>
              <w:jc w:val="center"/>
            </w:pPr>
            <w:r>
              <w:rPr>
                <w:b w:val="0"/>
                <w:i w:val="0"/>
                <w:sz w:val="20"/>
              </w:rPr>
              <w:t>−173,7</w:t>
            </w:r>
          </w:p>
        </w:tc>
        <w:tc>
          <w:tcPr>
            <w:tcW w:type="dxa" w:w="1247"/>
          </w:tcPr>
          <w:p>
            <w:pPr>
              <w:spacing w:after="0" w:line="240" w:lineRule="auto"/>
              <w:ind w:firstLine="0"/>
              <w:jc w:val="center"/>
            </w:pPr>
            <w:r>
              <w:rPr>
                <w:b w:val="0"/>
                <w:i w:val="0"/>
                <w:sz w:val="20"/>
              </w:rPr>
              <w:t>−194,2</w:t>
            </w:r>
          </w:p>
        </w:tc>
        <w:tc>
          <w:tcPr>
            <w:tcW w:type="dxa" w:w="1247"/>
          </w:tcPr>
          <w:p>
            <w:pPr>
              <w:spacing w:after="0" w:line="240" w:lineRule="auto"/>
              <w:ind w:firstLine="0"/>
              <w:jc w:val="center"/>
            </w:pPr>
            <w:r>
              <w:rPr>
                <w:b w:val="0"/>
                <w:i w:val="0"/>
                <w:sz w:val="20"/>
              </w:rPr>
              <w:t>−232,6</w:t>
            </w:r>
          </w:p>
        </w:tc>
        <w:tc>
          <w:tcPr>
            <w:tcW w:type="dxa" w:w="1247"/>
          </w:tcPr>
          <w:p>
            <w:pPr>
              <w:spacing w:after="0" w:line="240" w:lineRule="auto"/>
              <w:ind w:firstLine="0"/>
              <w:jc w:val="center"/>
            </w:pPr>
            <w:r>
              <w:rPr>
                <w:b w:val="0"/>
                <w:i w:val="0"/>
                <w:sz w:val="20"/>
              </w:rPr>
              <w:t>−317,8</w:t>
            </w:r>
          </w:p>
        </w:tc>
        <w:tc>
          <w:tcPr>
            <w:tcW w:type="dxa" w:w="1247"/>
          </w:tcPr>
          <w:p>
            <w:pPr>
              <w:spacing w:after="0" w:line="240" w:lineRule="auto"/>
              <w:ind w:firstLine="0"/>
              <w:jc w:val="center"/>
            </w:pPr>
            <w:r>
              <w:rPr>
                <w:b w:val="0"/>
                <w:i w:val="0"/>
                <w:sz w:val="20"/>
              </w:rPr>
              <w:t>−317,2</w:t>
            </w:r>
          </w:p>
        </w:tc>
        <w:tc>
          <w:tcPr>
            <w:tcW w:type="dxa" w:w="1247"/>
          </w:tcPr>
          <w:p>
            <w:pPr>
              <w:spacing w:after="0" w:line="240" w:lineRule="auto"/>
              <w:ind w:firstLine="0"/>
              <w:jc w:val="center"/>
            </w:pPr>
            <w:r>
              <w:rPr>
                <w:b w:val="0"/>
                <w:i w:val="0"/>
                <w:sz w:val="20"/>
              </w:rPr>
              <w:t>−373,4</w:t>
            </w:r>
          </w:p>
        </w:tc>
        <w:tc>
          <w:tcPr>
            <w:tcW w:type="dxa" w:w="1247"/>
          </w:tcPr>
          <w:p>
            <w:pPr>
              <w:spacing w:after="0" w:line="240" w:lineRule="auto"/>
              <w:ind w:firstLine="0"/>
              <w:jc w:val="center"/>
            </w:pPr>
            <w:r>
              <w:rPr>
                <w:b w:val="0"/>
                <w:i w:val="0"/>
                <w:sz w:val="20"/>
              </w:rPr>
              <w:t>−439,2</w:t>
            </w:r>
          </w:p>
        </w:tc>
      </w:tr>
    </w:tbl>
    <w:p>
      <w:pPr>
        <w:spacing w:after="180"/>
        <w:ind w:firstLine="0"/>
      </w:pPr>
      <w:r>
        <w:rPr>
          <w:i/>
          <w:sz w:val="20"/>
        </w:rPr>
        <w:t>Источник: аналитический центр (обобщение табл. 70, 89, 91, 97)</w:t>
      </w:r>
    </w:p>
    <w:p>
      <w:pPr>
        <w:keepNext/>
        <w:spacing w:before="160" w:after="60"/>
        <w:ind w:firstLine="0"/>
        <w:jc w:val="left"/>
      </w:pPr>
      <w:r>
        <w:rPr>
          <w:b/>
          <w:sz w:val="22"/>
        </w:rPr>
        <w:t>Таблица 152. Сводный прогноз мирового рынка редкоземельных металлов до 2035 г. (базовый сценарий)</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shd w:val="clear" w:fill="DCE6F1"/>
          </w:tcPr>
          <w:p>
            <w:pPr>
              <w:spacing w:after="0" w:line="240" w:lineRule="auto"/>
              <w:ind w:firstLine="0"/>
              <w:jc w:val="center"/>
            </w:pPr>
            <w:r>
              <w:rPr>
                <w:b/>
                <w:i w:val="0"/>
                <w:sz w:val="20"/>
              </w:rPr>
              <w:t>Показатель</w:t>
            </w:r>
          </w:p>
        </w:tc>
        <w:tc>
          <w:tcPr>
            <w:tcW w:type="dxa" w:w="1662"/>
            <w:shd w:val="clear" w:fill="DCE6F1"/>
          </w:tcPr>
          <w:p>
            <w:pPr>
              <w:spacing w:after="0" w:line="240" w:lineRule="auto"/>
              <w:ind w:firstLine="0"/>
              <w:jc w:val="center"/>
            </w:pPr>
            <w:r>
              <w:rPr>
                <w:b/>
                <w:i w:val="0"/>
                <w:sz w:val="20"/>
              </w:rPr>
              <w:t>2024</w:t>
            </w:r>
          </w:p>
        </w:tc>
        <w:tc>
          <w:tcPr>
            <w:tcW w:type="dxa" w:w="1662"/>
            <w:shd w:val="clear" w:fill="DCE6F1"/>
          </w:tcPr>
          <w:p>
            <w:pPr>
              <w:spacing w:after="0" w:line="240" w:lineRule="auto"/>
              <w:ind w:firstLine="0"/>
              <w:jc w:val="center"/>
            </w:pPr>
            <w:r>
              <w:rPr>
                <w:b/>
                <w:i w:val="0"/>
                <w:sz w:val="20"/>
              </w:rPr>
              <w:t>2027</w:t>
            </w:r>
          </w:p>
        </w:tc>
        <w:tc>
          <w:tcPr>
            <w:tcW w:type="dxa" w:w="1662"/>
            <w:shd w:val="clear" w:fill="DCE6F1"/>
          </w:tcPr>
          <w:p>
            <w:pPr>
              <w:spacing w:after="0" w:line="240" w:lineRule="auto"/>
              <w:ind w:firstLine="0"/>
              <w:jc w:val="center"/>
            </w:pPr>
            <w:r>
              <w:rPr>
                <w:b/>
                <w:i w:val="0"/>
                <w:sz w:val="20"/>
              </w:rPr>
              <w:t>2030</w:t>
            </w:r>
          </w:p>
        </w:tc>
        <w:tc>
          <w:tcPr>
            <w:tcW w:type="dxa" w:w="1662"/>
            <w:shd w:val="clear" w:fill="DCE6F1"/>
          </w:tcPr>
          <w:p>
            <w:pPr>
              <w:spacing w:after="0" w:line="240" w:lineRule="auto"/>
              <w:ind w:firstLine="0"/>
              <w:jc w:val="center"/>
            </w:pPr>
            <w:r>
              <w:rPr>
                <w:b/>
                <w:i w:val="0"/>
                <w:sz w:val="20"/>
              </w:rPr>
              <w:t>2033</w:t>
            </w:r>
          </w:p>
        </w:tc>
        <w:tc>
          <w:tcPr>
            <w:tcW w:type="dxa" w:w="1662"/>
            <w:shd w:val="clear" w:fill="DCE6F1"/>
          </w:tcPr>
          <w:p>
            <w:pPr>
              <w:spacing w:after="0" w:line="240" w:lineRule="auto"/>
              <w:ind w:firstLine="0"/>
              <w:jc w:val="center"/>
            </w:pPr>
            <w:r>
              <w:rPr>
                <w:b/>
                <w:i w:val="0"/>
                <w:sz w:val="20"/>
              </w:rPr>
              <w:t>2035</w:t>
            </w:r>
          </w:p>
        </w:tc>
      </w:tr>
      <w:tr>
        <w:tc>
          <w:tcPr>
            <w:tcW w:type="dxa" w:w="1662"/>
          </w:tcPr>
          <w:p>
            <w:pPr>
              <w:spacing w:after="0" w:line="240" w:lineRule="auto"/>
              <w:ind w:firstLine="0"/>
              <w:jc w:val="left"/>
            </w:pPr>
            <w:r>
              <w:rPr>
                <w:b w:val="0"/>
                <w:i w:val="0"/>
                <w:sz w:val="20"/>
              </w:rPr>
              <w:t>Спрос, тыс. т TREO</w:t>
            </w:r>
          </w:p>
        </w:tc>
        <w:tc>
          <w:tcPr>
            <w:tcW w:type="dxa" w:w="1662"/>
          </w:tcPr>
          <w:p>
            <w:pPr>
              <w:spacing w:after="0" w:line="240" w:lineRule="auto"/>
              <w:ind w:firstLine="0"/>
              <w:jc w:val="center"/>
            </w:pPr>
            <w:r>
              <w:rPr>
                <w:b w:val="0"/>
                <w:i w:val="0"/>
                <w:sz w:val="20"/>
              </w:rPr>
              <w:t>198,0</w:t>
            </w:r>
          </w:p>
        </w:tc>
        <w:tc>
          <w:tcPr>
            <w:tcW w:type="dxa" w:w="1662"/>
          </w:tcPr>
          <w:p>
            <w:pPr>
              <w:spacing w:after="0" w:line="240" w:lineRule="auto"/>
              <w:ind w:firstLine="0"/>
              <w:jc w:val="center"/>
            </w:pPr>
            <w:r>
              <w:rPr>
                <w:b w:val="0"/>
                <w:i w:val="0"/>
                <w:sz w:val="20"/>
              </w:rPr>
              <w:t>234,7</w:t>
            </w:r>
          </w:p>
        </w:tc>
        <w:tc>
          <w:tcPr>
            <w:tcW w:type="dxa" w:w="1662"/>
          </w:tcPr>
          <w:p>
            <w:pPr>
              <w:spacing w:after="0" w:line="240" w:lineRule="auto"/>
              <w:ind w:firstLine="0"/>
              <w:jc w:val="center"/>
            </w:pPr>
            <w:r>
              <w:rPr>
                <w:b w:val="0"/>
                <w:i w:val="0"/>
                <w:sz w:val="20"/>
              </w:rPr>
              <w:t>280,0</w:t>
            </w:r>
          </w:p>
        </w:tc>
        <w:tc>
          <w:tcPr>
            <w:tcW w:type="dxa" w:w="1662"/>
          </w:tcPr>
          <w:p>
            <w:pPr>
              <w:spacing w:after="0" w:line="240" w:lineRule="auto"/>
              <w:ind w:firstLine="0"/>
              <w:jc w:val="center"/>
            </w:pPr>
            <w:r>
              <w:rPr>
                <w:b w:val="0"/>
                <w:i w:val="0"/>
                <w:sz w:val="20"/>
              </w:rPr>
              <w:t>323,1</w:t>
            </w:r>
          </w:p>
        </w:tc>
        <w:tc>
          <w:tcPr>
            <w:tcW w:type="dxa" w:w="1662"/>
          </w:tcPr>
          <w:p>
            <w:pPr>
              <w:spacing w:after="0" w:line="240" w:lineRule="auto"/>
              <w:ind w:firstLine="0"/>
              <w:jc w:val="center"/>
            </w:pPr>
            <w:r>
              <w:rPr>
                <w:b w:val="0"/>
                <w:i w:val="0"/>
                <w:sz w:val="20"/>
              </w:rPr>
              <w:t>352,6</w:t>
            </w:r>
          </w:p>
        </w:tc>
      </w:tr>
      <w:tr>
        <w:tc>
          <w:tcPr>
            <w:tcW w:type="dxa" w:w="1662"/>
          </w:tcPr>
          <w:p>
            <w:pPr>
              <w:spacing w:after="0" w:line="240" w:lineRule="auto"/>
              <w:ind w:firstLine="0"/>
              <w:jc w:val="left"/>
            </w:pPr>
            <w:r>
              <w:rPr>
                <w:b w:val="0"/>
                <w:i w:val="0"/>
                <w:sz w:val="20"/>
              </w:rPr>
              <w:t>Предложение, тыс. т TREO</w:t>
            </w:r>
          </w:p>
        </w:tc>
        <w:tc>
          <w:tcPr>
            <w:tcW w:type="dxa" w:w="1662"/>
          </w:tcPr>
          <w:p>
            <w:pPr>
              <w:spacing w:after="0" w:line="240" w:lineRule="auto"/>
              <w:ind w:firstLine="0"/>
              <w:jc w:val="center"/>
            </w:pPr>
            <w:r>
              <w:rPr>
                <w:b w:val="0"/>
                <w:i w:val="0"/>
                <w:sz w:val="20"/>
              </w:rPr>
              <w:t>393,8</w:t>
            </w:r>
          </w:p>
        </w:tc>
        <w:tc>
          <w:tcPr>
            <w:tcW w:type="dxa" w:w="1662"/>
          </w:tcPr>
          <w:p>
            <w:pPr>
              <w:spacing w:after="0" w:line="240" w:lineRule="auto"/>
              <w:ind w:firstLine="0"/>
              <w:jc w:val="center"/>
            </w:pPr>
            <w:r>
              <w:rPr>
                <w:b w:val="0"/>
                <w:i w:val="0"/>
                <w:sz w:val="20"/>
              </w:rPr>
              <w:t>486,5</w:t>
            </w:r>
          </w:p>
        </w:tc>
        <w:tc>
          <w:tcPr>
            <w:tcW w:type="dxa" w:w="1662"/>
          </w:tcPr>
          <w:p>
            <w:pPr>
              <w:spacing w:after="0" w:line="240" w:lineRule="auto"/>
              <w:ind w:firstLine="0"/>
              <w:jc w:val="center"/>
            </w:pPr>
            <w:r>
              <w:rPr>
                <w:b w:val="0"/>
                <w:i w:val="0"/>
                <w:sz w:val="20"/>
              </w:rPr>
              <w:t>597,0</w:t>
            </w:r>
          </w:p>
        </w:tc>
        <w:tc>
          <w:tcPr>
            <w:tcW w:type="dxa" w:w="1662"/>
          </w:tcPr>
          <w:p>
            <w:pPr>
              <w:spacing w:after="0" w:line="240" w:lineRule="auto"/>
              <w:ind w:firstLine="0"/>
              <w:jc w:val="center"/>
            </w:pPr>
            <w:r>
              <w:rPr>
                <w:b w:val="0"/>
                <w:i w:val="0"/>
                <w:sz w:val="20"/>
              </w:rPr>
              <w:t>687,0</w:t>
            </w:r>
          </w:p>
        </w:tc>
        <w:tc>
          <w:tcPr>
            <w:tcW w:type="dxa" w:w="1662"/>
          </w:tcPr>
          <w:p>
            <w:pPr>
              <w:spacing w:after="0" w:line="240" w:lineRule="auto"/>
              <w:ind w:firstLine="0"/>
              <w:jc w:val="center"/>
            </w:pPr>
            <w:r>
              <w:rPr>
                <w:b w:val="0"/>
                <w:i w:val="0"/>
                <w:sz w:val="20"/>
              </w:rPr>
              <w:t>745,0</w:t>
            </w:r>
          </w:p>
        </w:tc>
      </w:tr>
      <w:tr>
        <w:tc>
          <w:tcPr>
            <w:tcW w:type="dxa" w:w="1662"/>
          </w:tcPr>
          <w:p>
            <w:pPr>
              <w:spacing w:after="0" w:line="240" w:lineRule="auto"/>
              <w:ind w:firstLine="0"/>
              <w:jc w:val="left"/>
            </w:pPr>
            <w:r>
              <w:rPr>
                <w:b w:val="0"/>
                <w:i w:val="0"/>
                <w:sz w:val="20"/>
              </w:rPr>
              <w:t>Спрос на NdPr, т</w:t>
            </w:r>
          </w:p>
        </w:tc>
        <w:tc>
          <w:tcPr>
            <w:tcW w:type="dxa" w:w="1662"/>
          </w:tcPr>
          <w:p>
            <w:pPr>
              <w:spacing w:after="0" w:line="240" w:lineRule="auto"/>
              <w:ind w:firstLine="0"/>
              <w:jc w:val="center"/>
            </w:pPr>
            <w:r>
              <w:rPr>
                <w:b w:val="0"/>
                <w:i w:val="0"/>
                <w:sz w:val="20"/>
              </w:rPr>
              <w:t>55 000</w:t>
            </w:r>
          </w:p>
        </w:tc>
        <w:tc>
          <w:tcPr>
            <w:tcW w:type="dxa" w:w="1662"/>
          </w:tcPr>
          <w:p>
            <w:pPr>
              <w:spacing w:after="0" w:line="240" w:lineRule="auto"/>
              <w:ind w:firstLine="0"/>
              <w:jc w:val="center"/>
            </w:pPr>
            <w:r>
              <w:rPr>
                <w:b w:val="0"/>
                <w:i w:val="0"/>
                <w:sz w:val="20"/>
              </w:rPr>
              <w:t>73 000</w:t>
            </w:r>
          </w:p>
        </w:tc>
        <w:tc>
          <w:tcPr>
            <w:tcW w:type="dxa" w:w="1662"/>
          </w:tcPr>
          <w:p>
            <w:pPr>
              <w:spacing w:after="0" w:line="240" w:lineRule="auto"/>
              <w:ind w:firstLine="0"/>
              <w:jc w:val="center"/>
            </w:pPr>
            <w:r>
              <w:rPr>
                <w:b w:val="0"/>
                <w:i w:val="0"/>
                <w:sz w:val="20"/>
              </w:rPr>
              <w:t>92 000</w:t>
            </w:r>
          </w:p>
        </w:tc>
        <w:tc>
          <w:tcPr>
            <w:tcW w:type="dxa" w:w="1662"/>
          </w:tcPr>
          <w:p>
            <w:pPr>
              <w:spacing w:after="0" w:line="240" w:lineRule="auto"/>
              <w:ind w:firstLine="0"/>
              <w:jc w:val="center"/>
            </w:pPr>
            <w:r>
              <w:rPr>
                <w:b w:val="0"/>
                <w:i w:val="0"/>
                <w:sz w:val="20"/>
              </w:rPr>
              <w:t>111 500</w:t>
            </w:r>
          </w:p>
        </w:tc>
        <w:tc>
          <w:tcPr>
            <w:tcW w:type="dxa" w:w="1662"/>
          </w:tcPr>
          <w:p>
            <w:pPr>
              <w:spacing w:after="0" w:line="240" w:lineRule="auto"/>
              <w:ind w:firstLine="0"/>
              <w:jc w:val="center"/>
            </w:pPr>
            <w:r>
              <w:rPr>
                <w:b w:val="0"/>
                <w:i w:val="0"/>
                <w:sz w:val="20"/>
              </w:rPr>
              <w:t>124 500</w:t>
            </w:r>
          </w:p>
        </w:tc>
      </w:tr>
      <w:tr>
        <w:tc>
          <w:tcPr>
            <w:tcW w:type="dxa" w:w="1662"/>
          </w:tcPr>
          <w:p>
            <w:pPr>
              <w:spacing w:after="0" w:line="240" w:lineRule="auto"/>
              <w:ind w:firstLine="0"/>
              <w:jc w:val="left"/>
            </w:pPr>
            <w:r>
              <w:rPr>
                <w:b w:val="0"/>
                <w:i w:val="0"/>
                <w:sz w:val="20"/>
              </w:rPr>
              <w:t>Спрос на Dy, т</w:t>
            </w:r>
          </w:p>
        </w:tc>
        <w:tc>
          <w:tcPr>
            <w:tcW w:type="dxa" w:w="1662"/>
          </w:tcPr>
          <w:p>
            <w:pPr>
              <w:spacing w:after="0" w:line="240" w:lineRule="auto"/>
              <w:ind w:firstLine="0"/>
              <w:jc w:val="center"/>
            </w:pPr>
            <w:r>
              <w:rPr>
                <w:b w:val="0"/>
                <w:i w:val="0"/>
                <w:sz w:val="20"/>
              </w:rPr>
              <w:t>3 300</w:t>
            </w:r>
          </w:p>
        </w:tc>
        <w:tc>
          <w:tcPr>
            <w:tcW w:type="dxa" w:w="1662"/>
          </w:tcPr>
          <w:p>
            <w:pPr>
              <w:spacing w:after="0" w:line="240" w:lineRule="auto"/>
              <w:ind w:firstLine="0"/>
              <w:jc w:val="center"/>
            </w:pPr>
            <w:r>
              <w:rPr>
                <w:b w:val="0"/>
                <w:i w:val="0"/>
                <w:sz w:val="20"/>
              </w:rPr>
              <w:t>4 250</w:t>
            </w:r>
          </w:p>
        </w:tc>
        <w:tc>
          <w:tcPr>
            <w:tcW w:type="dxa" w:w="1662"/>
          </w:tcPr>
          <w:p>
            <w:pPr>
              <w:spacing w:after="0" w:line="240" w:lineRule="auto"/>
              <w:ind w:firstLine="0"/>
              <w:jc w:val="center"/>
            </w:pPr>
            <w:r>
              <w:rPr>
                <w:b w:val="0"/>
                <w:i w:val="0"/>
                <w:sz w:val="20"/>
              </w:rPr>
              <w:t>5 200</w:t>
            </w:r>
          </w:p>
        </w:tc>
        <w:tc>
          <w:tcPr>
            <w:tcW w:type="dxa" w:w="1662"/>
          </w:tcPr>
          <w:p>
            <w:pPr>
              <w:spacing w:after="0" w:line="240" w:lineRule="auto"/>
              <w:ind w:firstLine="0"/>
              <w:jc w:val="center"/>
            </w:pPr>
            <w:r>
              <w:rPr>
                <w:b w:val="0"/>
                <w:i w:val="0"/>
                <w:sz w:val="20"/>
              </w:rPr>
              <w:t>6 100</w:t>
            </w:r>
          </w:p>
        </w:tc>
        <w:tc>
          <w:tcPr>
            <w:tcW w:type="dxa" w:w="1662"/>
          </w:tcPr>
          <w:p>
            <w:pPr>
              <w:spacing w:after="0" w:line="240" w:lineRule="auto"/>
              <w:ind w:firstLine="0"/>
              <w:jc w:val="center"/>
            </w:pPr>
            <w:r>
              <w:rPr>
                <w:b w:val="0"/>
                <w:i w:val="0"/>
                <w:sz w:val="20"/>
              </w:rPr>
              <w:t>6 700</w:t>
            </w:r>
          </w:p>
        </w:tc>
      </w:tr>
      <w:tr>
        <w:tc>
          <w:tcPr>
            <w:tcW w:type="dxa" w:w="1662"/>
          </w:tcPr>
          <w:p>
            <w:pPr>
              <w:spacing w:after="0" w:line="240" w:lineRule="auto"/>
              <w:ind w:firstLine="0"/>
              <w:jc w:val="left"/>
            </w:pPr>
            <w:r>
              <w:rPr>
                <w:b w:val="0"/>
                <w:i w:val="0"/>
                <w:sz w:val="20"/>
              </w:rPr>
              <w:t>Спрос на Tb, т</w:t>
            </w:r>
          </w:p>
        </w:tc>
        <w:tc>
          <w:tcPr>
            <w:tcW w:type="dxa" w:w="1662"/>
          </w:tcPr>
          <w:p>
            <w:pPr>
              <w:spacing w:after="0" w:line="240" w:lineRule="auto"/>
              <w:ind w:firstLine="0"/>
              <w:jc w:val="center"/>
            </w:pPr>
            <w:r>
              <w:rPr>
                <w:b w:val="0"/>
                <w:i w:val="0"/>
                <w:sz w:val="20"/>
              </w:rPr>
              <w:t>900</w:t>
            </w:r>
          </w:p>
        </w:tc>
        <w:tc>
          <w:tcPr>
            <w:tcW w:type="dxa" w:w="1662"/>
          </w:tcPr>
          <w:p>
            <w:pPr>
              <w:spacing w:after="0" w:line="240" w:lineRule="auto"/>
              <w:ind w:firstLine="0"/>
              <w:jc w:val="center"/>
            </w:pPr>
            <w:r>
              <w:rPr>
                <w:b w:val="0"/>
                <w:i w:val="0"/>
                <w:sz w:val="20"/>
              </w:rPr>
              <w:t>1 180</w:t>
            </w:r>
          </w:p>
        </w:tc>
        <w:tc>
          <w:tcPr>
            <w:tcW w:type="dxa" w:w="1662"/>
          </w:tcPr>
          <w:p>
            <w:pPr>
              <w:spacing w:after="0" w:line="240" w:lineRule="auto"/>
              <w:ind w:firstLine="0"/>
              <w:jc w:val="center"/>
            </w:pPr>
            <w:r>
              <w:rPr>
                <w:b w:val="0"/>
                <w:i w:val="0"/>
                <w:sz w:val="20"/>
              </w:rPr>
              <w:t>1 450</w:t>
            </w:r>
          </w:p>
        </w:tc>
        <w:tc>
          <w:tcPr>
            <w:tcW w:type="dxa" w:w="1662"/>
          </w:tcPr>
          <w:p>
            <w:pPr>
              <w:spacing w:after="0" w:line="240" w:lineRule="auto"/>
              <w:ind w:firstLine="0"/>
              <w:jc w:val="center"/>
            </w:pPr>
            <w:r>
              <w:rPr>
                <w:b w:val="0"/>
                <w:i w:val="0"/>
                <w:sz w:val="20"/>
              </w:rPr>
              <w:t>1 720</w:t>
            </w:r>
          </w:p>
        </w:tc>
        <w:tc>
          <w:tcPr>
            <w:tcW w:type="dxa" w:w="1662"/>
          </w:tcPr>
          <w:p>
            <w:pPr>
              <w:spacing w:after="0" w:line="240" w:lineRule="auto"/>
              <w:ind w:firstLine="0"/>
              <w:jc w:val="center"/>
            </w:pPr>
            <w:r>
              <w:rPr>
                <w:b w:val="0"/>
                <w:i w:val="0"/>
                <w:sz w:val="20"/>
              </w:rPr>
              <w:t>1 890</w:t>
            </w:r>
          </w:p>
        </w:tc>
      </w:tr>
      <w:tr>
        <w:tc>
          <w:tcPr>
            <w:tcW w:type="dxa" w:w="1662"/>
          </w:tcPr>
          <w:p>
            <w:pPr>
              <w:spacing w:after="0" w:line="240" w:lineRule="auto"/>
              <w:ind w:firstLine="0"/>
              <w:jc w:val="left"/>
            </w:pPr>
            <w:r>
              <w:rPr>
                <w:b w:val="0"/>
                <w:i w:val="0"/>
                <w:sz w:val="20"/>
              </w:rPr>
              <w:t>Производство магнитов, тыс. т</w:t>
            </w:r>
          </w:p>
        </w:tc>
        <w:tc>
          <w:tcPr>
            <w:tcW w:type="dxa" w:w="1662"/>
          </w:tcPr>
          <w:p>
            <w:pPr>
              <w:spacing w:after="0" w:line="240" w:lineRule="auto"/>
              <w:ind w:firstLine="0"/>
              <w:jc w:val="center"/>
            </w:pPr>
            <w:r>
              <w:rPr>
                <w:b w:val="0"/>
                <w:i w:val="0"/>
                <w:sz w:val="20"/>
              </w:rPr>
              <w:t>245,8</w:t>
            </w:r>
          </w:p>
        </w:tc>
        <w:tc>
          <w:tcPr>
            <w:tcW w:type="dxa" w:w="1662"/>
          </w:tcPr>
          <w:p>
            <w:pPr>
              <w:spacing w:after="0" w:line="240" w:lineRule="auto"/>
              <w:ind w:firstLine="0"/>
              <w:jc w:val="center"/>
            </w:pPr>
            <w:r>
              <w:rPr>
                <w:b w:val="0"/>
                <w:i w:val="0"/>
                <w:sz w:val="20"/>
              </w:rPr>
              <w:t>300,0</w:t>
            </w:r>
          </w:p>
        </w:tc>
        <w:tc>
          <w:tcPr>
            <w:tcW w:type="dxa" w:w="1662"/>
          </w:tcPr>
          <w:p>
            <w:pPr>
              <w:spacing w:after="0" w:line="240" w:lineRule="auto"/>
              <w:ind w:firstLine="0"/>
              <w:jc w:val="center"/>
            </w:pPr>
            <w:r>
              <w:rPr>
                <w:b w:val="0"/>
                <w:i w:val="0"/>
                <w:sz w:val="20"/>
              </w:rPr>
              <w:t>375,0</w:t>
            </w:r>
          </w:p>
        </w:tc>
        <w:tc>
          <w:tcPr>
            <w:tcW w:type="dxa" w:w="1662"/>
          </w:tcPr>
          <w:p>
            <w:pPr>
              <w:spacing w:after="0" w:line="240" w:lineRule="auto"/>
              <w:ind w:firstLine="0"/>
              <w:jc w:val="center"/>
            </w:pPr>
            <w:r>
              <w:rPr>
                <w:b w:val="0"/>
                <w:i w:val="0"/>
                <w:sz w:val="20"/>
              </w:rPr>
              <w:t>445,0</w:t>
            </w:r>
          </w:p>
        </w:tc>
        <w:tc>
          <w:tcPr>
            <w:tcW w:type="dxa" w:w="1662"/>
          </w:tcPr>
          <w:p>
            <w:pPr>
              <w:spacing w:after="0" w:line="240" w:lineRule="auto"/>
              <w:ind w:firstLine="0"/>
              <w:jc w:val="center"/>
            </w:pPr>
            <w:r>
              <w:rPr>
                <w:b w:val="0"/>
                <w:i w:val="0"/>
                <w:sz w:val="20"/>
              </w:rPr>
              <w:t>490,0</w:t>
            </w:r>
          </w:p>
        </w:tc>
      </w:tr>
      <w:tr>
        <w:tc>
          <w:tcPr>
            <w:tcW w:type="dxa" w:w="1662"/>
          </w:tcPr>
          <w:p>
            <w:pPr>
              <w:spacing w:after="0" w:line="240" w:lineRule="auto"/>
              <w:ind w:firstLine="0"/>
              <w:jc w:val="left"/>
            </w:pPr>
            <w:r>
              <w:rPr>
                <w:b w:val="0"/>
                <w:i w:val="0"/>
                <w:sz w:val="20"/>
              </w:rPr>
              <w:t>Цена NdPr, $/кг</w:t>
            </w:r>
          </w:p>
        </w:tc>
        <w:tc>
          <w:tcPr>
            <w:tcW w:type="dxa" w:w="1662"/>
          </w:tcPr>
          <w:p>
            <w:pPr>
              <w:spacing w:after="0" w:line="240" w:lineRule="auto"/>
              <w:ind w:firstLine="0"/>
              <w:jc w:val="center"/>
            </w:pPr>
            <w:r>
              <w:rPr>
                <w:b w:val="0"/>
                <w:i w:val="0"/>
                <w:sz w:val="20"/>
              </w:rPr>
              <w:t>61</w:t>
            </w:r>
          </w:p>
        </w:tc>
        <w:tc>
          <w:tcPr>
            <w:tcW w:type="dxa" w:w="1662"/>
          </w:tcPr>
          <w:p>
            <w:pPr>
              <w:spacing w:after="0" w:line="240" w:lineRule="auto"/>
              <w:ind w:firstLine="0"/>
              <w:jc w:val="center"/>
            </w:pPr>
            <w:r>
              <w:rPr>
                <w:b w:val="0"/>
                <w:i w:val="0"/>
                <w:sz w:val="20"/>
              </w:rPr>
              <w:t>82</w:t>
            </w:r>
          </w:p>
        </w:tc>
        <w:tc>
          <w:tcPr>
            <w:tcW w:type="dxa" w:w="1662"/>
          </w:tcPr>
          <w:p>
            <w:pPr>
              <w:spacing w:after="0" w:line="240" w:lineRule="auto"/>
              <w:ind w:firstLine="0"/>
              <w:jc w:val="center"/>
            </w:pPr>
            <w:r>
              <w:rPr>
                <w:b w:val="0"/>
                <w:i w:val="0"/>
                <w:sz w:val="20"/>
              </w:rPr>
              <w:t>88</w:t>
            </w:r>
          </w:p>
        </w:tc>
        <w:tc>
          <w:tcPr>
            <w:tcW w:type="dxa" w:w="1662"/>
          </w:tcPr>
          <w:p>
            <w:pPr>
              <w:spacing w:after="0" w:line="240" w:lineRule="auto"/>
              <w:ind w:firstLine="0"/>
              <w:jc w:val="center"/>
            </w:pPr>
            <w:r>
              <w:rPr>
                <w:b w:val="0"/>
                <w:i w:val="0"/>
                <w:sz w:val="20"/>
              </w:rPr>
              <w:t>92</w:t>
            </w:r>
          </w:p>
        </w:tc>
        <w:tc>
          <w:tcPr>
            <w:tcW w:type="dxa" w:w="1662"/>
          </w:tcPr>
          <w:p>
            <w:pPr>
              <w:spacing w:after="0" w:line="240" w:lineRule="auto"/>
              <w:ind w:firstLine="0"/>
              <w:jc w:val="center"/>
            </w:pPr>
            <w:r>
              <w:rPr>
                <w:b w:val="0"/>
                <w:i w:val="0"/>
                <w:sz w:val="20"/>
              </w:rPr>
              <w:t>95</w:t>
            </w:r>
          </w:p>
        </w:tc>
      </w:tr>
      <w:tr>
        <w:tc>
          <w:tcPr>
            <w:tcW w:type="dxa" w:w="1662"/>
          </w:tcPr>
          <w:p>
            <w:pPr>
              <w:spacing w:after="0" w:line="240" w:lineRule="auto"/>
              <w:ind w:firstLine="0"/>
              <w:jc w:val="left"/>
            </w:pPr>
            <w:r>
              <w:rPr>
                <w:b w:val="0"/>
                <w:i w:val="0"/>
                <w:sz w:val="20"/>
              </w:rPr>
              <w:t>Цена Dy₂O₃, $/кг</w:t>
            </w:r>
          </w:p>
        </w:tc>
        <w:tc>
          <w:tcPr>
            <w:tcW w:type="dxa" w:w="1662"/>
          </w:tcPr>
          <w:p>
            <w:pPr>
              <w:spacing w:after="0" w:line="240" w:lineRule="auto"/>
              <w:ind w:firstLine="0"/>
              <w:jc w:val="center"/>
            </w:pPr>
            <w:r>
              <w:rPr>
                <w:b w:val="0"/>
                <w:i w:val="0"/>
                <w:sz w:val="20"/>
              </w:rPr>
              <w:t>245</w:t>
            </w:r>
          </w:p>
        </w:tc>
        <w:tc>
          <w:tcPr>
            <w:tcW w:type="dxa" w:w="1662"/>
          </w:tcPr>
          <w:p>
            <w:pPr>
              <w:spacing w:after="0" w:line="240" w:lineRule="auto"/>
              <w:ind w:firstLine="0"/>
              <w:jc w:val="center"/>
            </w:pPr>
            <w:r>
              <w:rPr>
                <w:b w:val="0"/>
                <w:i w:val="0"/>
                <w:sz w:val="20"/>
              </w:rPr>
              <w:t>360</w:t>
            </w:r>
          </w:p>
        </w:tc>
        <w:tc>
          <w:tcPr>
            <w:tcW w:type="dxa" w:w="1662"/>
          </w:tcPr>
          <w:p>
            <w:pPr>
              <w:spacing w:after="0" w:line="240" w:lineRule="auto"/>
              <w:ind w:firstLine="0"/>
              <w:jc w:val="center"/>
            </w:pPr>
            <w:r>
              <w:rPr>
                <w:b w:val="0"/>
                <w:i w:val="0"/>
                <w:sz w:val="20"/>
              </w:rPr>
              <w:t>340</w:t>
            </w:r>
          </w:p>
        </w:tc>
        <w:tc>
          <w:tcPr>
            <w:tcW w:type="dxa" w:w="1662"/>
          </w:tcPr>
          <w:p>
            <w:pPr>
              <w:spacing w:after="0" w:line="240" w:lineRule="auto"/>
              <w:ind w:firstLine="0"/>
              <w:jc w:val="center"/>
            </w:pPr>
            <w:r>
              <w:rPr>
                <w:b w:val="0"/>
                <w:i w:val="0"/>
                <w:sz w:val="20"/>
              </w:rPr>
              <w:t>320</w:t>
            </w:r>
          </w:p>
        </w:tc>
        <w:tc>
          <w:tcPr>
            <w:tcW w:type="dxa" w:w="1662"/>
          </w:tcPr>
          <w:p>
            <w:pPr>
              <w:spacing w:after="0" w:line="240" w:lineRule="auto"/>
              <w:ind w:firstLine="0"/>
              <w:jc w:val="center"/>
            </w:pPr>
            <w:r>
              <w:rPr>
                <w:b w:val="0"/>
                <w:i w:val="0"/>
                <w:sz w:val="20"/>
              </w:rPr>
              <w:t>310</w:t>
            </w:r>
          </w:p>
        </w:tc>
      </w:tr>
      <w:tr>
        <w:tc>
          <w:tcPr>
            <w:tcW w:type="dxa" w:w="1662"/>
          </w:tcPr>
          <w:p>
            <w:pPr>
              <w:spacing w:after="0" w:line="240" w:lineRule="auto"/>
              <w:ind w:firstLine="0"/>
              <w:jc w:val="left"/>
            </w:pPr>
            <w:r>
              <w:rPr>
                <w:b w:val="0"/>
                <w:i w:val="0"/>
                <w:sz w:val="20"/>
              </w:rPr>
              <w:t>Цена Tb₄O₇, $/кг</w:t>
            </w:r>
          </w:p>
        </w:tc>
        <w:tc>
          <w:tcPr>
            <w:tcW w:type="dxa" w:w="1662"/>
          </w:tcPr>
          <w:p>
            <w:pPr>
              <w:spacing w:after="0" w:line="240" w:lineRule="auto"/>
              <w:ind w:firstLine="0"/>
              <w:jc w:val="center"/>
            </w:pPr>
            <w:r>
              <w:rPr>
                <w:b w:val="0"/>
                <w:i w:val="0"/>
                <w:sz w:val="20"/>
              </w:rPr>
              <w:t>830</w:t>
            </w:r>
          </w:p>
        </w:tc>
        <w:tc>
          <w:tcPr>
            <w:tcW w:type="dxa" w:w="1662"/>
          </w:tcPr>
          <w:p>
            <w:pPr>
              <w:spacing w:after="0" w:line="240" w:lineRule="auto"/>
              <w:ind w:firstLine="0"/>
              <w:jc w:val="center"/>
            </w:pPr>
            <w:r>
              <w:rPr>
                <w:b w:val="0"/>
                <w:i w:val="0"/>
                <w:sz w:val="20"/>
              </w:rPr>
              <w:t>1 250</w:t>
            </w:r>
          </w:p>
        </w:tc>
        <w:tc>
          <w:tcPr>
            <w:tcW w:type="dxa" w:w="1662"/>
          </w:tcPr>
          <w:p>
            <w:pPr>
              <w:spacing w:after="0" w:line="240" w:lineRule="auto"/>
              <w:ind w:firstLine="0"/>
              <w:jc w:val="center"/>
            </w:pPr>
            <w:r>
              <w:rPr>
                <w:b w:val="0"/>
                <w:i w:val="0"/>
                <w:sz w:val="20"/>
              </w:rPr>
              <w:t>1 220</w:t>
            </w:r>
          </w:p>
        </w:tc>
        <w:tc>
          <w:tcPr>
            <w:tcW w:type="dxa" w:w="1662"/>
          </w:tcPr>
          <w:p>
            <w:pPr>
              <w:spacing w:after="0" w:line="240" w:lineRule="auto"/>
              <w:ind w:firstLine="0"/>
              <w:jc w:val="center"/>
            </w:pPr>
            <w:r>
              <w:rPr>
                <w:b w:val="0"/>
                <w:i w:val="0"/>
                <w:sz w:val="20"/>
              </w:rPr>
              <w:t>1 180</w:t>
            </w:r>
          </w:p>
        </w:tc>
        <w:tc>
          <w:tcPr>
            <w:tcW w:type="dxa" w:w="1662"/>
          </w:tcPr>
          <w:p>
            <w:pPr>
              <w:spacing w:after="0" w:line="240" w:lineRule="auto"/>
              <w:ind w:firstLine="0"/>
              <w:jc w:val="center"/>
            </w:pPr>
            <w:r>
              <w:rPr>
                <w:b w:val="0"/>
                <w:i w:val="0"/>
                <w:sz w:val="20"/>
              </w:rPr>
              <w:t>1 150</w:t>
            </w:r>
          </w:p>
        </w:tc>
      </w:tr>
      <w:tr>
        <w:tc>
          <w:tcPr>
            <w:tcW w:type="dxa" w:w="1662"/>
          </w:tcPr>
          <w:p>
            <w:pPr>
              <w:spacing w:after="0" w:line="240" w:lineRule="auto"/>
              <w:ind w:firstLine="0"/>
              <w:jc w:val="left"/>
            </w:pPr>
            <w:r>
              <w:rPr>
                <w:b w:val="0"/>
                <w:i w:val="0"/>
                <w:sz w:val="20"/>
              </w:rPr>
              <w:t>Доля КНР в разделении, %</w:t>
            </w:r>
          </w:p>
        </w:tc>
        <w:tc>
          <w:tcPr>
            <w:tcW w:type="dxa" w:w="1662"/>
          </w:tcPr>
          <w:p>
            <w:pPr>
              <w:spacing w:after="0" w:line="240" w:lineRule="auto"/>
              <w:ind w:firstLine="0"/>
              <w:jc w:val="center"/>
            </w:pPr>
            <w:r>
              <w:rPr>
                <w:b w:val="0"/>
                <w:i w:val="0"/>
                <w:sz w:val="20"/>
              </w:rPr>
              <w:t>88</w:t>
            </w:r>
          </w:p>
        </w:tc>
        <w:tc>
          <w:tcPr>
            <w:tcW w:type="dxa" w:w="1662"/>
          </w:tcPr>
          <w:p>
            <w:pPr>
              <w:spacing w:after="0" w:line="240" w:lineRule="auto"/>
              <w:ind w:firstLine="0"/>
              <w:jc w:val="center"/>
            </w:pPr>
            <w:r>
              <w:rPr>
                <w:b w:val="0"/>
                <w:i w:val="0"/>
                <w:sz w:val="20"/>
              </w:rPr>
              <w:t>83</w:t>
            </w:r>
          </w:p>
        </w:tc>
        <w:tc>
          <w:tcPr>
            <w:tcW w:type="dxa" w:w="1662"/>
          </w:tcPr>
          <w:p>
            <w:pPr>
              <w:spacing w:after="0" w:line="240" w:lineRule="auto"/>
              <w:ind w:firstLine="0"/>
              <w:jc w:val="center"/>
            </w:pPr>
            <w:r>
              <w:rPr>
                <w:b w:val="0"/>
                <w:i w:val="0"/>
                <w:sz w:val="20"/>
              </w:rPr>
              <w:t>76</w:t>
            </w:r>
          </w:p>
        </w:tc>
        <w:tc>
          <w:tcPr>
            <w:tcW w:type="dxa" w:w="1662"/>
          </w:tcPr>
          <w:p>
            <w:pPr>
              <w:spacing w:after="0" w:line="240" w:lineRule="auto"/>
              <w:ind w:firstLine="0"/>
              <w:jc w:val="center"/>
            </w:pPr>
            <w:r>
              <w:rPr>
                <w:b w:val="0"/>
                <w:i w:val="0"/>
                <w:sz w:val="20"/>
              </w:rPr>
              <w:t>70</w:t>
            </w:r>
          </w:p>
        </w:tc>
        <w:tc>
          <w:tcPr>
            <w:tcW w:type="dxa" w:w="1662"/>
          </w:tcPr>
          <w:p>
            <w:pPr>
              <w:spacing w:after="0" w:line="240" w:lineRule="auto"/>
              <w:ind w:firstLine="0"/>
              <w:jc w:val="center"/>
            </w:pPr>
            <w:r>
              <w:rPr>
                <w:b w:val="0"/>
                <w:i w:val="0"/>
                <w:sz w:val="20"/>
              </w:rPr>
              <w:t>66</w:t>
            </w:r>
          </w:p>
        </w:tc>
      </w:tr>
      <w:tr>
        <w:tc>
          <w:tcPr>
            <w:tcW w:type="dxa" w:w="1662"/>
          </w:tcPr>
          <w:p>
            <w:pPr>
              <w:spacing w:after="0" w:line="240" w:lineRule="auto"/>
              <w:ind w:firstLine="0"/>
              <w:jc w:val="left"/>
            </w:pPr>
            <w:r>
              <w:rPr>
                <w:b w:val="0"/>
                <w:i w:val="0"/>
                <w:sz w:val="20"/>
              </w:rPr>
              <w:t>Доля рециклинга, %</w:t>
            </w:r>
          </w:p>
        </w:tc>
        <w:tc>
          <w:tcPr>
            <w:tcW w:type="dxa" w:w="1662"/>
          </w:tcPr>
          <w:p>
            <w:pPr>
              <w:spacing w:after="0" w:line="240" w:lineRule="auto"/>
              <w:ind w:firstLine="0"/>
              <w:jc w:val="center"/>
            </w:pPr>
            <w:r>
              <w:rPr>
                <w:b w:val="0"/>
                <w:i w:val="0"/>
                <w:sz w:val="20"/>
              </w:rPr>
              <w:t>1,9</w:t>
            </w:r>
          </w:p>
        </w:tc>
        <w:tc>
          <w:tcPr>
            <w:tcW w:type="dxa" w:w="1662"/>
          </w:tcPr>
          <w:p>
            <w:pPr>
              <w:spacing w:after="0" w:line="240" w:lineRule="auto"/>
              <w:ind w:firstLine="0"/>
              <w:jc w:val="center"/>
            </w:pPr>
            <w:r>
              <w:rPr>
                <w:b w:val="0"/>
                <w:i w:val="0"/>
                <w:sz w:val="20"/>
              </w:rPr>
              <w:t>3,2</w:t>
            </w:r>
          </w:p>
        </w:tc>
        <w:tc>
          <w:tcPr>
            <w:tcW w:type="dxa" w:w="1662"/>
          </w:tcPr>
          <w:p>
            <w:pPr>
              <w:spacing w:after="0" w:line="240" w:lineRule="auto"/>
              <w:ind w:firstLine="0"/>
              <w:jc w:val="center"/>
            </w:pPr>
            <w:r>
              <w:rPr>
                <w:b w:val="0"/>
                <w:i w:val="0"/>
                <w:sz w:val="20"/>
              </w:rPr>
              <w:t>5,4</w:t>
            </w:r>
          </w:p>
        </w:tc>
        <w:tc>
          <w:tcPr>
            <w:tcW w:type="dxa" w:w="1662"/>
          </w:tcPr>
          <w:p>
            <w:pPr>
              <w:spacing w:after="0" w:line="240" w:lineRule="auto"/>
              <w:ind w:firstLine="0"/>
              <w:jc w:val="center"/>
            </w:pPr>
            <w:r>
              <w:rPr>
                <w:b w:val="0"/>
                <w:i w:val="0"/>
                <w:sz w:val="20"/>
              </w:rPr>
              <w:t>8,1</w:t>
            </w:r>
          </w:p>
        </w:tc>
        <w:tc>
          <w:tcPr>
            <w:tcW w:type="dxa" w:w="1662"/>
          </w:tcPr>
          <w:p>
            <w:pPr>
              <w:spacing w:after="0" w:line="240" w:lineRule="auto"/>
              <w:ind w:firstLine="0"/>
              <w:jc w:val="center"/>
            </w:pPr>
            <w:r>
              <w:rPr>
                <w:b w:val="0"/>
                <w:i w:val="0"/>
                <w:sz w:val="20"/>
              </w:rPr>
              <w:t>9,6</w:t>
            </w:r>
          </w:p>
        </w:tc>
      </w:tr>
    </w:tbl>
    <w:p>
      <w:pPr>
        <w:spacing w:after="180"/>
        <w:ind w:firstLine="0"/>
      </w:pPr>
      <w:r>
        <w:rPr>
          <w:i/>
          <w:sz w:val="20"/>
        </w:rPr>
        <w:t>Источник: прогноз аналитического центра (обобщение табл. 56, 58, 59, 60)</w:t>
      </w:r>
    </w:p>
    <w:p>
      <w:pPr>
        <w:keepNext/>
        <w:spacing w:before="160" w:after="60"/>
        <w:ind w:firstLine="0"/>
        <w:jc w:val="left"/>
      </w:pPr>
      <w:r>
        <w:rPr>
          <w:b/>
          <w:sz w:val="22"/>
        </w:rPr>
        <w:t>Таблица 153. Сводная таблица ключевых выводов отчёта по разделам</w:t>
      </w:r>
    </w:p>
    <w:tbl>
      <w:tblPr>
        <w:tblStyle w:val="TableGrid"/>
        <w:tblW w:type="auto" w:w="0"/>
        <w:jc w:val="center"/>
        <w:tblLook w:firstColumn="1" w:firstRow="1" w:lastColumn="0" w:lastRow="0" w:noHBand="0" w:noVBand="1" w:val="04A0"/>
      </w:tblPr>
      <w:tblGrid>
        <w:gridCol w:w="4986"/>
        <w:gridCol w:w="4986"/>
      </w:tblGrid>
      <w:tr>
        <w:tc>
          <w:tcPr>
            <w:tcW w:type="dxa" w:w="4986"/>
            <w:shd w:val="clear" w:fill="DCE6F1"/>
          </w:tcPr>
          <w:p>
            <w:pPr>
              <w:spacing w:after="0" w:line="240" w:lineRule="auto"/>
              <w:ind w:firstLine="0"/>
              <w:jc w:val="center"/>
            </w:pPr>
            <w:r>
              <w:rPr>
                <w:b/>
                <w:i w:val="0"/>
                <w:sz w:val="20"/>
              </w:rPr>
              <w:t>Раздел</w:t>
            </w:r>
          </w:p>
        </w:tc>
        <w:tc>
          <w:tcPr>
            <w:tcW w:type="dxa" w:w="4986"/>
            <w:shd w:val="clear" w:fill="DCE6F1"/>
          </w:tcPr>
          <w:p>
            <w:pPr>
              <w:spacing w:after="0" w:line="240" w:lineRule="auto"/>
              <w:ind w:firstLine="0"/>
              <w:jc w:val="center"/>
            </w:pPr>
            <w:r>
              <w:rPr>
                <w:b/>
                <w:i w:val="0"/>
                <w:sz w:val="20"/>
              </w:rPr>
              <w:t>Ключевой вывод</w:t>
            </w:r>
          </w:p>
        </w:tc>
      </w:tr>
      <w:tr>
        <w:tc>
          <w:tcPr>
            <w:tcW w:type="dxa" w:w="4986"/>
          </w:tcPr>
          <w:p>
            <w:pPr>
              <w:spacing w:after="0" w:line="240" w:lineRule="auto"/>
              <w:ind w:firstLine="0"/>
              <w:jc w:val="left"/>
            </w:pPr>
            <w:r>
              <w:rPr>
                <w:b w:val="0"/>
                <w:i w:val="0"/>
                <w:sz w:val="20"/>
              </w:rPr>
              <w:t>Гл. 1</w:t>
            </w:r>
          </w:p>
        </w:tc>
        <w:tc>
          <w:tcPr>
            <w:tcW w:type="dxa" w:w="4986"/>
          </w:tcPr>
          <w:p>
            <w:pPr>
              <w:spacing w:after="0" w:line="240" w:lineRule="auto"/>
              <w:ind w:firstLine="0"/>
              <w:jc w:val="left"/>
            </w:pPr>
            <w:r>
              <w:rPr>
                <w:b w:val="0"/>
                <w:i w:val="0"/>
                <w:sz w:val="20"/>
              </w:rPr>
              <w:t>90% стоимости рынка формируют 4 элемента (Nd, Pr, Dy, Tb) при доле в объёме менее 20%; проблема баланса корзины определяет экономику отрасли</w:t>
            </w:r>
          </w:p>
        </w:tc>
      </w:tr>
      <w:tr>
        <w:tc>
          <w:tcPr>
            <w:tcW w:type="dxa" w:w="4986"/>
          </w:tcPr>
          <w:p>
            <w:pPr>
              <w:spacing w:after="0" w:line="240" w:lineRule="auto"/>
              <w:ind w:firstLine="0"/>
              <w:jc w:val="left"/>
            </w:pPr>
            <w:r>
              <w:rPr>
                <w:b w:val="0"/>
                <w:i w:val="0"/>
                <w:sz w:val="20"/>
              </w:rPr>
              <w:t>Гл. 2</w:t>
            </w:r>
          </w:p>
        </w:tc>
        <w:tc>
          <w:tcPr>
            <w:tcW w:type="dxa" w:w="4986"/>
          </w:tcPr>
          <w:p>
            <w:pPr>
              <w:spacing w:after="0" w:line="240" w:lineRule="auto"/>
              <w:ind w:firstLine="0"/>
              <w:jc w:val="left"/>
            </w:pPr>
            <w:r>
              <w:rPr>
                <w:b w:val="0"/>
                <w:i w:val="0"/>
                <w:sz w:val="20"/>
              </w:rPr>
              <w:t>Мировые запасы обеспечивают потребление на 200+ лет; ограничение отрасли не ресурсное, а технологическое и институциональное</w:t>
            </w:r>
          </w:p>
        </w:tc>
      </w:tr>
      <w:tr>
        <w:tc>
          <w:tcPr>
            <w:tcW w:type="dxa" w:w="4986"/>
          </w:tcPr>
          <w:p>
            <w:pPr>
              <w:spacing w:after="0" w:line="240" w:lineRule="auto"/>
              <w:ind w:firstLine="0"/>
              <w:jc w:val="left"/>
            </w:pPr>
            <w:r>
              <w:rPr>
                <w:b w:val="0"/>
                <w:i w:val="0"/>
                <w:sz w:val="20"/>
              </w:rPr>
              <w:t>Гл. 3</w:t>
            </w:r>
          </w:p>
        </w:tc>
        <w:tc>
          <w:tcPr>
            <w:tcW w:type="dxa" w:w="4986"/>
          </w:tcPr>
          <w:p>
            <w:pPr>
              <w:spacing w:after="0" w:line="240" w:lineRule="auto"/>
              <w:ind w:firstLine="0"/>
              <w:jc w:val="left"/>
            </w:pPr>
            <w:r>
              <w:rPr>
                <w:b w:val="0"/>
                <w:i w:val="0"/>
                <w:sz w:val="20"/>
              </w:rPr>
              <w:t>Диверсификация добычи (доля КНР 67%) не сопровождается диверсификацией переделов (разделение 88%, магниты 93%)</w:t>
            </w:r>
          </w:p>
        </w:tc>
      </w:tr>
      <w:tr>
        <w:tc>
          <w:tcPr>
            <w:tcW w:type="dxa" w:w="4986"/>
          </w:tcPr>
          <w:p>
            <w:pPr>
              <w:spacing w:after="0" w:line="240" w:lineRule="auto"/>
              <w:ind w:firstLine="0"/>
              <w:jc w:val="left"/>
            </w:pPr>
            <w:r>
              <w:rPr>
                <w:b w:val="0"/>
                <w:i w:val="0"/>
                <w:sz w:val="20"/>
              </w:rPr>
              <w:t>Гл. 4</w:t>
            </w:r>
          </w:p>
        </w:tc>
        <w:tc>
          <w:tcPr>
            <w:tcW w:type="dxa" w:w="4986"/>
          </w:tcPr>
          <w:p>
            <w:pPr>
              <w:spacing w:after="0" w:line="240" w:lineRule="auto"/>
              <w:ind w:firstLine="0"/>
              <w:jc w:val="left"/>
            </w:pPr>
            <w:r>
              <w:rPr>
                <w:b w:val="0"/>
                <w:i w:val="0"/>
                <w:sz w:val="20"/>
              </w:rPr>
              <w:t>Загрузка не-китайских разделительных мощностей — около 40%; барьер не в мощностях, а в сырье, сбыте и себестоимости</w:t>
            </w:r>
          </w:p>
        </w:tc>
      </w:tr>
      <w:tr>
        <w:tc>
          <w:tcPr>
            <w:tcW w:type="dxa" w:w="4986"/>
          </w:tcPr>
          <w:p>
            <w:pPr>
              <w:spacing w:after="0" w:line="240" w:lineRule="auto"/>
              <w:ind w:firstLine="0"/>
              <w:jc w:val="left"/>
            </w:pPr>
            <w:r>
              <w:rPr>
                <w:b w:val="0"/>
                <w:i w:val="0"/>
                <w:sz w:val="20"/>
              </w:rPr>
              <w:t>Гл. 5</w:t>
            </w:r>
          </w:p>
        </w:tc>
        <w:tc>
          <w:tcPr>
            <w:tcW w:type="dxa" w:w="4986"/>
          </w:tcPr>
          <w:p>
            <w:pPr>
              <w:spacing w:after="0" w:line="240" w:lineRule="auto"/>
              <w:ind w:firstLine="0"/>
              <w:jc w:val="left"/>
            </w:pPr>
            <w:r>
              <w:rPr>
                <w:b w:val="0"/>
                <w:i w:val="0"/>
                <w:sz w:val="20"/>
              </w:rPr>
              <w:t>Магнитный сегмент формирует 43% объёма и свыше 80% стоимости спроса; замещение снижает удельный расход, но не устраняет зависимость</w:t>
            </w:r>
          </w:p>
        </w:tc>
      </w:tr>
      <w:tr>
        <w:tc>
          <w:tcPr>
            <w:tcW w:type="dxa" w:w="4986"/>
          </w:tcPr>
          <w:p>
            <w:pPr>
              <w:spacing w:after="0" w:line="240" w:lineRule="auto"/>
              <w:ind w:firstLine="0"/>
              <w:jc w:val="left"/>
            </w:pPr>
            <w:r>
              <w:rPr>
                <w:b w:val="0"/>
                <w:i w:val="0"/>
                <w:sz w:val="20"/>
              </w:rPr>
              <w:t>Гл. 6</w:t>
            </w:r>
          </w:p>
        </w:tc>
        <w:tc>
          <w:tcPr>
            <w:tcW w:type="dxa" w:w="4986"/>
          </w:tcPr>
          <w:p>
            <w:pPr>
              <w:spacing w:after="0" w:line="240" w:lineRule="auto"/>
              <w:ind w:firstLine="0"/>
              <w:jc w:val="left"/>
            </w:pPr>
            <w:r>
              <w:rPr>
                <w:b w:val="0"/>
                <w:i w:val="0"/>
                <w:sz w:val="20"/>
              </w:rPr>
              <w:t>Инвестиционный цикл (5–8 лет) превышает длительность ценовых пиков (12–18 мес.), что блокирует рыночную диверсификацию</w:t>
            </w:r>
          </w:p>
        </w:tc>
      </w:tr>
      <w:tr>
        <w:tc>
          <w:tcPr>
            <w:tcW w:type="dxa" w:w="4986"/>
          </w:tcPr>
          <w:p>
            <w:pPr>
              <w:spacing w:after="0" w:line="240" w:lineRule="auto"/>
              <w:ind w:firstLine="0"/>
              <w:jc w:val="left"/>
            </w:pPr>
            <w:r>
              <w:rPr>
                <w:b w:val="0"/>
                <w:i w:val="0"/>
                <w:sz w:val="20"/>
              </w:rPr>
              <w:t>Гл. 7</w:t>
            </w:r>
          </w:p>
        </w:tc>
        <w:tc>
          <w:tcPr>
            <w:tcW w:type="dxa" w:w="4986"/>
          </w:tcPr>
          <w:p>
            <w:pPr>
              <w:spacing w:after="0" w:line="240" w:lineRule="auto"/>
              <w:ind w:firstLine="0"/>
              <w:jc w:val="left"/>
            </w:pPr>
            <w:r>
              <w:rPr>
                <w:b w:val="0"/>
                <w:i w:val="0"/>
                <w:sz w:val="20"/>
              </w:rPr>
              <w:t>Экспортный контроль КНР создал ценовой разрыв в 3–14 раз по контролируемым элементам и запустил перестройку отрасли</w:t>
            </w:r>
          </w:p>
        </w:tc>
      </w:tr>
      <w:tr>
        <w:tc>
          <w:tcPr>
            <w:tcW w:type="dxa" w:w="4986"/>
          </w:tcPr>
          <w:p>
            <w:pPr>
              <w:spacing w:after="0" w:line="240" w:lineRule="auto"/>
              <w:ind w:firstLine="0"/>
              <w:jc w:val="left"/>
            </w:pPr>
            <w:r>
              <w:rPr>
                <w:b w:val="0"/>
                <w:i w:val="0"/>
                <w:sz w:val="20"/>
              </w:rPr>
              <w:t>Гл. 8</w:t>
            </w:r>
          </w:p>
        </w:tc>
        <w:tc>
          <w:tcPr>
            <w:tcW w:type="dxa" w:w="4986"/>
          </w:tcPr>
          <w:p>
            <w:pPr>
              <w:spacing w:after="0" w:line="240" w:lineRule="auto"/>
              <w:ind w:firstLine="0"/>
              <w:jc w:val="left"/>
            </w:pPr>
            <w:r>
              <w:rPr>
                <w:b w:val="0"/>
                <w:i w:val="0"/>
                <w:sz w:val="20"/>
              </w:rPr>
              <w:t>Баланс по тербию остаётся напряжённым на всём горизонте до 2035 г.; по церию и лантану — растущий структурный профицит</w:t>
            </w:r>
          </w:p>
        </w:tc>
      </w:tr>
      <w:tr>
        <w:tc>
          <w:tcPr>
            <w:tcW w:type="dxa" w:w="4986"/>
          </w:tcPr>
          <w:p>
            <w:pPr>
              <w:spacing w:after="0" w:line="240" w:lineRule="auto"/>
              <w:ind w:firstLine="0"/>
              <w:jc w:val="left"/>
            </w:pPr>
            <w:r>
              <w:rPr>
                <w:b w:val="0"/>
                <w:i w:val="0"/>
                <w:sz w:val="20"/>
              </w:rPr>
              <w:t>Гл. 9</w:t>
            </w:r>
          </w:p>
        </w:tc>
        <w:tc>
          <w:tcPr>
            <w:tcW w:type="dxa" w:w="4986"/>
          </w:tcPr>
          <w:p>
            <w:pPr>
              <w:spacing w:after="0" w:line="240" w:lineRule="auto"/>
              <w:ind w:firstLine="0"/>
              <w:jc w:val="left"/>
            </w:pPr>
            <w:r>
              <w:rPr>
                <w:b w:val="0"/>
                <w:i w:val="0"/>
                <w:sz w:val="20"/>
              </w:rPr>
              <w:t>97% российских балансовых запасов приходится на объекты, где РЗМ не извлекаются или не осваиваются</w:t>
            </w:r>
          </w:p>
        </w:tc>
      </w:tr>
      <w:tr>
        <w:tc>
          <w:tcPr>
            <w:tcW w:type="dxa" w:w="4986"/>
          </w:tcPr>
          <w:p>
            <w:pPr>
              <w:spacing w:after="0" w:line="240" w:lineRule="auto"/>
              <w:ind w:firstLine="0"/>
              <w:jc w:val="left"/>
            </w:pPr>
            <w:r>
              <w:rPr>
                <w:b w:val="0"/>
                <w:i w:val="0"/>
                <w:sz w:val="20"/>
              </w:rPr>
              <w:t>Гл. 10</w:t>
            </w:r>
          </w:p>
        </w:tc>
        <w:tc>
          <w:tcPr>
            <w:tcW w:type="dxa" w:w="4986"/>
          </w:tcPr>
          <w:p>
            <w:pPr>
              <w:spacing w:after="0" w:line="240" w:lineRule="auto"/>
              <w:ind w:firstLine="0"/>
              <w:jc w:val="left"/>
            </w:pPr>
            <w:r>
              <w:rPr>
                <w:b w:val="0"/>
                <w:i w:val="0"/>
                <w:sz w:val="20"/>
              </w:rPr>
              <w:t>За 23 года производство РЗМ в РФ не выросло; доля в мире снизилась с 2,6 до 0,6%</w:t>
            </w:r>
          </w:p>
        </w:tc>
      </w:tr>
      <w:tr>
        <w:tc>
          <w:tcPr>
            <w:tcW w:type="dxa" w:w="4986"/>
          </w:tcPr>
          <w:p>
            <w:pPr>
              <w:spacing w:after="0" w:line="240" w:lineRule="auto"/>
              <w:ind w:firstLine="0"/>
              <w:jc w:val="left"/>
            </w:pPr>
            <w:r>
              <w:rPr>
                <w:b w:val="0"/>
                <w:i w:val="0"/>
                <w:sz w:val="20"/>
              </w:rPr>
              <w:t>Гл. 11</w:t>
            </w:r>
          </w:p>
        </w:tc>
        <w:tc>
          <w:tcPr>
            <w:tcW w:type="dxa" w:w="4986"/>
          </w:tcPr>
          <w:p>
            <w:pPr>
              <w:spacing w:after="0" w:line="240" w:lineRule="auto"/>
              <w:ind w:firstLine="0"/>
              <w:jc w:val="left"/>
            </w:pPr>
            <w:r>
              <w:rPr>
                <w:b w:val="0"/>
                <w:i w:val="0"/>
                <w:sz w:val="20"/>
              </w:rPr>
              <w:t>Технологический разрыв сосредоточен на конечных переделах (TRL 3–6) при промышленной освоенности начальных (TRL 9)</w:t>
            </w:r>
          </w:p>
        </w:tc>
      </w:tr>
      <w:tr>
        <w:tc>
          <w:tcPr>
            <w:tcW w:type="dxa" w:w="4986"/>
          </w:tcPr>
          <w:p>
            <w:pPr>
              <w:spacing w:after="0" w:line="240" w:lineRule="auto"/>
              <w:ind w:firstLine="0"/>
              <w:jc w:val="left"/>
            </w:pPr>
            <w:r>
              <w:rPr>
                <w:b w:val="0"/>
                <w:i w:val="0"/>
                <w:sz w:val="20"/>
              </w:rPr>
              <w:t>Гл. 12</w:t>
            </w:r>
          </w:p>
        </w:tc>
        <w:tc>
          <w:tcPr>
            <w:tcW w:type="dxa" w:w="4986"/>
          </w:tcPr>
          <w:p>
            <w:pPr>
              <w:spacing w:after="0" w:line="240" w:lineRule="auto"/>
              <w:ind w:firstLine="0"/>
              <w:jc w:val="left"/>
            </w:pPr>
            <w:r>
              <w:rPr>
                <w:b w:val="0"/>
                <w:i w:val="0"/>
                <w:sz w:val="20"/>
              </w:rPr>
              <w:t>Отсутствие технологии зернограничной диффузии делает сырьевое обеспечение магнитного производства неразрешимой задачей</w:t>
            </w:r>
          </w:p>
        </w:tc>
      </w:tr>
      <w:tr>
        <w:tc>
          <w:tcPr>
            <w:tcW w:type="dxa" w:w="4986"/>
          </w:tcPr>
          <w:p>
            <w:pPr>
              <w:spacing w:after="0" w:line="240" w:lineRule="auto"/>
              <w:ind w:firstLine="0"/>
              <w:jc w:val="left"/>
            </w:pPr>
            <w:r>
              <w:rPr>
                <w:b w:val="0"/>
                <w:i w:val="0"/>
                <w:sz w:val="20"/>
              </w:rPr>
              <w:t>Гл. 13</w:t>
            </w:r>
          </w:p>
        </w:tc>
        <w:tc>
          <w:tcPr>
            <w:tcW w:type="dxa" w:w="4986"/>
          </w:tcPr>
          <w:p>
            <w:pPr>
              <w:spacing w:after="0" w:line="240" w:lineRule="auto"/>
              <w:ind w:firstLine="0"/>
              <w:jc w:val="left"/>
            </w:pPr>
            <w:r>
              <w:rPr>
                <w:b w:val="0"/>
                <w:i w:val="0"/>
                <w:sz w:val="20"/>
              </w:rPr>
              <w:t>Соотношение стоимости импорта к экспорту выросло с 9,8 до 20,6 раза; импортозависимость по магнитам — 99%</w:t>
            </w:r>
          </w:p>
        </w:tc>
      </w:tr>
      <w:tr>
        <w:tc>
          <w:tcPr>
            <w:tcW w:type="dxa" w:w="4986"/>
          </w:tcPr>
          <w:p>
            <w:pPr>
              <w:spacing w:after="0" w:line="240" w:lineRule="auto"/>
              <w:ind w:firstLine="0"/>
              <w:jc w:val="left"/>
            </w:pPr>
            <w:r>
              <w:rPr>
                <w:b w:val="0"/>
                <w:i w:val="0"/>
                <w:sz w:val="20"/>
              </w:rPr>
              <w:t>Гл. 14</w:t>
            </w:r>
          </w:p>
        </w:tc>
        <w:tc>
          <w:tcPr>
            <w:tcW w:type="dxa" w:w="4986"/>
          </w:tcPr>
          <w:p>
            <w:pPr>
              <w:spacing w:after="0" w:line="240" w:lineRule="auto"/>
              <w:ind w:firstLine="0"/>
              <w:jc w:val="left"/>
            </w:pPr>
            <w:r>
              <w:rPr>
                <w:b w:val="0"/>
                <w:i w:val="0"/>
                <w:sz w:val="20"/>
              </w:rPr>
              <w:t>При целевых объёмах производства экспортная ориентация отрасли достигает 75–90%</w:t>
            </w:r>
          </w:p>
        </w:tc>
      </w:tr>
      <w:tr>
        <w:tc>
          <w:tcPr>
            <w:tcW w:type="dxa" w:w="4986"/>
          </w:tcPr>
          <w:p>
            <w:pPr>
              <w:spacing w:after="0" w:line="240" w:lineRule="auto"/>
              <w:ind w:firstLine="0"/>
              <w:jc w:val="left"/>
            </w:pPr>
            <w:r>
              <w:rPr>
                <w:b w:val="0"/>
                <w:i w:val="0"/>
                <w:sz w:val="20"/>
              </w:rPr>
              <w:t>Гл. 15</w:t>
            </w:r>
          </w:p>
        </w:tc>
        <w:tc>
          <w:tcPr>
            <w:tcW w:type="dxa" w:w="4986"/>
          </w:tcPr>
          <w:p>
            <w:pPr>
              <w:spacing w:after="0" w:line="240" w:lineRule="auto"/>
              <w:ind w:firstLine="0"/>
              <w:jc w:val="left"/>
            </w:pPr>
            <w:r>
              <w:rPr>
                <w:b w:val="0"/>
                <w:i w:val="0"/>
                <w:sz w:val="20"/>
              </w:rPr>
              <w:t>Отсутствие механизма ценовой защиты — главный пробел системы поддержки</w:t>
            </w:r>
          </w:p>
        </w:tc>
      </w:tr>
      <w:tr>
        <w:tc>
          <w:tcPr>
            <w:tcW w:type="dxa" w:w="4986"/>
          </w:tcPr>
          <w:p>
            <w:pPr>
              <w:spacing w:after="0" w:line="240" w:lineRule="auto"/>
              <w:ind w:firstLine="0"/>
              <w:jc w:val="left"/>
            </w:pPr>
            <w:r>
              <w:rPr>
                <w:b w:val="0"/>
                <w:i w:val="0"/>
                <w:sz w:val="20"/>
              </w:rPr>
              <w:t>Гл. 16</w:t>
            </w:r>
          </w:p>
        </w:tc>
        <w:tc>
          <w:tcPr>
            <w:tcW w:type="dxa" w:w="4986"/>
          </w:tcPr>
          <w:p>
            <w:pPr>
              <w:spacing w:after="0" w:line="240" w:lineRule="auto"/>
              <w:ind w:firstLine="0"/>
              <w:jc w:val="left"/>
            </w:pPr>
            <w:r>
              <w:rPr>
                <w:b w:val="0"/>
                <w:i w:val="0"/>
                <w:sz w:val="20"/>
              </w:rPr>
              <w:t>Целевой показатель 20 тыс. т TREO достижим около 2032 г.; программа на 63% зависит от одного проекта</w:t>
            </w:r>
          </w:p>
        </w:tc>
      </w:tr>
      <w:tr>
        <w:tc>
          <w:tcPr>
            <w:tcW w:type="dxa" w:w="4986"/>
          </w:tcPr>
          <w:p>
            <w:pPr>
              <w:spacing w:after="0" w:line="240" w:lineRule="auto"/>
              <w:ind w:firstLine="0"/>
              <w:jc w:val="left"/>
            </w:pPr>
            <w:r>
              <w:rPr>
                <w:b w:val="0"/>
                <w:i w:val="0"/>
                <w:sz w:val="20"/>
              </w:rPr>
              <w:t>Гл. 17</w:t>
            </w:r>
          </w:p>
        </w:tc>
        <w:tc>
          <w:tcPr>
            <w:tcW w:type="dxa" w:w="4986"/>
          </w:tcPr>
          <w:p>
            <w:pPr>
              <w:spacing w:after="0" w:line="240" w:lineRule="auto"/>
              <w:ind w:firstLine="0"/>
              <w:jc w:val="left"/>
            </w:pPr>
            <w:r>
              <w:rPr>
                <w:b w:val="0"/>
                <w:i w:val="0"/>
                <w:sz w:val="20"/>
              </w:rPr>
              <w:t>Модель полного цикла на 5 тыс. т превосходит сырьевую модель на 20 тыс. т по всем показателям эффективности</w:t>
            </w:r>
          </w:p>
        </w:tc>
      </w:tr>
    </w:tbl>
    <w:p>
      <w:pPr>
        <w:spacing w:after="180"/>
        <w:ind w:firstLine="0"/>
      </w:pPr>
      <w:r>
        <w:rPr>
          <w:i/>
          <w:sz w:val="20"/>
        </w:rPr>
        <w:t>Источник: аналитический центр</w:t>
      </w:r>
    </w:p>
    <w:p>
      <w:pPr>
        <w:keepNext/>
        <w:spacing w:before="160" w:after="60"/>
        <w:ind w:firstLine="0"/>
        <w:jc w:val="left"/>
      </w:pPr>
      <w:r>
        <w:rPr>
          <w:b/>
          <w:sz w:val="22"/>
        </w:rPr>
        <w:t>Таблица 154. Сводный перечень допущений, принятых при построении прогнозов</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val="clear" w:fill="DCE6F1"/>
          </w:tcPr>
          <w:p>
            <w:pPr>
              <w:spacing w:after="0" w:line="240" w:lineRule="auto"/>
              <w:ind w:firstLine="0"/>
              <w:jc w:val="center"/>
            </w:pPr>
            <w:r>
              <w:rPr>
                <w:b/>
                <w:i w:val="0"/>
                <w:sz w:val="20"/>
              </w:rPr>
              <w:t>Допущение</w:t>
            </w:r>
          </w:p>
        </w:tc>
        <w:tc>
          <w:tcPr>
            <w:tcW w:type="dxa" w:w="3324"/>
            <w:shd w:val="clear" w:fill="DCE6F1"/>
          </w:tcPr>
          <w:p>
            <w:pPr>
              <w:spacing w:after="0" w:line="240" w:lineRule="auto"/>
              <w:ind w:firstLine="0"/>
              <w:jc w:val="center"/>
            </w:pPr>
            <w:r>
              <w:rPr>
                <w:b/>
                <w:i w:val="0"/>
                <w:sz w:val="20"/>
              </w:rPr>
              <w:t>Принятое значение</w:t>
            </w:r>
          </w:p>
        </w:tc>
        <w:tc>
          <w:tcPr>
            <w:tcW w:type="dxa" w:w="3324"/>
            <w:shd w:val="clear" w:fill="DCE6F1"/>
          </w:tcPr>
          <w:p>
            <w:pPr>
              <w:spacing w:after="0" w:line="240" w:lineRule="auto"/>
              <w:ind w:firstLine="0"/>
              <w:jc w:val="center"/>
            </w:pPr>
            <w:r>
              <w:rPr>
                <w:b/>
                <w:i w:val="0"/>
                <w:sz w:val="20"/>
              </w:rPr>
              <w:t>Обоснование и чувствительность</w:t>
            </w:r>
          </w:p>
        </w:tc>
      </w:tr>
      <w:tr>
        <w:tc>
          <w:tcPr>
            <w:tcW w:type="dxa" w:w="3324"/>
          </w:tcPr>
          <w:p>
            <w:pPr>
              <w:spacing w:after="0" w:line="240" w:lineRule="auto"/>
              <w:ind w:firstLine="0"/>
              <w:jc w:val="left"/>
            </w:pPr>
            <w:r>
              <w:rPr>
                <w:b w:val="0"/>
                <w:i w:val="0"/>
                <w:sz w:val="20"/>
              </w:rPr>
              <w:t>Среднегодовой прирост продаж EV, 2025–2035</w:t>
            </w:r>
          </w:p>
        </w:tc>
        <w:tc>
          <w:tcPr>
            <w:tcW w:type="dxa" w:w="3324"/>
          </w:tcPr>
          <w:p>
            <w:pPr>
              <w:spacing w:after="0" w:line="240" w:lineRule="auto"/>
              <w:ind w:firstLine="0"/>
              <w:jc w:val="center"/>
            </w:pPr>
            <w:r>
              <w:rPr>
                <w:b w:val="0"/>
                <w:i w:val="0"/>
                <w:sz w:val="20"/>
              </w:rPr>
              <w:t>11%</w:t>
            </w:r>
          </w:p>
        </w:tc>
        <w:tc>
          <w:tcPr>
            <w:tcW w:type="dxa" w:w="3324"/>
          </w:tcPr>
          <w:p>
            <w:pPr>
              <w:spacing w:after="0" w:line="240" w:lineRule="auto"/>
              <w:ind w:firstLine="0"/>
              <w:jc w:val="left"/>
            </w:pPr>
            <w:r>
              <w:rPr>
                <w:b w:val="0"/>
                <w:i w:val="0"/>
                <w:sz w:val="20"/>
              </w:rPr>
              <w:t>базовый сценарий; ±5 п. п. меняет спрос на NdPr на ±13 тыс. т</w:t>
            </w:r>
          </w:p>
        </w:tc>
      </w:tr>
      <w:tr>
        <w:tc>
          <w:tcPr>
            <w:tcW w:type="dxa" w:w="3324"/>
          </w:tcPr>
          <w:p>
            <w:pPr>
              <w:spacing w:after="0" w:line="240" w:lineRule="auto"/>
              <w:ind w:firstLine="0"/>
              <w:jc w:val="left"/>
            </w:pPr>
            <w:r>
              <w:rPr>
                <w:b w:val="0"/>
                <w:i w:val="0"/>
                <w:sz w:val="20"/>
              </w:rPr>
              <w:t>Ввод мощностей ВЭУ к 2035 г.</w:t>
            </w:r>
          </w:p>
        </w:tc>
        <w:tc>
          <w:tcPr>
            <w:tcW w:type="dxa" w:w="3324"/>
          </w:tcPr>
          <w:p>
            <w:pPr>
              <w:spacing w:after="0" w:line="240" w:lineRule="auto"/>
              <w:ind w:firstLine="0"/>
              <w:jc w:val="center"/>
            </w:pPr>
            <w:r>
              <w:rPr>
                <w:b w:val="0"/>
                <w:i w:val="0"/>
                <w:sz w:val="20"/>
              </w:rPr>
              <w:t>175 ГВт/год</w:t>
            </w:r>
          </w:p>
        </w:tc>
        <w:tc>
          <w:tcPr>
            <w:tcW w:type="dxa" w:w="3324"/>
          </w:tcPr>
          <w:p>
            <w:pPr>
              <w:spacing w:after="0" w:line="240" w:lineRule="auto"/>
              <w:ind w:firstLine="0"/>
              <w:jc w:val="center"/>
            </w:pPr>
            <w:r>
              <w:rPr>
                <w:b w:val="0"/>
                <w:i w:val="0"/>
                <w:sz w:val="20"/>
              </w:rPr>
              <w:t>±20% меняет спрос на NdPr на ±2,3 тыс. т</w:t>
            </w:r>
          </w:p>
        </w:tc>
      </w:tr>
      <w:tr>
        <w:tc>
          <w:tcPr>
            <w:tcW w:type="dxa" w:w="3324"/>
          </w:tcPr>
          <w:p>
            <w:pPr>
              <w:spacing w:after="0" w:line="240" w:lineRule="auto"/>
              <w:ind w:firstLine="0"/>
              <w:jc w:val="left"/>
            </w:pPr>
            <w:r>
              <w:rPr>
                <w:b w:val="0"/>
                <w:i w:val="0"/>
                <w:sz w:val="20"/>
              </w:rPr>
              <w:t>Доля прямого привода в ВЭУ</w:t>
            </w:r>
          </w:p>
        </w:tc>
        <w:tc>
          <w:tcPr>
            <w:tcW w:type="dxa" w:w="3324"/>
          </w:tcPr>
          <w:p>
            <w:pPr>
              <w:spacing w:after="0" w:line="240" w:lineRule="auto"/>
              <w:ind w:firstLine="0"/>
              <w:jc w:val="center"/>
            </w:pPr>
            <w:r>
              <w:rPr>
                <w:b w:val="0"/>
                <w:i w:val="0"/>
                <w:sz w:val="20"/>
              </w:rPr>
              <w:t>32% наземные, 78% оффшор</w:t>
            </w:r>
          </w:p>
        </w:tc>
        <w:tc>
          <w:tcPr>
            <w:tcW w:type="dxa" w:w="3324"/>
          </w:tcPr>
          <w:p>
            <w:pPr>
              <w:spacing w:after="0" w:line="240" w:lineRule="auto"/>
              <w:ind w:firstLine="0"/>
              <w:jc w:val="center"/>
            </w:pPr>
            <w:r>
              <w:rPr>
                <w:b w:val="0"/>
                <w:i w:val="0"/>
                <w:sz w:val="20"/>
              </w:rPr>
              <w:t>определяет удельный расход магнитов</w:t>
            </w:r>
          </w:p>
        </w:tc>
      </w:tr>
      <w:tr>
        <w:tc>
          <w:tcPr>
            <w:tcW w:type="dxa" w:w="3324"/>
          </w:tcPr>
          <w:p>
            <w:pPr>
              <w:spacing w:after="0" w:line="240" w:lineRule="auto"/>
              <w:ind w:firstLine="0"/>
              <w:jc w:val="left"/>
            </w:pPr>
            <w:r>
              <w:rPr>
                <w:b w:val="0"/>
                <w:i w:val="0"/>
                <w:sz w:val="20"/>
              </w:rPr>
              <w:t>Снижение удельного расхода Dy</w:t>
            </w:r>
          </w:p>
        </w:tc>
        <w:tc>
          <w:tcPr>
            <w:tcW w:type="dxa" w:w="3324"/>
          </w:tcPr>
          <w:p>
            <w:pPr>
              <w:spacing w:after="0" w:line="240" w:lineRule="auto"/>
              <w:ind w:firstLine="0"/>
              <w:jc w:val="center"/>
            </w:pPr>
            <w:r>
              <w:rPr>
                <w:b w:val="0"/>
                <w:i w:val="0"/>
                <w:sz w:val="20"/>
              </w:rPr>
              <w:t>−30% к 2035 г.</w:t>
            </w:r>
          </w:p>
        </w:tc>
        <w:tc>
          <w:tcPr>
            <w:tcW w:type="dxa" w:w="3324"/>
          </w:tcPr>
          <w:p>
            <w:pPr>
              <w:spacing w:after="0" w:line="240" w:lineRule="auto"/>
              <w:ind w:firstLine="0"/>
              <w:jc w:val="center"/>
            </w:pPr>
            <w:r>
              <w:rPr>
                <w:b w:val="0"/>
                <w:i w:val="0"/>
                <w:sz w:val="20"/>
              </w:rPr>
              <w:t>зависит от распространения GBD</w:t>
            </w:r>
          </w:p>
        </w:tc>
      </w:tr>
      <w:tr>
        <w:tc>
          <w:tcPr>
            <w:tcW w:type="dxa" w:w="3324"/>
          </w:tcPr>
          <w:p>
            <w:pPr>
              <w:spacing w:after="0" w:line="240" w:lineRule="auto"/>
              <w:ind w:firstLine="0"/>
              <w:jc w:val="left"/>
            </w:pPr>
            <w:r>
              <w:rPr>
                <w:b w:val="0"/>
                <w:i w:val="0"/>
                <w:sz w:val="20"/>
              </w:rPr>
              <w:t>Реализация проектов вне КНР</w:t>
            </w:r>
          </w:p>
        </w:tc>
        <w:tc>
          <w:tcPr>
            <w:tcW w:type="dxa" w:w="3324"/>
          </w:tcPr>
          <w:p>
            <w:pPr>
              <w:spacing w:after="0" w:line="240" w:lineRule="auto"/>
              <w:ind w:firstLine="0"/>
              <w:jc w:val="center"/>
            </w:pPr>
            <w:r>
              <w:rPr>
                <w:b w:val="0"/>
                <w:i w:val="0"/>
                <w:sz w:val="20"/>
              </w:rPr>
              <w:t>50% заявленных</w:t>
            </w:r>
          </w:p>
        </w:tc>
        <w:tc>
          <w:tcPr>
            <w:tcW w:type="dxa" w:w="3324"/>
          </w:tcPr>
          <w:p>
            <w:pPr>
              <w:spacing w:after="0" w:line="240" w:lineRule="auto"/>
              <w:ind w:firstLine="0"/>
              <w:jc w:val="left"/>
            </w:pPr>
            <w:r>
              <w:rPr>
                <w:b w:val="0"/>
                <w:i w:val="0"/>
                <w:sz w:val="20"/>
              </w:rPr>
              <w:t>ретроспективная вероятность 10–70% по стадиям</w:t>
            </w:r>
          </w:p>
        </w:tc>
      </w:tr>
      <w:tr>
        <w:tc>
          <w:tcPr>
            <w:tcW w:type="dxa" w:w="3324"/>
          </w:tcPr>
          <w:p>
            <w:pPr>
              <w:spacing w:after="0" w:line="240" w:lineRule="auto"/>
              <w:ind w:firstLine="0"/>
              <w:jc w:val="left"/>
            </w:pPr>
            <w:r>
              <w:rPr>
                <w:b w:val="0"/>
                <w:i w:val="0"/>
                <w:sz w:val="20"/>
              </w:rPr>
              <w:t>Рост квот КНР</w:t>
            </w:r>
          </w:p>
        </w:tc>
        <w:tc>
          <w:tcPr>
            <w:tcW w:type="dxa" w:w="3324"/>
          </w:tcPr>
          <w:p>
            <w:pPr>
              <w:spacing w:after="0" w:line="240" w:lineRule="auto"/>
              <w:ind w:firstLine="0"/>
              <w:jc w:val="center"/>
            </w:pPr>
            <w:r>
              <w:rPr>
                <w:b w:val="0"/>
                <w:i w:val="0"/>
                <w:sz w:val="20"/>
              </w:rPr>
              <w:t>6%/год</w:t>
            </w:r>
          </w:p>
        </w:tc>
        <w:tc>
          <w:tcPr>
            <w:tcW w:type="dxa" w:w="3324"/>
          </w:tcPr>
          <w:p>
            <w:pPr>
              <w:spacing w:after="0" w:line="240" w:lineRule="auto"/>
              <w:ind w:firstLine="0"/>
              <w:jc w:val="center"/>
            </w:pPr>
            <w:r>
              <w:rPr>
                <w:b w:val="0"/>
                <w:i w:val="0"/>
                <w:sz w:val="20"/>
              </w:rPr>
              <w:t>соответствует политике 2021–2024 гг.</w:t>
            </w:r>
          </w:p>
        </w:tc>
      </w:tr>
      <w:tr>
        <w:tc>
          <w:tcPr>
            <w:tcW w:type="dxa" w:w="3324"/>
          </w:tcPr>
          <w:p>
            <w:pPr>
              <w:spacing w:after="0" w:line="240" w:lineRule="auto"/>
              <w:ind w:firstLine="0"/>
              <w:jc w:val="left"/>
            </w:pPr>
            <w:r>
              <w:rPr>
                <w:b w:val="0"/>
                <w:i w:val="0"/>
                <w:sz w:val="20"/>
              </w:rPr>
              <w:t>Доля рециклинга к 2035 г.</w:t>
            </w:r>
          </w:p>
        </w:tc>
        <w:tc>
          <w:tcPr>
            <w:tcW w:type="dxa" w:w="3324"/>
          </w:tcPr>
          <w:p>
            <w:pPr>
              <w:spacing w:after="0" w:line="240" w:lineRule="auto"/>
              <w:ind w:firstLine="0"/>
              <w:jc w:val="center"/>
            </w:pPr>
            <w:r>
              <w:rPr>
                <w:b w:val="0"/>
                <w:i w:val="0"/>
                <w:sz w:val="20"/>
              </w:rPr>
              <w:t>9,6%</w:t>
            </w:r>
          </w:p>
        </w:tc>
        <w:tc>
          <w:tcPr>
            <w:tcW w:type="dxa" w:w="3324"/>
          </w:tcPr>
          <w:p>
            <w:pPr>
              <w:spacing w:after="0" w:line="240" w:lineRule="auto"/>
              <w:ind w:firstLine="0"/>
              <w:jc w:val="left"/>
            </w:pPr>
            <w:r>
              <w:rPr>
                <w:b w:val="0"/>
                <w:i w:val="0"/>
                <w:sz w:val="20"/>
              </w:rPr>
              <w:t>определяется выходом на утилизацию EV 2015–2022 гг.</w:t>
            </w:r>
          </w:p>
        </w:tc>
      </w:tr>
      <w:tr>
        <w:tc>
          <w:tcPr>
            <w:tcW w:type="dxa" w:w="3324"/>
          </w:tcPr>
          <w:p>
            <w:pPr>
              <w:spacing w:after="0" w:line="240" w:lineRule="auto"/>
              <w:ind w:firstLine="0"/>
              <w:jc w:val="left"/>
            </w:pPr>
            <w:r>
              <w:rPr>
                <w:b w:val="0"/>
                <w:i w:val="0"/>
                <w:sz w:val="20"/>
              </w:rPr>
              <w:t>Курс рубля к доллару США</w:t>
            </w:r>
          </w:p>
        </w:tc>
        <w:tc>
          <w:tcPr>
            <w:tcW w:type="dxa" w:w="3324"/>
          </w:tcPr>
          <w:p>
            <w:pPr>
              <w:spacing w:after="0" w:line="240" w:lineRule="auto"/>
              <w:ind w:firstLine="0"/>
              <w:jc w:val="center"/>
            </w:pPr>
            <w:r>
              <w:rPr>
                <w:b w:val="0"/>
                <w:i w:val="0"/>
                <w:sz w:val="20"/>
              </w:rPr>
              <w:t>90 руб./$</w:t>
            </w:r>
          </w:p>
        </w:tc>
        <w:tc>
          <w:tcPr>
            <w:tcW w:type="dxa" w:w="3324"/>
          </w:tcPr>
          <w:p>
            <w:pPr>
              <w:spacing w:after="0" w:line="240" w:lineRule="auto"/>
              <w:ind w:firstLine="0"/>
              <w:jc w:val="center"/>
            </w:pPr>
            <w:r>
              <w:rPr>
                <w:b w:val="0"/>
                <w:i w:val="0"/>
                <w:sz w:val="20"/>
              </w:rPr>
              <w:t>для расчётов в ценах 2025 г.</w:t>
            </w:r>
          </w:p>
        </w:tc>
      </w:tr>
      <w:tr>
        <w:tc>
          <w:tcPr>
            <w:tcW w:type="dxa" w:w="3324"/>
          </w:tcPr>
          <w:p>
            <w:pPr>
              <w:spacing w:after="0" w:line="240" w:lineRule="auto"/>
              <w:ind w:firstLine="0"/>
              <w:jc w:val="left"/>
            </w:pPr>
            <w:r>
              <w:rPr>
                <w:b w:val="0"/>
                <w:i w:val="0"/>
                <w:sz w:val="20"/>
              </w:rPr>
              <w:t>Ставка дисконтирования</w:t>
            </w:r>
          </w:p>
        </w:tc>
        <w:tc>
          <w:tcPr>
            <w:tcW w:type="dxa" w:w="3324"/>
          </w:tcPr>
          <w:p>
            <w:pPr>
              <w:spacing w:after="0" w:line="240" w:lineRule="auto"/>
              <w:ind w:firstLine="0"/>
              <w:jc w:val="center"/>
            </w:pPr>
            <w:r>
              <w:rPr>
                <w:b w:val="0"/>
                <w:i w:val="0"/>
                <w:sz w:val="20"/>
              </w:rPr>
              <w:t>15% реальная</w:t>
            </w:r>
          </w:p>
        </w:tc>
        <w:tc>
          <w:tcPr>
            <w:tcW w:type="dxa" w:w="3324"/>
          </w:tcPr>
          <w:p>
            <w:pPr>
              <w:spacing w:after="0" w:line="240" w:lineRule="auto"/>
              <w:ind w:firstLine="0"/>
              <w:jc w:val="center"/>
            </w:pPr>
            <w:r>
              <w:rPr>
                <w:b w:val="0"/>
                <w:i w:val="0"/>
                <w:sz w:val="20"/>
              </w:rPr>
              <w:t>для инвестиционных расчётов</w:t>
            </w:r>
          </w:p>
        </w:tc>
      </w:tr>
      <w:tr>
        <w:tc>
          <w:tcPr>
            <w:tcW w:type="dxa" w:w="3324"/>
          </w:tcPr>
          <w:p>
            <w:pPr>
              <w:spacing w:after="0" w:line="240" w:lineRule="auto"/>
              <w:ind w:firstLine="0"/>
              <w:jc w:val="left"/>
            </w:pPr>
            <w:r>
              <w:rPr>
                <w:b w:val="0"/>
                <w:i w:val="0"/>
                <w:sz w:val="20"/>
              </w:rPr>
              <w:t>Сохранение экспортного контроля КНР</w:t>
            </w:r>
          </w:p>
        </w:tc>
        <w:tc>
          <w:tcPr>
            <w:tcW w:type="dxa" w:w="3324"/>
          </w:tcPr>
          <w:p>
            <w:pPr>
              <w:spacing w:after="0" w:line="240" w:lineRule="auto"/>
              <w:ind w:firstLine="0"/>
              <w:jc w:val="center"/>
            </w:pPr>
            <w:r>
              <w:rPr>
                <w:b w:val="0"/>
                <w:i w:val="0"/>
                <w:sz w:val="20"/>
              </w:rPr>
              <w:t>до конца горизонта</w:t>
            </w:r>
          </w:p>
        </w:tc>
        <w:tc>
          <w:tcPr>
            <w:tcW w:type="dxa" w:w="3324"/>
          </w:tcPr>
          <w:p>
            <w:pPr>
              <w:spacing w:after="0" w:line="240" w:lineRule="auto"/>
              <w:ind w:firstLine="0"/>
              <w:jc w:val="center"/>
            </w:pPr>
            <w:r>
              <w:rPr>
                <w:b w:val="0"/>
                <w:i w:val="0"/>
                <w:sz w:val="20"/>
              </w:rPr>
              <w:t>ключевое институциональное допущение</w:t>
            </w:r>
          </w:p>
        </w:tc>
      </w:tr>
      <w:tr>
        <w:tc>
          <w:tcPr>
            <w:tcW w:type="dxa" w:w="3324"/>
          </w:tcPr>
          <w:p>
            <w:pPr>
              <w:spacing w:after="0" w:line="240" w:lineRule="auto"/>
              <w:ind w:firstLine="0"/>
              <w:jc w:val="left"/>
            </w:pPr>
            <w:r>
              <w:rPr>
                <w:b w:val="0"/>
                <w:i w:val="0"/>
                <w:sz w:val="20"/>
              </w:rPr>
              <w:t>Отсутствие технологического прорыва в безредкоземельных магнитах</w:t>
            </w:r>
          </w:p>
        </w:tc>
        <w:tc>
          <w:tcPr>
            <w:tcW w:type="dxa" w:w="3324"/>
          </w:tcPr>
          <w:p>
            <w:pPr>
              <w:spacing w:after="0" w:line="240" w:lineRule="auto"/>
              <w:ind w:firstLine="0"/>
              <w:jc w:val="center"/>
            </w:pPr>
            <w:r>
              <w:rPr>
                <w:b w:val="0"/>
                <w:i w:val="0"/>
                <w:sz w:val="20"/>
              </w:rPr>
              <w:t>принято</w:t>
            </w:r>
          </w:p>
        </w:tc>
        <w:tc>
          <w:tcPr>
            <w:tcW w:type="dxa" w:w="3324"/>
          </w:tcPr>
          <w:p>
            <w:pPr>
              <w:spacing w:after="0" w:line="240" w:lineRule="auto"/>
              <w:ind w:firstLine="0"/>
              <w:jc w:val="left"/>
            </w:pPr>
            <w:r>
              <w:rPr>
                <w:b w:val="0"/>
                <w:i w:val="0"/>
                <w:sz w:val="20"/>
              </w:rPr>
              <w:t>реализация изменила бы прогноз спроса на 25–40%</w:t>
            </w:r>
          </w:p>
        </w:tc>
      </w:tr>
      <w:tr>
        <w:tc>
          <w:tcPr>
            <w:tcW w:type="dxa" w:w="3324"/>
          </w:tcPr>
          <w:p>
            <w:pPr>
              <w:spacing w:after="0" w:line="240" w:lineRule="auto"/>
              <w:ind w:firstLine="0"/>
              <w:jc w:val="left"/>
            </w:pPr>
            <w:r>
              <w:rPr>
                <w:b w:val="0"/>
                <w:i w:val="0"/>
                <w:sz w:val="20"/>
              </w:rPr>
              <w:t>Цена NdPr 2035 г.</w:t>
            </w:r>
          </w:p>
        </w:tc>
        <w:tc>
          <w:tcPr>
            <w:tcW w:type="dxa" w:w="3324"/>
          </w:tcPr>
          <w:p>
            <w:pPr>
              <w:spacing w:after="0" w:line="240" w:lineRule="auto"/>
              <w:ind w:firstLine="0"/>
              <w:jc w:val="center"/>
            </w:pPr>
            <w:r>
              <w:rPr>
                <w:b w:val="0"/>
                <w:i w:val="0"/>
                <w:sz w:val="20"/>
              </w:rPr>
              <w:t>95 $/кг (базовый)</w:t>
            </w:r>
          </w:p>
        </w:tc>
        <w:tc>
          <w:tcPr>
            <w:tcW w:type="dxa" w:w="3324"/>
          </w:tcPr>
          <w:p>
            <w:pPr>
              <w:spacing w:after="0" w:line="240" w:lineRule="auto"/>
              <w:ind w:firstLine="0"/>
              <w:jc w:val="center"/>
            </w:pPr>
            <w:r>
              <w:rPr>
                <w:b w:val="0"/>
                <w:i w:val="0"/>
                <w:sz w:val="20"/>
              </w:rPr>
              <w:t>диапазон сценариев 58–125 $/кг</w:t>
            </w:r>
          </w:p>
        </w:tc>
      </w:tr>
    </w:tbl>
    <w:p>
      <w:pPr>
        <w:spacing w:after="180"/>
        <w:ind w:firstLine="0"/>
      </w:pPr>
      <w:r>
        <w:rPr>
          <w:i/>
          <w:sz w:val="20"/>
        </w:rPr>
        <w:t>Источник: аналитический центр</w:t>
      </w:r>
    </w:p>
    <w:p>
      <w:r>
        <w:rPr>
          <w:b w:val="0"/>
          <w:i w:val="0"/>
        </w:rPr>
        <w:t>Приведённый перечень допущений позволяет пользователю отчёта самостоятельно оценить устойчивость выводов к изменению исходных предпосылок. Наибольшее влияние на количественные результаты оказывают три допущения: динамика электротранспорта (определяет 55–60% прироста спроса), сохранение экспортных ограничений КНР (определяет ценовой уровень и, следовательно, реализуемость проектов вне Китая) и вероятность реализации заявленных проектов. Изменение любого из них переводит прогноз в соседний сценарий.</w:t>
      </w:r>
    </w:p>
    <w:p>
      <w:pPr>
        <w:pStyle w:val="Heading2"/>
      </w:pPr>
      <w:r>
        <w:rPr>
          <w:b w:val="0"/>
          <w:i w:val="0"/>
        </w:rPr>
        <w:t>Заключительные замечания</w:t>
      </w:r>
    </w:p>
    <w:p>
      <w:r>
        <w:rPr>
          <w:b w:val="0"/>
          <w:i w:val="0"/>
        </w:rPr>
        <w:t>Настоящий отчёт подготовлен как кабинетное исследование на основе совокупности открытых источников. Приведённые количественные показатели представляют собой реконструкцию рыночной картины и, в части данных за 2024–2025 гг. и прогнозных построений, носят оценочный характер.</w:t>
      </w:r>
    </w:p>
    <w:p>
      <w:r>
        <w:rPr>
          <w:b w:val="0"/>
          <w:i w:val="0"/>
        </w:rPr>
        <w:t>Рынок редкоземельных металлов в 2025–2026 гг. находится в состоянии быстрых институциональных изменений: перечни экспортного контроля, механизмы государственной поддержки и параметры проектов пересматриваются в течение нескольких месяцев. Рекомендуется актуализация ключевых разделов отчёта — прежде всего глав 6, 7 и 16 — не реже одного раза в шесть месяцев.</w:t>
      </w:r>
    </w:p>
    <w:p>
      <w:r>
        <w:rPr>
          <w:b w:val="0"/>
          <w:i w:val="0"/>
        </w:rPr>
        <w:t>При использовании материалов отчёта для обоснования инвестиционных решений количественные ряды подлежат верификации по подписным источникам ценовой и торговой информации, последним редакциям Государственного баланса запасов полезных ископаемых Российской Федерации и официальным публикациям USGS Mineral Commodity Summaries.</w:t>
      </w:r>
    </w:p>
    <w:sectPr w:rsidR="00FC693F" w:rsidRPr="0006063C" w:rsidSect="00034616">
      <w:headerReference w:type="default" r:id="rId9"/>
      <w:footerReference w:type="default" r:id="rId10"/>
      <w:pgSz w:w="12240" w:h="15840"/>
      <w:pgMar w:top="1134" w:right="85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fldChar w:fldCharType="begin"/>
      <w:instrText>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ind w:firstLine="0"/>
      <w:jc w:val="left"/>
    </w:pPr>
    <w:r>
      <w:rPr>
        <w:i/>
        <w:sz w:val="18"/>
      </w:rPr>
      <w:t>Обзор рынка редкоземельных металлов в России и мире</w:t>
      <w:br/>
    </w:r>
    <w:r>
      <w:rPr>
        <w:color w:val="666666"/>
        <w:sz w:val="16"/>
      </w:rPr>
      <w:t>Аналитический центр «РЗМ-Аналитика»  |  www.example-rzm.ru; e-mail: info@example-rzm.ru; тел. +7 (495) 000-00-00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40"/>
      <w:ind w:firstLine="709"/>
      <w:jc w:val="both"/>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ind w:firstLine="0"/>
      <w:outlineLvl w:val="0"/>
    </w:pPr>
    <w:rPr>
      <w:rFonts w:asciiTheme="majorHAnsi" w:eastAsiaTheme="majorEastAsia" w:hAnsiTheme="majorHAnsi" w:cstheme="majorBidi" w:ascii="Times New Roman" w:hAnsi="Times New Roman"/>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100"/>
      <w:ind w:firstLine="0"/>
      <w:outlineLvl w:val="1"/>
    </w:pPr>
    <w:rPr>
      <w:rFonts w:asciiTheme="majorHAnsi" w:eastAsiaTheme="majorEastAsia" w:hAnsiTheme="majorHAnsi" w:cstheme="majorBidi" w:ascii="Times New Roman" w:hAnsi="Times New Roman"/>
      <w:b/>
      <w:bCs/>
      <w:color w:val="1F4E79"/>
      <w:sz w:val="28"/>
      <w:szCs w:val="26"/>
    </w:rPr>
  </w:style>
  <w:style w:type="paragraph" w:styleId="Heading3">
    <w:name w:val="heading 3"/>
    <w:basedOn w:val="Normal"/>
    <w:next w:val="Normal"/>
    <w:link w:val="Heading3Char"/>
    <w:uiPriority w:val="9"/>
    <w:unhideWhenUsed/>
    <w:qFormat/>
    <w:rsid w:val="00FC693F"/>
    <w:pPr>
      <w:keepNext/>
      <w:keepLines/>
      <w:spacing w:before="200" w:after="100"/>
      <w:ind w:firstLine="0"/>
      <w:outlineLvl w:val="2"/>
    </w:pPr>
    <w:rPr>
      <w:rFonts w:asciiTheme="majorHAnsi" w:eastAsiaTheme="majorEastAsia" w:hAnsiTheme="majorHAnsi" w:cstheme="majorBidi" w:ascii="Times New Roman" w:hAnsi="Times New Roman"/>
      <w:b/>
      <w:bCs/>
      <w:color w:val="000000"/>
      <w:sz w:val="26"/>
    </w:rPr>
  </w:style>
  <w:style w:type="paragraph" w:styleId="Heading4">
    <w:name w:val="heading 4"/>
    <w:basedOn w:val="Normal"/>
    <w:next w:val="Normal"/>
    <w:link w:val="Heading4Char"/>
    <w:uiPriority w:val="9"/>
    <w:semiHidden/>
    <w:unhideWhenUsed/>
    <w:qFormat/>
    <w:rsid w:val="00FC693F"/>
    <w:pPr>
      <w:keepNext/>
      <w:keepLines/>
      <w:spacing w:before="200" w:after="100"/>
      <w:ind w:firstLine="0"/>
      <w:outlineLvl w:val="3"/>
    </w:pPr>
    <w:rPr>
      <w:rFonts w:asciiTheme="majorHAnsi" w:eastAsiaTheme="majorEastAsia" w:hAnsiTheme="majorHAnsi" w:cstheme="majorBidi" w:ascii="Times New Roman" w:hAnsi="Times New Roman"/>
      <w:b/>
      <w:bCs/>
      <w:i/>
      <w:iCs/>
      <w:color w:val="000000"/>
      <w:sz w:val="26"/>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image" Target="media/image45.pn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image" Target="media/image48.png"/><Relationship Id="rId59" Type="http://schemas.openxmlformats.org/officeDocument/2006/relationships/image" Target="media/image49.png"/><Relationship Id="rId60" Type="http://schemas.openxmlformats.org/officeDocument/2006/relationships/image" Target="media/image50.png"/><Relationship Id="rId61" Type="http://schemas.openxmlformats.org/officeDocument/2006/relationships/image" Target="media/image51.png"/><Relationship Id="rId62" Type="http://schemas.openxmlformats.org/officeDocument/2006/relationships/image" Target="media/image52.png"/><Relationship Id="rId63" Type="http://schemas.openxmlformats.org/officeDocument/2006/relationships/image" Target="media/image53.png"/><Relationship Id="rId64" Type="http://schemas.openxmlformats.org/officeDocument/2006/relationships/image" Target="media/image54.png"/><Relationship Id="rId65" Type="http://schemas.openxmlformats.org/officeDocument/2006/relationships/image" Target="media/image55.png"/><Relationship Id="rId66" Type="http://schemas.openxmlformats.org/officeDocument/2006/relationships/image" Target="media/image56.png"/><Relationship Id="rId67" Type="http://schemas.openxmlformats.org/officeDocument/2006/relationships/image" Target="media/image57.png"/><Relationship Id="rId68" Type="http://schemas.openxmlformats.org/officeDocument/2006/relationships/image" Target="media/image58.png"/><Relationship Id="rId69" Type="http://schemas.openxmlformats.org/officeDocument/2006/relationships/image" Target="media/image59.png"/><Relationship Id="rId70" Type="http://schemas.openxmlformats.org/officeDocument/2006/relationships/image" Target="media/image60.png"/><Relationship Id="rId71" Type="http://schemas.openxmlformats.org/officeDocument/2006/relationships/image" Target="media/image61.png"/><Relationship Id="rId72" Type="http://schemas.openxmlformats.org/officeDocument/2006/relationships/image" Target="media/image62.png"/><Relationship Id="rId73" Type="http://schemas.openxmlformats.org/officeDocument/2006/relationships/image" Target="media/image63.png"/><Relationship Id="rId74" Type="http://schemas.openxmlformats.org/officeDocument/2006/relationships/image" Target="media/image64.png"/><Relationship Id="rId75" Type="http://schemas.openxmlformats.org/officeDocument/2006/relationships/image" Target="media/image65.png"/><Relationship Id="rId76" Type="http://schemas.openxmlformats.org/officeDocument/2006/relationships/image" Target="media/image66.png"/><Relationship Id="rId77" Type="http://schemas.openxmlformats.org/officeDocument/2006/relationships/image" Target="media/image67.png"/><Relationship Id="rId78" Type="http://schemas.openxmlformats.org/officeDocument/2006/relationships/image" Target="media/image68.png"/><Relationship Id="rId79" Type="http://schemas.openxmlformats.org/officeDocument/2006/relationships/image" Target="media/image69.png"/><Relationship Id="rId80" Type="http://schemas.openxmlformats.org/officeDocument/2006/relationships/image" Target="media/image70.png"/><Relationship Id="rId81" Type="http://schemas.openxmlformats.org/officeDocument/2006/relationships/image" Target="media/image71.png"/><Relationship Id="rId82" Type="http://schemas.openxmlformats.org/officeDocument/2006/relationships/image" Target="media/image72.png"/><Relationship Id="rId83" Type="http://schemas.openxmlformats.org/officeDocument/2006/relationships/image" Target="media/image73.png"/><Relationship Id="rId84" Type="http://schemas.openxmlformats.org/officeDocument/2006/relationships/image" Target="media/image74.png"/><Relationship Id="rId85" Type="http://schemas.openxmlformats.org/officeDocument/2006/relationships/image" Target="media/image75.png"/><Relationship Id="rId86" Type="http://schemas.openxmlformats.org/officeDocument/2006/relationships/image" Target="media/image76.png"/><Relationship Id="rId87" Type="http://schemas.openxmlformats.org/officeDocument/2006/relationships/image" Target="media/image77.png"/><Relationship Id="rId88" Type="http://schemas.openxmlformats.org/officeDocument/2006/relationships/image" Target="media/image78.png"/><Relationship Id="rId89" Type="http://schemas.openxmlformats.org/officeDocument/2006/relationships/image" Target="media/image79.png"/><Relationship Id="rId90" Type="http://schemas.openxmlformats.org/officeDocument/2006/relationships/image" Target="media/image80.png"/><Relationship Id="rId91" Type="http://schemas.openxmlformats.org/officeDocument/2006/relationships/image" Target="media/image81.png"/><Relationship Id="rId92" Type="http://schemas.openxmlformats.org/officeDocument/2006/relationships/image" Target="media/image82.png"/><Relationship Id="rId93" Type="http://schemas.openxmlformats.org/officeDocument/2006/relationships/image" Target="media/image83.png"/><Relationship Id="rId94" Type="http://schemas.openxmlformats.org/officeDocument/2006/relationships/image" Target="media/image84.png"/><Relationship Id="rId95" Type="http://schemas.openxmlformats.org/officeDocument/2006/relationships/image" Target="media/image85.png"/><Relationship Id="rId96" Type="http://schemas.openxmlformats.org/officeDocument/2006/relationships/image" Target="media/image86.png"/><Relationship Id="rId97" Type="http://schemas.openxmlformats.org/officeDocument/2006/relationships/image" Target="media/image87.png"/><Relationship Id="rId98" Type="http://schemas.openxmlformats.org/officeDocument/2006/relationships/image" Target="media/image88.png"/><Relationship Id="rId99" Type="http://schemas.openxmlformats.org/officeDocument/2006/relationships/image" Target="media/image89.png"/><Relationship Id="rId100" Type="http://schemas.openxmlformats.org/officeDocument/2006/relationships/image" Target="media/image90.png"/><Relationship Id="rId101" Type="http://schemas.openxmlformats.org/officeDocument/2006/relationships/image" Target="media/image91.png"/><Relationship Id="rId102" Type="http://schemas.openxmlformats.org/officeDocument/2006/relationships/image" Target="media/image92.png"/><Relationship Id="rId103" Type="http://schemas.openxmlformats.org/officeDocument/2006/relationships/image" Target="media/image93.png"/><Relationship Id="rId104" Type="http://schemas.openxmlformats.org/officeDocument/2006/relationships/image" Target="media/image94.png"/><Relationship Id="rId105" Type="http://schemas.openxmlformats.org/officeDocument/2006/relationships/image" Target="media/image95.png"/><Relationship Id="rId106" Type="http://schemas.openxmlformats.org/officeDocument/2006/relationships/image" Target="media/image96.png"/><Relationship Id="rId107" Type="http://schemas.openxmlformats.org/officeDocument/2006/relationships/image" Target="media/image97.png"/><Relationship Id="rId108" Type="http://schemas.openxmlformats.org/officeDocument/2006/relationships/image" Target="media/image9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